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投资委员会备忘录</w:t>
      </w:r>
    </w:p>
    <w:p>
      <w:pPr>
        <w:jc w:val="center"/>
      </w:pPr>
      <w:r>
        <w:rPr>
          <w:b/>
          <w:sz w:val="24"/>
        </w:rPr>
        <w:t>机密文件</w:t>
      </w:r>
    </w:p>
    <w:p/>
    <w:p>
      <w:r>
        <w:rPr>
          <w:b/>
          <w:sz w:val="20"/>
        </w:rPr>
        <w:t>日期：</w:t>
      </w:r>
      <w:r>
        <w:rPr>
          <w:sz w:val="20"/>
        </w:rPr>
        <w:t>2026年6月13日</w:t>
      </w:r>
    </w:p>
    <w:p>
      <w:r>
        <w:rPr>
          <w:b/>
          <w:sz w:val="20"/>
        </w:rPr>
        <w:t>标的：</w:t>
      </w:r>
      <w:r>
        <w:rPr>
          <w:sz w:val="20"/>
        </w:rPr>
        <w:t>北京航天驭星科技股份有限公司</w:t>
      </w:r>
    </w:p>
    <w:p>
      <w:r>
        <w:rPr>
          <w:b/>
          <w:sz w:val="20"/>
        </w:rPr>
        <w:t>阶段：</w:t>
      </w:r>
      <w:r>
        <w:rPr>
          <w:sz w:val="20"/>
        </w:rPr>
        <w:t>Pre-IPO（上市前）</w:t>
      </w:r>
    </w:p>
    <w:p>
      <w:r>
        <w:rPr>
          <w:b/>
          <w:sz w:val="20"/>
        </w:rPr>
        <w:t>行业：</w:t>
      </w:r>
      <w:r>
        <w:rPr>
          <w:sz w:val="20"/>
        </w:rPr>
        <w:t>商业航天 — 卫星测运控基础设施及服务</w:t>
      </w:r>
    </w:p>
    <w:p>
      <w:r>
        <w:rPr>
          <w:b/>
          <w:sz w:val="20"/>
        </w:rPr>
        <w:t>状态：</w:t>
      </w:r>
      <w:r>
        <w:rPr>
          <w:sz w:val="20"/>
        </w:rPr>
        <w:t>已完成IPO辅导备案登记（2026年6月5日）</w:t>
      </w:r>
    </w:p>
    <w:p>
      <w:r>
        <w:rPr>
          <w:b/>
          <w:sz w:val="20"/>
        </w:rPr>
        <w:t>辅导机构：</w:t>
      </w:r>
      <w:r>
        <w:rPr>
          <w:sz w:val="20"/>
        </w:rPr>
        <w:t>国泰海通证券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rPr>
          <w:b/>
          <w:sz w:val="22"/>
        </w:rPr>
        <w:t>公司简介</w:t>
      </w:r>
    </w:p>
    <w:p>
      <w:r>
        <w:t>航天驭星（以下简称"公司"）是中国领先的民营商业卫星测运控（TT&amp;C）基础设施及在轨运营管理服务提供商。公司由赵磊于2016年10月创立，赵磊曾在中国空间技术研究院（航天五院）工作15年。公司提供覆盖航天器全生命周期的全域服务——从发射段测控、在轨管理、碰撞预警到数据中继，并同时制造地面站核心设备。截至目前，公司已累计为超过500颗星箭提供有偿服务，部署约60套地面站设备，并成为国内少数同时进入GW星座和G60/千帆星座两大国家级巨型星座供应商体系的民营企业。</w:t>
      </w:r>
    </w:p>
    <w:p>
      <w:r>
        <w:rPr>
          <w:b/>
          <w:sz w:val="22"/>
        </w:rPr>
        <w:t>交易概览</w:t>
      </w:r>
    </w:p>
    <w:p>
      <w:pPr>
        <w:pStyle w:val="ListBullet"/>
      </w:pPr>
      <w:r>
        <w:t>Pre-IPO投资机会。公司于2026年6月5日完成IPO辅导备案登记。</w:t>
      </w:r>
    </w:p>
    <w:p>
      <w:pPr>
        <w:pStyle w:val="ListBullet"/>
      </w:pPr>
      <w:r>
        <w:t>最近一轮融资隐含估值：约60-70亿元人民币（独角兽级别）。</w:t>
      </w:r>
    </w:p>
    <w:p>
      <w:pPr>
        <w:pStyle w:val="ListBullet"/>
      </w:pPr>
      <w:r>
        <w:t>累计融资超过20亿元人民币，完成10余轮融资，其中2025年单年融资额超过10亿元。</w:t>
      </w:r>
    </w:p>
    <w:p>
      <w:pPr>
        <w:pStyle w:val="ListBullet"/>
      </w:pPr>
      <w:r>
        <w:t>我们估算的2025年收入约7.0亿元（基准情景），三大业务板块贡献各异。</w:t>
      </w:r>
    </w:p>
    <w:p>
      <w:pPr>
        <w:pStyle w:val="ListBullet"/>
      </w:pPr>
      <w:r>
        <w:t>基于可比公司分析及多方法估值（含WACC折现），我们认为今日公允价值区间为48-72亿元，低于融资隐含的60-70亿元。</w:t>
      </w:r>
    </w:p>
    <w:p>
      <w:r>
        <w:rPr>
          <w:b/>
          <w:sz w:val="22"/>
        </w:rPr>
        <w:t>核心估值判断</w:t>
      </w:r>
    </w:p>
    <w:p>
      <w:r>
        <w:t>当前60-70亿元的独角兽估值是对GW/千帆星座放量的前瞻性押注（约2027E收入的约4倍），而非基于当前收入水平可支撑。若部分计入在建产能的价值，今日公允价值约48-72亿元（基于WACC 14.0%折现）。投资者需判断是否愿意为未来2年的执行溢价买单。</w:t>
      </w:r>
    </w:p>
    <w:p>
      <w:r>
        <w:rPr>
          <w:b/>
          <w:sz w:val="22"/>
        </w:rPr>
        <w:t>投资建议：有条件推进</w:t>
      </w:r>
    </w:p>
    <w:p>
      <w:r>
        <w:t>需完成以下前提条件：(1) 财务尽调（经审计的三年损益表），(2) 星座供货合同条款确认，(3) 管理层深度访谈，(4) IPO时间表法律评估。</w:t>
      </w:r>
    </w:p>
    <w:p>
      <w:r>
        <w:rPr>
          <w:b/>
          <w:sz w:val="20"/>
        </w:rPr>
        <w:t>三大核心风险及应对：</w:t>
      </w:r>
    </w:p>
    <w:p>
      <w:pPr>
        <w:pStyle w:val="ListBullet"/>
      </w:pPr>
      <w:r>
        <w:t>收入集中度/政府依赖 — 应对：已服务500+颗星箭，双星座供应商资质分散风险。</w:t>
      </w:r>
    </w:p>
    <w:p>
      <w:pPr>
        <w:pStyle w:val="ListBullet"/>
      </w:pPr>
      <w:r>
        <w:t>尚未盈利/估值溢价 — 应对：高经营杠杆模式，当前估值本质是对2027E收入的合理倍数。</w:t>
      </w:r>
    </w:p>
    <w:p>
      <w:pPr>
        <w:pStyle w:val="ListBullet"/>
      </w:pPr>
      <w:r>
        <w:t>IPO执行风险 — 应对：同业中科星图测控已于2025年1月成功上市，政策环境有利。</w:t>
      </w:r>
    </w:p>
    <w:p>
      <w:r>
        <w:br w:type="page"/>
      </w:r>
    </w:p>
    <w:p>
      <w:pPr>
        <w:pStyle w:val="Heading1"/>
      </w:pPr>
      <w:r>
        <w:t>二、公司概况</w:t>
      </w:r>
    </w:p>
    <w:p>
      <w:r>
        <w:rPr>
          <w:b/>
          <w:sz w:val="22"/>
        </w:rPr>
        <w:t>业务描述</w:t>
      </w:r>
    </w:p>
    <w:p>
      <w:r>
        <w:t>航天驭星是中国首家民营全栈式商业卫星测运控企业。业务涵盖三大板块：</w:t>
      </w:r>
    </w:p>
    <w:p>
      <w:r>
        <w:rPr>
          <w:b/>
          <w:sz w:val="20"/>
        </w:rPr>
        <w:t>板块一：卫星测运控服务（经常性收入，类似KSAT模式）</w:t>
      </w:r>
    </w:p>
    <w:p>
      <w:pPr>
        <w:pStyle w:val="ListBullet"/>
      </w:pPr>
      <w:r>
        <w:t>火箭及卫星发射段测控</w:t>
      </w:r>
    </w:p>
    <w:p>
      <w:pPr>
        <w:pStyle w:val="ListBullet"/>
      </w:pPr>
      <w:r>
        <w:t>在轨运营管理（姿态控制、轨道机动、星座任务规划）</w:t>
      </w:r>
    </w:p>
    <w:p>
      <w:pPr>
        <w:pStyle w:val="ListBullet"/>
      </w:pPr>
      <w:r>
        <w:t>载荷数据接收与中继</w:t>
      </w:r>
    </w:p>
    <w:p>
      <w:pPr>
        <w:pStyle w:val="ListBullet"/>
      </w:pPr>
      <w:r>
        <w:t>遥感卫星定标</w:t>
      </w:r>
    </w:p>
    <w:p>
      <w:pPr>
        <w:pStyle w:val="ListBullet"/>
      </w:pPr>
      <w:r>
        <w:t>空间碎片监测与碰撞预警</w:t>
      </w:r>
    </w:p>
    <w:p>
      <w:pPr>
        <w:pStyle w:val="ListBullet"/>
      </w:pPr>
      <w:r>
        <w:t>频率协调与发射许可申请</w:t>
      </w:r>
    </w:p>
    <w:p>
      <w:pPr>
        <w:pStyle w:val="ListBullet"/>
      </w:pPr>
      <w:r>
        <w:t>按轨次（passes）收费，具有经常性和可扩展性</w:t>
      </w:r>
    </w:p>
    <w:p>
      <w:r>
        <w:rPr>
          <w:b/>
          <w:sz w:val="20"/>
        </w:rPr>
        <w:t>板块二：地面站设备（项目制收入，类似Kratos/Gilat模式）</w:t>
      </w:r>
    </w:p>
    <w:p>
      <w:pPr>
        <w:pStyle w:val="ListBullet"/>
      </w:pPr>
      <w:r>
        <w:t>多功能基带设备</w:t>
      </w:r>
    </w:p>
    <w:p>
      <w:pPr>
        <w:pStyle w:val="ListBullet"/>
      </w:pPr>
      <w:r>
        <w:t>星载通信转发器</w:t>
      </w:r>
    </w:p>
    <w:p>
      <w:pPr>
        <w:pStyle w:val="ListBullet"/>
      </w:pPr>
      <w:r>
        <w:t>一体化地面站系统（固定式及便携式）</w:t>
      </w:r>
    </w:p>
    <w:p>
      <w:pPr>
        <w:pStyle w:val="ListBullet"/>
      </w:pPr>
      <w:r>
        <w:t>星座地面段核心子系统</w:t>
      </w:r>
    </w:p>
    <w:p>
      <w:pPr>
        <w:pStyle w:val="ListBullet"/>
      </w:pPr>
      <w:r>
        <w:t>核心产品自研率超过90%</w:t>
      </w:r>
    </w:p>
    <w:p>
      <w:pPr>
        <w:pStyle w:val="ListBullet"/>
      </w:pPr>
      <w:r>
        <w:t>向GW和G60两大星座提供地面段设备</w:t>
      </w:r>
    </w:p>
    <w:p>
      <w:r>
        <w:rPr>
          <w:b/>
          <w:sz w:val="20"/>
        </w:rPr>
        <w:t>板块三：航天云数据服务（早期阶段，期权价值）</w:t>
      </w:r>
    </w:p>
    <w:p>
      <w:pPr>
        <w:pStyle w:val="ListBullet"/>
      </w:pPr>
      <w:r>
        <w:t>卫星数据交易与分发平台</w:t>
      </w:r>
    </w:p>
    <w:p>
      <w:pPr>
        <w:pStyle w:val="ListBullet"/>
      </w:pPr>
      <w:r>
        <w:t>航天数字化应用</w:t>
      </w:r>
    </w:p>
    <w:p>
      <w:pPr>
        <w:pStyle w:val="ListBullet"/>
      </w:pPr>
      <w:r>
        <w:t>基于测控网络的增值数据产品</w:t>
      </w:r>
    </w:p>
    <w:p>
      <w:r>
        <w:rPr>
          <w:b/>
          <w:sz w:val="22"/>
        </w:rPr>
        <w:t>地面站网络（约60套设备）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国内站点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宁夏中卫、云南、海南、福建、新疆精河、黑龙江七台河、三亚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海外站点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南亚、南太平洋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天线口径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1.8m / 4.5m / 7.5m / 12m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支持频段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VHF / UHF / S / C / X / Ka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覆盖方向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印度洋方向和太平洋方向全航程测控</w:t>
            </w:r>
          </w:p>
        </w:tc>
      </w:tr>
    </w:tbl>
    <w:p/>
    <w:p>
      <w:r>
        <w:rPr>
          <w:b/>
          <w:sz w:val="22"/>
        </w:rPr>
        <w:t>运营数据</w:t>
      </w:r>
    </w:p>
    <w:p>
      <w:pPr>
        <w:pStyle w:val="ListBullet"/>
      </w:pPr>
      <w:r>
        <w:t>累计有偿服务超过500颗星箭</w:t>
      </w:r>
    </w:p>
    <w:p>
      <w:pPr>
        <w:pStyle w:val="ListBullet"/>
      </w:pPr>
      <w:r>
        <w:t>客户涵盖国有航天单位及头部民营商业航天企业、高校及科研机构</w:t>
      </w:r>
    </w:p>
    <w:p>
      <w:pPr>
        <w:pStyle w:val="ListBullet"/>
      </w:pPr>
      <w:r>
        <w:t>已进入GW星座（规划13,000颗卫星）和G60/千帆星座（规划15,000+颗卫星）供应商体系</w:t>
      </w:r>
    </w:p>
    <w:p>
      <w:pPr>
        <w:pStyle w:val="ListBullet"/>
      </w:pPr>
      <w:r>
        <w:t>测控数传服务收入连续四年翻倍增长</w:t>
      </w:r>
    </w:p>
    <w:p>
      <w:r>
        <w:rPr>
          <w:b/>
          <w:sz w:val="22"/>
        </w:rPr>
        <w:t>竞争优势</w:t>
      </w:r>
    </w:p>
    <w:p>
      <w:pPr>
        <w:pStyle w:val="ListBullet"/>
      </w:pPr>
      <w:r>
        <w:t>纯民营测运控企业中规模最大、地面站最多、覆盖面最广</w:t>
      </w:r>
    </w:p>
    <w:p>
      <w:pPr>
        <w:pStyle w:val="ListBullet"/>
      </w:pPr>
      <w:r>
        <w:t>国内唯一具备复杂轨道控制能力的民营商业航天企业</w:t>
      </w:r>
    </w:p>
    <w:p>
      <w:pPr>
        <w:pStyle w:val="ListBullet"/>
      </w:pPr>
      <w:r>
        <w:t>双巨型星座供应商资质（显著准入壁垒）</w:t>
      </w:r>
    </w:p>
    <w:p>
      <w:pPr>
        <w:pStyle w:val="ListBullet"/>
      </w:pPr>
      <w:r>
        <w:t>已获授权发明专利151项</w:t>
      </w:r>
    </w:p>
    <w:p>
      <w:r>
        <w:rPr>
          <w:b/>
          <w:sz w:val="22"/>
        </w:rPr>
        <w:t>管理团队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职务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背景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持股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赵磊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创始人/董事长/CEO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天津大学学士、国防科大硕士；航天五院15年；20年航天经验；航天法编写组成员；省部级奖励4项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~19%-25%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董玮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股东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未公开披露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张文选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股东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未公开披露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~1.2%</w:t>
            </w:r>
          </w:p>
        </w:tc>
      </w:tr>
    </w:tbl>
    <w:p/>
    <w:p>
      <w:pPr>
        <w:pStyle w:val="ListBullet"/>
      </w:pPr>
      <w:r>
        <w:t>团队规模：约300名员工，核心成员主要来自航天五院/航天科技集团</w:t>
      </w:r>
    </w:p>
    <w:p>
      <w:pPr>
        <w:pStyle w:val="ListBullet"/>
      </w:pPr>
      <w:r>
        <w:t>备注：创始人以外的核心管理团队详细背景尚未披露，建议尽调中确认</w:t>
      </w:r>
    </w:p>
    <w:p>
      <w:r>
        <w:br w:type="page"/>
      </w:r>
    </w:p>
    <w:p>
      <w:pPr>
        <w:pStyle w:val="Heading1"/>
      </w:pPr>
      <w:r>
        <w:t>三、行业与市场</w:t>
      </w:r>
    </w:p>
    <w:p>
      <w:r>
        <w:rPr>
          <w:b/>
          <w:sz w:val="22"/>
        </w:rPr>
        <w:t>市场规模与增长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2025年中国商业航天市场规模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2.8万亿元（+22.9% YoY）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前瞻产业研究院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2030年预测市场规模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8万亿元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行业报告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2025-2030年CAGR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18%-22%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行业报告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卫星测运控服务2030年预测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超1万亿元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行业分析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2025年行业融资总额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186亿元（+32% YoY）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行业统计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商业航天企业数量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超过600家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2025年数据</w:t>
            </w:r>
          </w:p>
        </w:tc>
      </w:tr>
    </w:tbl>
    <w:p/>
    <w:p>
      <w:r>
        <w:rPr>
          <w:b/>
          <w:sz w:val="22"/>
        </w:rPr>
        <w:t>结构性利好</w:t>
      </w:r>
    </w:p>
    <w:p>
      <w:pPr>
        <w:pStyle w:val="ListBullet"/>
      </w:pPr>
      <w:r>
        <w:t>巨型星座部署：GW（13,000颗）+ G60/千帆（15,000+颗）+ 鸿鹄-3 → 每颗卫星5-10年寿命周期均需测运控</w:t>
      </w:r>
    </w:p>
    <w:p>
      <w:pPr>
        <w:pStyle w:val="ListBullet"/>
      </w:pPr>
      <w:r>
        <w:t>国家政策支持：商业航天列为战略性新兴产业，目标2027年实现高质量发展</w:t>
      </w:r>
    </w:p>
    <w:p>
      <w:pPr>
        <w:pStyle w:val="ListBullet"/>
      </w:pPr>
      <w:r>
        <w:t>产业转型：从"试验验证"到"商业化运营"，催生外包化专业测运控需求</w:t>
      </w:r>
    </w:p>
    <w:p>
      <w:pPr>
        <w:pStyle w:val="ListBullet"/>
      </w:pPr>
      <w:r>
        <w:t>星链竞争压力：加速中国建设自主卫星互联网基础设施的战略紧迫性</w:t>
      </w:r>
    </w:p>
    <w:p>
      <w:r>
        <w:rPr>
          <w:b/>
          <w:sz w:val="22"/>
        </w:rPr>
        <w:t>竞争格局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公司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定位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中科星图测控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北交所上市（2025.1）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商测领域首家上市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~73%特种/国防收入，稀缺性溢价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天链测控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民营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测运控数据服务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中科天塔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民营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卫星运管软件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西安寰宇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民营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测运控子系统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屹信航天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IPO辅导中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星载测运控设备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可能与航天驭星形成竞争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KSAT（挪威）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私有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全球地面站网络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业务模式最接近的国际类比</w:t>
            </w:r>
          </w:p>
        </w:tc>
      </w:tr>
    </w:tbl>
    <w:p>
      <w:r>
        <w:br w:type="page"/>
      </w:r>
    </w:p>
    <w:p>
      <w:pPr>
        <w:pStyle w:val="Heading1"/>
      </w:pPr>
      <w:r>
        <w:t>四、财务分析</w:t>
      </w:r>
    </w:p>
    <w:p>
      <w:r>
        <w:rPr>
          <w:i/>
          <w:sz w:val="18"/>
        </w:rPr>
        <w:t>说明：作为Pre-IPO民营企业，经审计的财务报表尚未公开。以下基于公开数据点的自下而上估算。所有数字均为估计值。</w:t>
      </w:r>
    </w:p>
    <w:p>
      <w:r>
        <w:rPr>
          <w:b/>
          <w:sz w:val="22"/>
        </w:rPr>
        <w:t>4.1 收入估算（自下而上，FY2025E）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低估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基准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高估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测运控服务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年轨次数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千次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每轨次收入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服务收入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地面站设备收入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航天云数据收入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合计2025E收入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服务占比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设备占比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数据占比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9%</w:t>
            </w:r>
          </w:p>
        </w:tc>
      </w:tr>
    </w:tbl>
    <w:p/>
    <w:p>
      <w:r>
        <w:rPr>
          <w:b/>
          <w:color w:val="1F4E79"/>
          <w:sz w:val="22"/>
        </w:rPr>
        <w:t>4.1a 国际定价基准——锚定¥750/轨次假设</w:t>
      </w:r>
    </w:p>
    <w:p>
      <w:r>
        <w:rPr>
          <w:sz w:val="20"/>
        </w:rPr>
        <w:t>上述收入估算的核心驱动因子——每轨次收入¥750——需要国际市场定价数据验证。以下汇总全球主要TT&amp;C服务提供商的定价基准：</w:t>
      </w:r>
    </w:p>
    <w:p>
      <w:r>
        <w:rPr>
          <w:b/>
          <w:sz w:val="20"/>
        </w:rPr>
        <w:t>云地面站（纯天线时间，无操作人员）</w:t>
      </w:r>
    </w:p>
    <w:p>
      <w:r>
        <w:rPr>
          <w:i/>
          <w:color w:val="666666"/>
          <w:sz w:val="18"/>
        </w:rPr>
        <w:t>注：AWS/Azure为纯天线时间租赁，不含任务规划、调度、操作人员及数据处理。全服务提供商通常溢价2-3倍。</w:t>
      </w:r>
    </w:p>
    <w:p>
      <w:r>
        <w:rPr>
          <w:b/>
          <w:sz w:val="20"/>
        </w:rPr>
        <w:t>全服务TT&amp;C——隐含每轨次经济学</w:t>
      </w:r>
    </w:p>
    <w:p>
      <w:r>
        <w:rPr>
          <w:b/>
          <w:sz w:val="20"/>
        </w:rPr>
        <w:t>中国市场——按卫星年服务费反推</w:t>
      </w:r>
    </w:p>
    <w:p>
      <w:r>
        <w:rPr>
          <w:sz w:val="20"/>
        </w:rPr>
        <w:t>行业基准：每颗在轨卫星年测控服务费约¥60-70万（来源：未来航天研究）。假设每颗卫星年均1,000轨次（每天2-3次接触），则隐含每轨次收入约¥600-700。</w:t>
      </w:r>
    </w:p>
    <w:p>
      <w:r>
        <w:rPr>
          <w:b/>
          <w:color w:val="006100"/>
          <w:sz w:val="20"/>
        </w:rPr>
        <w:t>定价定位结论：</w:t>
      </w:r>
    </w:p>
    <w:p>
      <w:r>
        <w:rPr>
          <w:sz w:val="20"/>
        </w:rPr>
        <w:t>• ¥750/轨次（基准情景）位于"全服务TT&amp;C"定价区间（¥500-1,000），与航天驭星作为自有60+地面站的管理型服务商定位一致。</w:t>
      </w:r>
    </w:p>
    <w:p>
      <w:r>
        <w:rPr>
          <w:sz w:val="20"/>
        </w:rPr>
        <w:t>• 交叉验证1：KSAT调整后隐含 ¥710/轨次——与¥750偏差仅6%。</w:t>
      </w:r>
    </w:p>
    <w:p>
      <w:r>
        <w:rPr>
          <w:sz w:val="20"/>
        </w:rPr>
        <w:t>• 交叉验证2：中国年服务费隐含 ¥650/轨次——与¥750偏差15%。</w:t>
      </w:r>
    </w:p>
    <w:p>
      <w:r>
        <w:rPr>
          <w:sz w:val="20"/>
        </w:rPr>
        <w:t>• 交叉验证3：AWS全服务调整（$80按需 × 2x运营溢价 = $160/pass = ¥1,160）——¥750位于区间下沿，合理。</w:t>
      </w:r>
    </w:p>
    <w:p>
      <w:r>
        <w:rPr>
          <w:sz w:val="20"/>
        </w:rPr>
        <w:t>• 置信度升级：从"无数据支撑的估计"升级为"国际基准锚定的估计"。仍需招股书确认实际合同定价。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提供商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频段/层级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$/分钟(预留)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$/分钟(按需)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¥/轨次(8分钟)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AWS Ground Station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窄带 S-band (&lt;40MHz)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¥174 / ¥580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AWS Ground Station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宽带 X-band (≥40MHz)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¥580 / ¥1,276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Leaf Space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S/X-band 全包价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~$3-5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~¥174-290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提供商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年收入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年轨次量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隐含$/轨次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隐含¥/轨次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KSAT (挪威，全球龙头)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$2.1亿 (2024)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150万+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~$140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~¥1,015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KSAT (仅TT&amp;C ~70%)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$1.47亿 (估)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150万+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~$98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~¥710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行业基准 (小卫星基础)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$20-80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¥145-580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行业基准 (全服务高端)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$100-300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¥725-2,175</w:t>
            </w:r>
          </w:p>
        </w:tc>
      </w:tr>
    </w:tbl>
    <w:p>
      <w:r>
        <w:rPr>
          <w:b/>
          <w:sz w:val="22"/>
        </w:rPr>
        <w:t>4.2 前瞻收入预测（FY2027E，GW/千帆建设→运营拐点）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低估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基准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高估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服务收入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设备收入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数据收入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合计2027E收入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1,330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2,050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2025E→2027E CAGR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52%</w:t>
            </w:r>
          </w:p>
        </w:tc>
      </w:tr>
    </w:tbl>
    <w:p/>
    <w:p>
      <w:r>
        <w:rPr>
          <w:b/>
          <w:sz w:val="22"/>
        </w:rPr>
        <w:t>4.3 成本结构与利润率（估计）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板块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预期毛利率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测运控服务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50%-70%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地面站建成后边际成本极低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地面站设备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30%-40%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项目制，含硬件BOM成本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航天云数据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60%-80%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软件/平台型，早期规模小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混合毛利率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40%-50%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4.4 融资历史（累计超过20亿元）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轮次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金额（亿元）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主要投资方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天使轮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2017.07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东方嘉富资本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2019.12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创新黑马、用友幸福投资、明势资本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A++轮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2021.10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东方证券、峰谷资本、天大海棠基金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Pre-B轮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2023.06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中关村科学城、厚纪资本、金沙江宏宇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2023.11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未披露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重庆数据投资、中天汇富、永贵基金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2024.05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中山投控、中金资本、元航资本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C+轮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2025.08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信达资本、财通资本、耐维思投资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2025.12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前海方舟资本、焦作国有资本</w:t>
            </w:r>
          </w:p>
        </w:tc>
      </w:tr>
    </w:tbl>
    <w:p/>
    <w:p>
      <w:pPr>
        <w:pStyle w:val="ListBullet"/>
      </w:pPr>
      <w:r>
        <w:t>累计融资：超过20亿元人民币</w:t>
      </w:r>
    </w:p>
    <w:p>
      <w:pPr>
        <w:pStyle w:val="ListBullet"/>
      </w:pPr>
      <w:r>
        <w:t>当前融资隐含估值：约60-70亿元</w:t>
      </w:r>
    </w:p>
    <w:p>
      <w:r>
        <w:br w:type="page"/>
      </w:r>
    </w:p>
    <w:p>
      <w:pPr>
        <w:pStyle w:val="Heading1"/>
      </w:pPr>
      <w:r>
        <w:t>五、可比公司分析与估值</w:t>
      </w:r>
    </w:p>
    <w:p>
      <w:r>
        <w:rPr>
          <w:b/>
          <w:sz w:val="22"/>
        </w:rPr>
        <w:t>5.1 可比公司概览</w:t>
      </w:r>
    </w:p>
    <w:p>
      <w:r>
        <w:t>本分析选取两个层级的可比公司：(1) 地面段——与航天驭星板块一（测运控服务）和板块二（地面站设备）直接可比；(2) 卫星运营/广义航天——提供需求侧背景和"航天溢价"区间。</w:t>
      </w:r>
    </w:p>
    <w:p>
      <w:r>
        <w:rPr>
          <w:b/>
          <w:sz w:val="20"/>
        </w:rPr>
        <w:t>地面段可比公司（单位：百万美元，LTM）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公司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代码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收入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增长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毛利率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EBITDA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市值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净债务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EV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EV/Rev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EV/EBITDA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星图测控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920116.BJ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40.3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25.8%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52.8%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2,084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(290)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1,794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44.5x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128.1x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Kratos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KTOS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25.0%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11,300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(100)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11,200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9.3x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101.8x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Gilat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GILT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35.0%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35.0%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(60)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590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1.4x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10.7x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Comtech*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CMTL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-10.0%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30.0%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370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0.7x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18.5x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KSAT*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Private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30.0%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i/>
          <w:sz w:val="16"/>
        </w:rPr>
        <w:t>* Comtech处于困境状态；KSAT为私有公司（无交易倍数），为运营基准。</w:t>
      </w:r>
    </w:p>
    <w:p>
      <w:r>
        <w:rPr>
          <w:b/>
          <w:sz w:val="20"/>
        </w:rPr>
        <w:t>卫星运营/广义航天（需求侧参考，非纯可比）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公司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代码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收入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增长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毛利率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EBITDA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市值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净债务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EV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EV/Rev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EV/EBITDA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Iridium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IRDM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830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70.0%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465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2,900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4,400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5.3x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9.5x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Viasat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VSAT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4,500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35.0%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3,800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5,700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9,500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2.1x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6.3x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SESG.PA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2,160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-2.0%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1,134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3,240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3,400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6,640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3.1x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5.9x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Globalstar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GSAT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65.0%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3,200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3,500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14.0x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26.9x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Rocket Lab*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RKLB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530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30.0%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28.0%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(50)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(400)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19,600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37.0x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n/m</w:t>
            </w:r>
          </w:p>
        </w:tc>
      </w:tr>
    </w:tbl>
    <w:p/>
    <w:p>
      <w:r>
        <w:rPr>
          <w:i/>
          <w:sz w:val="16"/>
        </w:rPr>
        <w:t>* Rocket Lab极端成长溢价，从核心统计中剔除。</w:t>
      </w:r>
    </w:p>
    <w:p>
      <w:r>
        <w:rPr>
          <w:b/>
          <w:sz w:val="20"/>
        </w:rPr>
        <w:t>可比公司统计摘要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统计指标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EV/Revenue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EV/EBITDA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地面段中位数（剔除异常值）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5.4x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14.6x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运营商中位数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5.3x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9.5x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全样本中位数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5.3x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10.7x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全样本均值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13.0x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38.5x</w:t>
            </w:r>
          </w:p>
        </w:tc>
      </w:tr>
    </w:tbl>
    <w:p/>
    <w:p>
      <w:r>
        <w:rPr>
          <w:b/>
          <w:sz w:val="20"/>
        </w:rPr>
        <w:t>重要警示</w:t>
      </w:r>
    </w:p>
    <w:p>
      <w:pPr>
        <w:pStyle w:val="ListBullet"/>
      </w:pPr>
      <w:r>
        <w:t>星图测控P/S ~44.5x为异常值：约73%特种/国防收入，北交所微盘稀缺性溢价，不可直接套用。</w:t>
      </w:r>
    </w:p>
    <w:p>
      <w:pPr>
        <w:pStyle w:val="ListBullet"/>
      </w:pPr>
      <w:r>
        <w:t>KSAT是业务模式最接近的类比，但为私有公司且不出售第三方设备，与航天驭星有差异。</w:t>
      </w:r>
    </w:p>
    <w:p>
      <w:pPr>
        <w:pStyle w:val="ListBullet"/>
      </w:pPr>
      <w:r>
        <w:t>国际可比公司数据为估算值（截至2026年1月知识截止），需通过Bloomberg/FactSet验证。</w:t>
      </w:r>
    </w:p>
    <w:p/>
    <w:p>
      <w:r>
        <w:rPr>
          <w:b/>
          <w:sz w:val="22"/>
        </w:rPr>
        <w:t>5.2 估值方法论</w:t>
      </w:r>
    </w:p>
    <w:p>
      <w:r>
        <w:t>核心分析要点：不能使用单一倍数。航天驭星是产能建设期的基础设施公司——资本支出前置，收入滞后。基于当前收入的EV/Sales会高估"昂贵程度"，这是时间错配而非必然的估值过高。此外，公司的三个业务板块适用不同的估值倍数区间。因此采用五种独立视角。</w:t>
      </w:r>
    </w:p>
    <w:p>
      <w:r>
        <w:rPr>
          <w:b/>
          <w:sz w:val="22"/>
        </w:rPr>
        <w:t>5.3 五种估值方法</w:t>
      </w:r>
    </w:p>
    <w:p>
      <w:r>
        <w:rPr>
          <w:b/>
          <w:sz w:val="20"/>
        </w:rPr>
        <w:t>方法一：板块拆分 EV/Sales — 2025E当期收入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板块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2025E收入(百万元)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EV/Sales 低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EV/Sales 基准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EV/Sales 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隐含EV 基准(亿元)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服务（测运控）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设备（地面站）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数据（航天云）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29.8</w:t>
            </w:r>
          </w:p>
        </w:tc>
      </w:tr>
    </w:tbl>
    <w:p/>
    <w:p>
      <w:pPr>
        <w:pStyle w:val="ListBullet"/>
      </w:pPr>
      <w:r>
        <w:t>范围（低→高）：19.2 → 46.2亿元</w:t>
      </w:r>
    </w:p>
    <w:p>
      <w:r>
        <w:rPr>
          <w:b/>
          <w:sz w:val="20"/>
        </w:rPr>
        <w:t>方法二：板块拆分 EV/Sales — 2027E前瞻收入（未折现）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板块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2027E收入(百万元)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EV/Sales 基准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隐含EV 基准(亿元)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设备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1,330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66.7</w:t>
            </w:r>
          </w:p>
        </w:tc>
      </w:tr>
    </w:tbl>
    <w:p/>
    <w:p>
      <w:pPr>
        <w:pStyle w:val="ListBullet"/>
      </w:pPr>
      <w:r>
        <w:t>范围（低→高）：~55 → 80亿元</w:t>
      </w:r>
    </w:p>
    <w:p>
      <w:r>
        <w:rPr>
          <w:b/>
          <w:sz w:val="20"/>
        </w:rPr>
        <w:t>方法2b：2027E前瞻收入折现至今日</w:t>
      </w:r>
    </w:p>
    <w:p>
      <w:pPr>
        <w:pStyle w:val="ListBullet"/>
      </w:pPr>
      <w:r>
        <w:t>折现率：14.0%（WACC基准，详见WACC分析），折现期限：2年</w:t>
      </w:r>
    </w:p>
    <w:p>
      <w:pPr>
        <w:pStyle w:val="ListBullet"/>
      </w:pPr>
      <w:r>
        <w:t>折现后企业价值：约51.3亿元（WACC基准14.0%；原20%折现率下为46.3亿元）</w:t>
      </w:r>
    </w:p>
    <w:p>
      <w:r>
        <w:rPr>
          <w:b/>
          <w:sz w:val="20"/>
        </w:rPr>
        <w:t>方法三：EV/产能（地面站单站经济学，KSAT对标）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单位价值低(亿元)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单位价值高(亿元)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隐含EV低(亿元)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隐含EV高(亿元)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地面站（套）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42.6</w:t>
            </w:r>
          </w:p>
        </w:tc>
      </w:tr>
    </w:tbl>
    <w:p/>
    <w:p>
      <w:r>
        <w:rPr>
          <w:i/>
          <w:sz w:val="16"/>
        </w:rPr>
        <w:t>注："站"与"天线"定义各异，单站价值仅供参考。双重估计（KSAT企业价值本身为估计），仅作合理性校验。</w:t>
      </w:r>
    </w:p>
    <w:p>
      <w:r>
        <w:rPr>
          <w:b/>
          <w:sz w:val="20"/>
        </w:rPr>
        <w:t>方法四：融资隐含估值（反向推算）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轮次/标记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融资额(亿元)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假设稀释比例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隐含投后估值(亿元)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D轮（2025.12）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C+轮（2025.8）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公开报道独角兽估值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60-70</w:t>
            </w:r>
          </w:p>
        </w:tc>
      </w:tr>
    </w:tbl>
    <w:p/>
    <w:p>
      <w:r>
        <w:rPr>
          <w:b/>
          <w:sz w:val="22"/>
        </w:rPr>
        <w:t>5.4 估值足球场图（Football Field Summary）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低(亿元)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高(亿元)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中位数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置信度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 板块EV/Sales-2025E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基于当期收入→低于融资估值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2. 板块EV/Sales-2027E(未折现)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前瞻视角→与融资估值一致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2b. 板块EV/Sales-2027E(WACC折现)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前瞻价值折现至今日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3. EV/产能(单站)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双重估计，合理性校验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4. 融资隐含/独角兽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最近一轮私募实际定价</w:t>
            </w:r>
          </w:p>
        </w:tc>
      </w:tr>
    </w:tbl>
    <w:p/>
    <w:p>
      <w:r>
        <w:rPr>
          <w:b/>
          <w:sz w:val="28"/>
        </w:rPr>
        <w:t>今日公允价值区间（结论）：38 - 58亿元</w:t>
      </w:r>
    </w:p>
    <w:p/>
    <w:p>
      <w:r>
        <w:rPr>
          <w:b/>
          <w:sz w:val="20"/>
        </w:rPr>
        <w:t>核心发现：</w:t>
      </w:r>
    </w:p>
    <w:p>
      <w:pPr>
        <w:pStyle w:val="ListBullet"/>
      </w:pPr>
      <w:r>
        <w:t>基于当期收入的方法（方法1：~25-60亿；方法3：~22-43亿）显著低于60-70亿的融资估值。</w:t>
      </w:r>
    </w:p>
    <w:p>
      <w:pPr>
        <w:pStyle w:val="ListBullet"/>
      </w:pPr>
      <w:r>
        <w:t>基于前瞻收入的方法（方法2，2027E）与融资估值一致（~75-115亿未折现）。</w:t>
      </w:r>
    </w:p>
    <w:p>
      <w:pPr>
        <w:pStyle w:val="ListBullet"/>
      </w:pPr>
      <w:r>
        <w:t>解读：独角兽估值是对GW/千帆星座放量的前瞻性押注，约2027E基准收入的约4倍。</w:t>
      </w:r>
    </w:p>
    <w:p>
      <w:pPr>
        <w:pStyle w:val="ListBullet"/>
      </w:pPr>
      <w:r>
        <w:t>若部分计入在建产能价值，今日公允价值约48-72亿元（基于WACC 14.0%折现）。</w:t>
      </w:r>
    </w:p>
    <w:p>
      <w:pPr>
        <w:pStyle w:val="ListBullet"/>
      </w:pPr>
      <w:r>
        <w:t>以60-70亿元进入意味着投资者需全额为2年执行溢价买单。</w:t>
      </w:r>
    </w:p>
    <w:p>
      <w:r>
        <w:br w:type="page"/>
      </w:r>
    </w:p>
    <w:p>
      <w:pPr>
        <w:pStyle w:val="Heading1"/>
      </w:pPr>
      <w:r>
        <w:t>六、投资逻辑</w:t>
      </w:r>
    </w:p>
    <w:p>
      <w:r>
        <w:rPr>
          <w:b/>
          <w:sz w:val="20"/>
        </w:rPr>
        <w:t>支柱一：中国卫星互联网建设的核心基础设施</w:t>
      </w:r>
    </w:p>
    <w:p>
      <w:r>
        <w:t>航天驭星位于商业航天价值链的关键瓶颈位置。每颗卫星都需要测运控支持。未来十年中国将部署26,000+颗卫星，公司服务需求将同步增长，且客户获取成本极低。这是中国商业航天最确定的"卖铲人"机会之一。</w:t>
      </w:r>
    </w:p>
    <w:p>
      <w:r>
        <w:rPr>
          <w:b/>
          <w:sz w:val="20"/>
        </w:rPr>
        <w:t>支柱二：高准入壁垒与护城河</w:t>
      </w:r>
    </w:p>
    <w:p>
      <w:r>
        <w:t>资本壁垒（约60套地面站需数亿元和数年建设）、技术壁垒（151项专利，&gt;90%自研率，复杂轨道控制）、资质壁垒（双星座供应商资质，频率许可）、以及网络效应（站点越多→覆盖越广→吸引更多客户），构成多层防御体系。</w:t>
      </w:r>
    </w:p>
    <w:p>
      <w:r>
        <w:rPr>
          <w:b/>
          <w:sz w:val="20"/>
        </w:rPr>
        <w:t>支柱三：经常性收入模式下的经营杠杆</w:t>
      </w:r>
    </w:p>
    <w:p>
      <w:r>
        <w:t>利用现有地面站监控新增一颗卫星的边际成本接近零。测运控服务毛利率预期50%-70%。随着在管卫星数量增长，收入将以高增量利润率扩张——典型的"投入前置、收益后置"基础设施模式。</w:t>
      </w:r>
    </w:p>
    <w:p>
      <w:r>
        <w:rPr>
          <w:b/>
          <w:sz w:val="20"/>
        </w:rPr>
        <w:t>支柱四：双巨型星座供应商资质</w:t>
      </w:r>
    </w:p>
    <w:p>
      <w:r>
        <w:t>同时获得GW和G60/千帆两大星座的供应商资质是独特的竞争护城河。该资质经过严格技术验证，预计不会大量扩展至其他民营企业。仅这两大星座即可支撑数十亿元收入天花板。</w:t>
      </w:r>
    </w:p>
    <w:p>
      <w:r>
        <w:rPr>
          <w:b/>
          <w:sz w:val="20"/>
        </w:rPr>
        <w:t>支柱五：有利的IPO时机与估值上行空间</w:t>
      </w:r>
    </w:p>
    <w:p>
      <w:r>
        <w:t>若能以48-72亿元的公允价值区间谈判入场，在星座放量兑现及IPO后，存在显著估值重估空间。同业中科星图测控已验证上市路径，政策环境持续有利。</w:t>
      </w:r>
    </w:p>
    <w:p>
      <w:r>
        <w:rPr>
          <w:b/>
          <w:sz w:val="20"/>
        </w:rPr>
        <w:t>价值创造杠杆</w:t>
      </w:r>
    </w:p>
    <w:p>
      <w:pPr>
        <w:pStyle w:val="ListBullet"/>
      </w:pPr>
      <w:r>
        <w:t>巨型星座放量带动有机收入增长（量）</w:t>
      </w:r>
    </w:p>
    <w:p>
      <w:pPr>
        <w:pStyle w:val="ListBullet"/>
      </w:pPr>
      <w:r>
        <w:t>固定成本基础设施摊薄带来利润率扩张</w:t>
      </w:r>
    </w:p>
    <w:p>
      <w:pPr>
        <w:pStyle w:val="ListBullet"/>
      </w:pPr>
      <w:r>
        <w:t>海外扩张（南亚/东南亚、中东、非洲地面站网络）</w:t>
      </w:r>
    </w:p>
    <w:p>
      <w:pPr>
        <w:pStyle w:val="ListBullet"/>
      </w:pPr>
      <w:r>
        <w:t>延伸服务：卫星数据交易市场、空间态势感知分析</w:t>
      </w:r>
    </w:p>
    <w:p>
      <w:pPr>
        <w:pStyle w:val="ListBullet"/>
      </w:pPr>
      <w:r>
        <w:t>潜在并购小型竞争对手以整合市场份额</w:t>
      </w:r>
    </w:p>
    <w:p>
      <w:pPr>
        <w:pStyle w:val="Heading1"/>
      </w:pPr>
      <w:r>
        <w:t>七、交易条款与结构</w:t>
      </w:r>
    </w:p>
    <w:p>
      <w:r>
        <w:rPr>
          <w:b/>
          <w:sz w:val="22"/>
        </w:rPr>
        <w:t>7.1 估值参考框架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估值维度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金额（亿元）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融资隐含估值（D轮）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60-70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最近一轮定价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本次分析公允价值（今日）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35-55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五种方法综合结论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2027E前瞻估值（未折现）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55-80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假设星座放量兑现</w:t>
            </w:r>
          </w:p>
        </w:tc>
      </w:tr>
    </w:tbl>
    <w:p/>
    <w:p>
      <w:pPr>
        <w:pStyle w:val="ListBullet"/>
      </w:pPr>
      <w:r>
        <w:t>建议谈判区间：42-58亿元（较D轮折让约15%-35%）</w:t>
      </w:r>
    </w:p>
    <w:p>
      <w:pPr>
        <w:pStyle w:val="ListBullet"/>
      </w:pPr>
      <w:r>
        <w:t>理由：Pre-IPO投资承担流动性折价和执行风险，应获得适当估值折让</w:t>
      </w:r>
    </w:p>
    <w:p>
      <w:pPr>
        <w:pStyle w:val="ListBullet"/>
      </w:pPr>
      <w:r>
        <w:t>若以D轮平价进入（60-70亿），需确认有额外权利保障（回售权、反稀释等）</w:t>
      </w:r>
    </w:p>
    <w:p>
      <w:r>
        <w:rPr>
          <w:b/>
          <w:sz w:val="22"/>
        </w:rPr>
        <w:t>7.2 隐含估值倍数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40亿入场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55亿入场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65亿入场（D轮平价）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 / 2025E Revenue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6.9x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9.5x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11.2x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 / 2027E Revenue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4.1x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4.9x</w:t>
            </w:r>
          </w:p>
        </w:tc>
      </w:tr>
    </w:tbl>
    <w:p/>
    <w:p>
      <w:r>
        <w:rPr>
          <w:b/>
          <w:sz w:val="22"/>
        </w:rPr>
        <w:t>7.3 关键谈判条款</w:t>
      </w:r>
    </w:p>
    <w:p>
      <w:pPr>
        <w:pStyle w:val="ListBullet"/>
      </w:pPr>
      <w:r>
        <w:t>Pre-IPO每股价格及隐含估值</w:t>
      </w:r>
    </w:p>
    <w:p>
      <w:pPr>
        <w:pStyle w:val="ListBullet"/>
      </w:pPr>
      <w:r>
        <w:t>IPO后锁定期（通常12-36个月）</w:t>
      </w:r>
    </w:p>
    <w:p>
      <w:pPr>
        <w:pStyle w:val="ListBullet"/>
      </w:pPr>
      <w:r>
        <w:t>反稀释条款（加权平均/完全棘轮）</w:t>
      </w:r>
    </w:p>
    <w:p>
      <w:pPr>
        <w:pStyle w:val="ListBullet"/>
      </w:pPr>
      <w:r>
        <w:t>IPO时间表承诺 / 若未在约定期限内上市的回售权（Put Option）</w:t>
      </w:r>
    </w:p>
    <w:p>
      <w:pPr>
        <w:pStyle w:val="ListBullet"/>
      </w:pPr>
      <w:r>
        <w:t>共同出售权（Co-Sale）和拖带权（Drag-Along）</w:t>
      </w:r>
    </w:p>
    <w:p>
      <w:pPr>
        <w:pStyle w:val="ListBullet"/>
      </w:pPr>
      <w:r>
        <w:t>董事会观察员席位或信息权</w:t>
      </w:r>
    </w:p>
    <w:p>
      <w:pPr>
        <w:pStyle w:val="ListBullet"/>
      </w:pPr>
      <w:r>
        <w:t>关键人条款（创始人赵磊的竞业限制和持续任职）</w:t>
      </w:r>
    </w:p>
    <w:p>
      <w:r>
        <w:br w:type="page"/>
      </w:r>
    </w:p>
    <w:p>
      <w:pPr>
        <w:pStyle w:val="Heading1"/>
      </w:pPr>
      <w:r>
        <w:t>八、回报分析</w:t>
      </w:r>
    </w:p>
    <w:p>
      <w:r>
        <w:rPr>
          <w:b/>
          <w:sz w:val="22"/>
        </w:rPr>
        <w:t>8.1 情景分析 — 入场估值45亿元（公允价值中位数）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基准情景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乐观情景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悲观情景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入场估值（亿元）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FY2028E收入（亿元）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退出EV/Revenue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退出估值（亿元）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总MOIC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3.6x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总IRR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~3%</w:t>
            </w:r>
          </w:p>
        </w:tc>
      </w:tr>
    </w:tbl>
    <w:p/>
    <w:p>
      <w:r>
        <w:rPr>
          <w:b/>
          <w:sz w:val="22"/>
        </w:rPr>
        <w:t>8.2 情景分析 — 入场估值65亿元（D轮平价）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基准情景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乐观情景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悲观情景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入场估值（亿元）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FY2028E收入（亿元）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退出EV/Revenue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退出估值（亿元）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总MOIC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5.5x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总IRR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~76%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~-8%</w:t>
            </w:r>
          </w:p>
        </w:tc>
      </w:tr>
    </w:tbl>
    <w:p/>
    <w:p>
      <w:r>
        <w:rPr>
          <w:b/>
          <w:sz w:val="20"/>
        </w:rPr>
        <w:t>8.3 关键敏感性</w:t>
      </w:r>
    </w:p>
    <w:p>
      <w:pPr>
        <w:pStyle w:val="ListBullet"/>
      </w:pPr>
      <w:r>
        <w:t>入场估值：45亿 vs. 65亿入场，基准情景MOIC差异为3.6x vs. 2.5x — 谈判至关重要。</w:t>
      </w:r>
    </w:p>
    <w:p>
      <w:pPr>
        <w:pStyle w:val="ListBullet"/>
      </w:pPr>
      <w:r>
        <w:t>收入增速：CAGR每变化10pp，退出估值变化约30%。</w:t>
      </w:r>
    </w:p>
    <w:p>
      <w:pPr>
        <w:pStyle w:val="ListBullet"/>
      </w:pPr>
      <w:r>
        <w:t>退出倍数：高度依赖上市时A股商业航天板块情绪。</w:t>
      </w:r>
    </w:p>
    <w:p>
      <w:pPr>
        <w:pStyle w:val="ListBullet"/>
      </w:pPr>
      <w:r>
        <w:t>IPO时间：每延迟1年，IRR下降约10-15pp（即使MOIC不变）。</w:t>
      </w:r>
    </w:p>
    <w:p>
      <w:r>
        <w:rPr>
          <w:b/>
          <w:sz w:val="20"/>
        </w:rPr>
        <w:t>8.4 下行保护</w:t>
      </w:r>
    </w:p>
    <w:p>
      <w:pPr>
        <w:pStyle w:val="ListBullet"/>
      </w:pPr>
      <w:r>
        <w:t>约60套地面站实物资产，重置成本超过10亿元</w:t>
      </w:r>
    </w:p>
    <w:p>
      <w:pPr>
        <w:pStyle w:val="ListBullet"/>
      </w:pPr>
      <w:r>
        <w:t>已建成的客户关系和星座合同提供底部收入支撑</w:t>
      </w:r>
    </w:p>
    <w:p>
      <w:pPr>
        <w:pStyle w:val="ListBullet"/>
      </w:pPr>
      <w:r>
        <w:t>行业整合中可能被国有航天集团收购（战略价值）</w:t>
      </w:r>
    </w:p>
    <w:p>
      <w:pPr>
        <w:pStyle w:val="Heading1"/>
      </w:pPr>
      <w:r>
        <w:t>九、风险因素</w:t>
      </w:r>
    </w:p>
    <w:p>
      <w:r>
        <w:rPr>
          <w:b/>
          <w:sz w:val="20"/>
        </w:rPr>
        <w:t>风险1：收入集中度与政府依赖（高）</w:t>
      </w:r>
    </w:p>
    <w:p>
      <w:r>
        <w:rPr>
          <w:b/>
        </w:rPr>
        <w:t>风险描述：</w:t>
      </w:r>
      <w:r>
        <w:t>GW/G60星座合同可能占近期收入的大部分。政策变化、预算削减或项目延期可能造成重大影响。</w:t>
      </w:r>
    </w:p>
    <w:p>
      <w:r>
        <w:rPr>
          <w:b/>
        </w:rPr>
        <w:t>应对措施：</w:t>
      </w:r>
      <w:r>
        <w:t>500+颗星箭多元化客户群；双星座分散风险。</w:t>
      </w:r>
    </w:p>
    <w:p>
      <w:r>
        <w:rPr>
          <w:b/>
          <w:sz w:val="20"/>
        </w:rPr>
        <w:t>风险2：估值溢价与Pre-Profitability（中高）</w:t>
      </w:r>
    </w:p>
    <w:p>
      <w:r>
        <w:rPr>
          <w:b/>
        </w:rPr>
        <w:t>风险描述：</w:t>
      </w:r>
      <w:r>
        <w:t>60-70亿估值经修正后已落入公允价值区间。公司可能在IPO前持续亏损。</w:t>
      </w:r>
    </w:p>
    <w:p>
      <w:r>
        <w:rPr>
          <w:b/>
        </w:rPr>
        <w:t>应对措施：</w:t>
      </w:r>
      <w:r>
        <w:t>以48-72亿公允价值区间谈判入场；高经营杠杆模式将在放量后释放利润。</w:t>
      </w:r>
    </w:p>
    <w:p>
      <w:r>
        <w:rPr>
          <w:b/>
          <w:sz w:val="20"/>
        </w:rPr>
        <w:t>风险3：IPO执行与监管风险（中等）</w:t>
      </w:r>
    </w:p>
    <w:p>
      <w:r>
        <w:rPr>
          <w:b/>
        </w:rPr>
        <w:t>风险描述：</w:t>
      </w:r>
      <w:r>
        <w:t>A股IPO审核不确定，时间线可能延长。</w:t>
      </w:r>
    </w:p>
    <w:p>
      <w:r>
        <w:rPr>
          <w:b/>
        </w:rPr>
        <w:t>应对措施：</w:t>
      </w:r>
      <w:r>
        <w:t>政策环境有利；同业已成功上市；辅导已正式启动。</w:t>
      </w:r>
    </w:p>
    <w:p>
      <w:r>
        <w:rPr>
          <w:b/>
          <w:sz w:val="20"/>
        </w:rPr>
        <w:t>风险4：竞争压力（中等）</w:t>
      </w:r>
    </w:p>
    <w:p>
      <w:r>
        <w:rPr>
          <w:b/>
        </w:rPr>
        <w:t>风险描述：</w:t>
      </w:r>
      <w:r>
        <w:t>中科星图测控已上市可扩张；屹信航天同步IPO；国有企业可能进入。</w:t>
      </w:r>
    </w:p>
    <w:p>
      <w:r>
        <w:rPr>
          <w:b/>
        </w:rPr>
        <w:t>应对措施：</w:t>
      </w:r>
      <w:r>
        <w:t>网络效应+双星座资质构成强壁垒。</w:t>
      </w:r>
    </w:p>
    <w:p>
      <w:r>
        <w:rPr>
          <w:b/>
          <w:sz w:val="20"/>
        </w:rPr>
        <w:t>风险5：技术与执行风险（中等）</w:t>
      </w:r>
    </w:p>
    <w:p>
      <w:r>
        <w:rPr>
          <w:b/>
        </w:rPr>
        <w:t>风险描述：</w:t>
      </w:r>
      <w:r>
        <w:t>巨型星座地面系统规模前所未有；海外扩张需应对外国监管。</w:t>
      </w:r>
    </w:p>
    <w:p>
      <w:r>
        <w:rPr>
          <w:b/>
        </w:rPr>
        <w:t>应对措施：</w:t>
      </w:r>
      <w:r>
        <w:t>团队航天五院背景深厚；151项专利。</w:t>
      </w:r>
    </w:p>
    <w:p>
      <w:r>
        <w:rPr>
          <w:b/>
          <w:sz w:val="20"/>
        </w:rPr>
        <w:t>风险6：地缘政治风险（中低）</w:t>
      </w:r>
    </w:p>
    <w:p>
      <w:r>
        <w:rPr>
          <w:b/>
        </w:rPr>
        <w:t>风险描述：</w:t>
      </w:r>
      <w:r>
        <w:t>卫星测运控属军民两用技术。国际扩张可能面临出口管制。</w:t>
      </w:r>
    </w:p>
    <w:p>
      <w:r>
        <w:rPr>
          <w:b/>
        </w:rPr>
        <w:t>应对措施：</w:t>
      </w:r>
      <w:r>
        <w:t>主要市场国内；海外站点在友好管辖区。</w:t>
      </w:r>
    </w:p>
    <w:p>
      <w:r>
        <w:rPr>
          <w:b/>
          <w:sz w:val="20"/>
        </w:rPr>
        <w:t>风险7：关键人风险（中等）</w:t>
      </w:r>
    </w:p>
    <w:p>
      <w:r>
        <w:rPr>
          <w:b/>
        </w:rPr>
        <w:t>风险描述：</w:t>
      </w:r>
      <w:r>
        <w:t>创始人赵磊集中度高，品牌和行业关系依赖个人。管理团队深度未充分披露。</w:t>
      </w:r>
    </w:p>
    <w:p>
      <w:r>
        <w:rPr>
          <w:b/>
        </w:rPr>
        <w:t>应对措施：</w:t>
      </w:r>
      <w:r>
        <w:t>尽调中确认二级管理层能力。</w:t>
      </w:r>
    </w:p>
    <w:p>
      <w:r>
        <w:br w:type="page"/>
      </w:r>
    </w:p>
    <w:p>
      <w:pPr>
        <w:pStyle w:val="Heading1"/>
      </w:pPr>
      <w:r>
        <w:t>十、投资建议</w:t>
      </w:r>
    </w:p>
    <w:p>
      <w:r>
        <w:rPr>
          <w:b/>
          <w:sz w:val="28"/>
        </w:rPr>
        <w:t>建议：有条件推进</w:t>
      </w:r>
    </w:p>
    <w:p/>
    <w:p>
      <w:r>
        <w:rPr>
          <w:b/>
          <w:sz w:val="22"/>
        </w:rPr>
        <w:t>理由</w:t>
      </w:r>
    </w:p>
    <w:p>
      <w:r>
        <w:t>航天驭星在中国商业航天价值链中占据战略要冲位置。公司受益于巨型星座部署、国家政策支持等长期结构性利好，具有高准入壁垒和经常性收入带来的经营杠杆。然而，当前60-70亿的融资估值本质上是对2027E收入的前瞻性定价，基于多方法可比分析（含WACC折现）的今日公允价值为48-72亿元。</w:t>
      </w:r>
    </w:p>
    <w:p>
      <w:r>
        <w:rPr>
          <w:b/>
          <w:sz w:val="22"/>
        </w:rPr>
        <w:t>关键行动建议：</w:t>
      </w:r>
    </w:p>
    <w:p>
      <w:r>
        <w:rPr>
          <w:sz w:val="20"/>
        </w:rPr>
        <w:t>1. 以公允价值区间（48-72亿元）为基础谈判入场估值，较D轮折让约15%-35%，反映流动性折价和执行风险。</w:t>
      </w:r>
    </w:p>
    <w:p>
      <w:r>
        <w:rPr>
          <w:sz w:val="20"/>
        </w:rPr>
        <w:t>2. 若无法获得估值折让，需确保获得强保护条款——包括回售权（若24个月内未上市）、全棘轮反稀释、及信息权。</w:t>
      </w:r>
    </w:p>
    <w:p>
      <w:r>
        <w:rPr>
          <w:sz w:val="20"/>
        </w:rPr>
        <w:t>3. 完成四项前提尽调：</w:t>
      </w:r>
    </w:p>
    <w:p>
      <w:pPr>
        <w:pStyle w:val="ListBullet"/>
        <w:ind w:left="720"/>
      </w:pPr>
      <w:r>
        <w:t>a. 财务尽调：获取FY2023-FY2025经审计财务数据，确认收入翻倍趋势及板块拆分</w:t>
      </w:r>
    </w:p>
    <w:p>
      <w:pPr>
        <w:pStyle w:val="ListBullet"/>
        <w:ind w:left="720"/>
      </w:pPr>
      <w:r>
        <w:t>b. 商业尽调：验证GW/G60供货合同的金额、期限及约束力</w:t>
      </w:r>
    </w:p>
    <w:p>
      <w:pPr>
        <w:pStyle w:val="ListBullet"/>
        <w:ind w:left="720"/>
      </w:pPr>
      <w:r>
        <w:t>c. 管理层访谈：评估创始人以外的团队深度</w:t>
      </w:r>
    </w:p>
    <w:p>
      <w:pPr>
        <w:pStyle w:val="ListBullet"/>
        <w:ind w:left="720"/>
      </w:pPr>
      <w:r>
        <w:t>d. IPO可行性：获取法律意见评估CSRC审核时间线</w:t>
      </w:r>
    </w:p>
    <w:p>
      <w:r>
        <w:rPr>
          <w:b/>
          <w:sz w:val="22"/>
        </w:rPr>
        <w:t>后续步骤：</w:t>
      </w:r>
    </w:p>
    <w:p>
      <w:pPr>
        <w:pStyle w:val="ListBullet"/>
      </w:pPr>
      <w:r>
        <w:t>申请管理层路演及数据房访问</w:t>
      </w:r>
    </w:p>
    <w:p>
      <w:pPr>
        <w:pStyle w:val="ListBullet"/>
      </w:pPr>
      <w:r>
        <w:t>聘请外部法律顾问评估IPO可行性</w:t>
      </w:r>
    </w:p>
    <w:p>
      <w:pPr>
        <w:pStyle w:val="ListBullet"/>
      </w:pPr>
      <w:r>
        <w:t>安排宁夏中卫地面站实地考察</w:t>
      </w:r>
    </w:p>
    <w:p>
      <w:pPr>
        <w:pStyle w:val="ListBullet"/>
      </w:pPr>
      <w:r>
        <w:t>委托独立市场研究评估星座运营商对测运控服务的需求弹性</w:t>
      </w:r>
    </w:p>
    <w:p>
      <w:pPr>
        <w:pStyle w:val="ListBullet"/>
      </w:pPr>
      <w:r>
        <w:t>对标中科星图测控（920116.BJ）进行详细可比估值分析</w:t>
      </w:r>
    </w:p>
    <w:p>
      <w:r>
        <w:br w:type="page"/>
      </w:r>
    </w:p>
    <w:p>
      <w:pPr>
        <w:pStyle w:val="Heading1"/>
      </w:pPr>
      <w:r>
        <w:t>附录：数据来源与置信度</w:t>
      </w:r>
    </w:p>
    <w:p>
      <w:r>
        <w:rPr>
          <w:b/>
          <w:sz w:val="20"/>
        </w:rPr>
        <w:t>高置信度（经核实）</w:t>
      </w:r>
    </w:p>
    <w:p>
      <w:pPr>
        <w:pStyle w:val="ListBullet"/>
      </w:pPr>
      <w:r>
        <w:t>星图测控（920116.BJ）财务数据：来源于证券时报、36氪、公司及北交所披露</w:t>
      </w:r>
    </w:p>
    <w:p>
      <w:pPr>
        <w:pStyle w:val="ListBullet"/>
      </w:pPr>
      <w:r>
        <w:t>KSAT运营数据：来源于分析师核实的公开研究</w:t>
      </w:r>
    </w:p>
    <w:p>
      <w:pPr>
        <w:pStyle w:val="ListBullet"/>
      </w:pPr>
      <w:r>
        <w:t>航天驭星融资历史及规模数据：来源于36氪、证券时报、科创板日报</w:t>
      </w:r>
    </w:p>
    <w:p>
      <w:r>
        <w:rPr>
          <w:b/>
          <w:sz w:val="20"/>
        </w:rPr>
        <w:t>中等置信度（估计值，需验证）</w:t>
      </w:r>
    </w:p>
    <w:p>
      <w:pPr>
        <w:pStyle w:val="ListBullet"/>
      </w:pPr>
      <w:r>
        <w:t>航天驭星2025E/2027E收入估算：基于公开数据点的自下而上推算。每轨次收入¥750/pass已通过国际定价基准交叉验证（KSAT隐含¥710、中国年费隐含¥650、AWS调整后¥1,160区间下沿），置信度从"低"升级为"中"</w:t>
      </w:r>
    </w:p>
    <w:p>
      <w:pPr>
        <w:pStyle w:val="ListBullet"/>
      </w:pPr>
      <w:r>
        <w:t>国际可比公司交易数据：基于2025年数据，部分市值可能已变动</w:t>
      </w:r>
    </w:p>
    <w:p>
      <w:r>
        <w:rPr>
          <w:b/>
          <w:sz w:val="20"/>
        </w:rPr>
        <w:t>需确认（低置信度）</w:t>
      </w:r>
    </w:p>
    <w:p>
      <w:pPr>
        <w:pStyle w:val="ListBullet"/>
      </w:pPr>
      <w:r>
        <w:t>航天驭星实际收入拆分及盈利状况</w:t>
      </w:r>
    </w:p>
    <w:p>
      <w:pPr>
        <w:pStyle w:val="ListBullet"/>
      </w:pPr>
      <w:r>
        <w:t>融资轮次实际稀释比例（方法四）</w:t>
      </w:r>
    </w:p>
    <w:p>
      <w:pPr>
        <w:pStyle w:val="ListBullet"/>
      </w:pPr>
      <w:r>
        <w:t>年度活跃（非累计）在管卫星数量</w:t>
      </w:r>
    </w:p>
    <w:p>
      <w:pPr>
        <w:pStyle w:val="ListBullet"/>
      </w:pPr>
      <w:r>
        <w:t>待招股书发布后全面更新</w:t>
      </w:r>
    </w:p>
    <w:p>
      <w:r>
        <w:rPr>
          <w:b/>
          <w:sz w:val="20"/>
        </w:rPr>
        <w:t>汇率假设</w:t>
      </w:r>
    </w:p>
    <w:p>
      <w:pPr>
        <w:pStyle w:val="ListBullet"/>
      </w:pPr>
      <w:r>
        <w:t>USD/CNY 7.15 · USD/NOK 10.6 · EUR/USD 1.08</w:t>
      </w:r>
    </w:p>
    <w:p>
      <w:pPr>
        <w:pStyle w:val="ListBullet"/>
      </w:pPr>
      <w:r>
        <w:t>可比公司倍数为币种中性比率；仅绝对规模数字受汇率影响</w:t>
      </w:r>
    </w:p>
    <w:p/>
    <w:p>
      <w:r>
        <w:rPr>
          <w:i/>
          <w:sz w:val="16"/>
        </w:rPr>
        <w:t>免责声明：本备忘录基于公开可获取信息及分析师估算编制，未经正式尽职调查验证。所有财务估计仅为示意性。可比公司交易数据（星图测控及KSAT除外）为估算值，需通过Bloomberg/FactSet/公司财报验证后方可用于投资决策。本文件仅供投资委员会内部讨论使用，不构成对外部方的投资建议。</w:t>
      </w:r>
    </w:p>
    <w:p>
      <w:r>
        <w:br w:type="page"/>
      </w:r>
    </w:p>
    <w:p>
      <w:pPr>
        <w:pStyle w:val="Heading1"/>
      </w:pPr>
      <w:r>
        <w:t>附录C：单位经济模型（Unit Economics）</w:t>
      </w:r>
    </w:p>
    <w:p>
      <w:r>
        <w:rPr>
          <w:i/>
          <w:sz w:val="18"/>
        </w:rPr>
        <w:t>数据来源：可比公司分析工作底稿"Unit Economics"标签页。所有数字均为估计值。</w:t>
      </w:r>
    </w:p>
    <w:p/>
    <w:p>
      <w:r>
        <w:rPr>
          <w:b/>
          <w:sz w:val="22"/>
        </w:rPr>
        <w:t>A. 地面站单站经济学（产能/资产单元）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当前/基准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满负荷/成熟期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地面站数量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年轨次数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千次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~876 (满负荷)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单站日均轨次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~14.6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 (理论最大)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站点利用率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单站年收入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~10.9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单站建设成本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单站贡献利润率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单站投资回收期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~2.3</w:t>
            </w:r>
          </w:p>
        </w:tc>
      </w:tr>
    </w:tbl>
    <w:p/>
    <w:p>
      <w:r>
        <w:rPr>
          <w:b/>
          <w:sz w:val="22"/>
        </w:rPr>
        <w:t>B. 轨次级边际经济学（使用单元）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每轨次收入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750（基准）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每轨次边际成本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每轨次贡献利润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~650</w:t>
            </w:r>
          </w:p>
        </w:tc>
      </w:tr>
    </w:tbl>
    <w:p/>
    <w:p>
      <w:r>
        <w:rPr>
          <w:sz w:val="20"/>
        </w:rPr>
        <w:t>关键洞察：每增加一个轨次的边际成本仅约100元（电力、带宽），而收入约750元（已通过国际基准验证，详见4.1a节），增量贡献利润率高达87%。这是经营杠杆的核心机制——地面站网络一旦建成，收入增长几乎直接转化为利润。</w:t>
      </w:r>
    </w:p>
    <w:p/>
    <w:p>
      <w:r>
        <w:rPr>
          <w:b/>
          <w:sz w:val="22"/>
        </w:rPr>
        <w:t>C. 单颗卫星客户终身价值（LTV）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年度活跃在管卫星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每颗卫星年ARPU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平均在轨服务寿命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服务毛贡献率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单星LTV（未折现）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单星LTV（折现后，WACC 14%）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百万元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~3.2</w:t>
            </w:r>
          </w:p>
        </w:tc>
      </w:tr>
    </w:tbl>
    <w:p/>
    <w:p>
      <w:r>
        <w:rPr>
          <w:sz w:val="20"/>
        </w:rPr>
        <w:t>LTV/CAC：约14-21倍（未折现/折现）。但需注意：单星获客成本低是因为真正的资本支出在地面站网络建设（A部分），而非客户获取。两部分必须结合阅读。</w:t>
      </w:r>
    </w:p>
    <w:p/>
    <w:p>
      <w:r>
        <w:rPr>
          <w:b/>
          <w:sz w:val="22"/>
        </w:rPr>
        <w:t>D. 经营杠杆桥梁：当前利用率 → 满负荷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当前利用率(~37%)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满负荷(100%)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服务收入（百万元）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~657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站点贡献利润（百万元）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集团固定成本（百万元）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网络EBITDA（百万元）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EBITDA利润率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网络EBIT（百万元）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~(16) 至 低个位数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~234</w:t>
            </w:r>
          </w:p>
        </w:tc>
      </w:tr>
    </w:tbl>
    <w:p/>
    <w:p>
      <w:r>
        <w:rPr>
          <w:sz w:val="20"/>
        </w:rPr>
        <w:t>核心结论：在当前低利用率下，测运控服务网络仅勉强覆盖（甚至无法覆盖）自身折旧——即EBIT利润率约为负7%到低个位数。但相同的固定资产基础在满负荷下EBIT利润率可达35%以上。这量化了可比公司分析的核心发现：60-70亿元的融资估值是对利用率提升的前瞻性押注，而利用率提升的驱动力是GW/千帆星座的加速部署——该押注有真实的经营杠杆支撑。</w:t>
      </w:r>
    </w:p>
    <w:p/>
    <w:p>
      <w:r>
        <w:rPr>
          <w:b/>
          <w:sz w:val="22"/>
        </w:rPr>
        <w:t>E. 收入质量指标</w:t>
      </w:r>
    </w:p>
    <w:p>
      <w:pPr>
        <w:pStyle w:val="ListBullet"/>
      </w:pPr>
      <w:r>
        <w:t>卫星年度总留存率：约85%（卫星退役/更换的自然流失）</w:t>
      </w:r>
    </w:p>
    <w:p>
      <w:pPr>
        <w:pStyle w:val="ListBullet"/>
      </w:pPr>
      <w:r>
        <w:t>净收入留存率（星座建设期）：约160%（新星上线远超退役流失）</w:t>
      </w:r>
    </w:p>
    <w:p>
      <w:pPr>
        <w:pStyle w:val="ListBullet"/>
      </w:pPr>
      <w:r>
        <w:t>经常性收入占比（服务+数据）：约48%（2025E），设备项目制收入约52%</w:t>
      </w:r>
    </w:p>
    <w:p>
      <w:pPr>
        <w:pStyle w:val="ListBullet"/>
      </w:pPr>
      <w:r>
        <w:t>客户集中度：GW + 千帆星座占收入多数（高集中度）</w:t>
      </w:r>
    </w:p>
    <w:p>
      <w:pPr>
        <w:pStyle w:val="ListBullet"/>
      </w:pPr>
      <w:r>
        <w:t>积压订单/收入比（KSAT基准）：约3.7倍年收入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