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myoArm 근골격 파라미터 추정 연구 보고서</w:t>
      </w:r>
    </w:p>
    <w:p>
      <w:pPr>
        <w:jc w:val="center"/>
      </w:pPr>
      <w:r>
        <w:rPr>
          <w:i/>
          <w:sz w:val="22"/>
        </w:rPr>
        <w:t>— 시뮬레이션 내부 식별성(sim-internal identifiability) 및 시계열 회귀 정식화 —</w:t>
        <w:br/>
        <w:t>작성일: 2026-06-11</w:t>
      </w:r>
    </w:p>
    <w:p>
      <w:pPr>
        <w:pStyle w:val="Heading1"/>
      </w:pPr>
      <w:r>
        <w:t>1. 연구 개요</w:t>
      </w:r>
    </w:p>
    <w:p>
      <w:r>
        <w:rPr>
          <w:sz w:val="21"/>
        </w:rPr>
        <w:t>본 연구는 상지 근골격 시뮬레이션(musculoskeletal simulation) 환경 myoArm에서, 특정 근육의 힘 발생 능력을 인위적으로 약화시킨 뒤, 그 결과로 나타나는 동작의 운동학(kinematics, 관절이 움직인 궤적)과 근육 활성도(muscle activation, 각 근육이 얼마나 수축했는가)만을 관측하여 "어느 근육이 얼마나 약해졌는가"를 정량적으로 복원하는 회귀 모형(regression model)을 개발하는 것을 목표로 한다. 실제 환자 데이터로 외삽(sim-to-real)하는 것이 아니라, 시뮬레이션 내부에서 정답 파라미터가 알려진 상황에서의 복원 가능성, 즉 식별성(identifiability)을 측정한다.</w:t>
      </w:r>
    </w:p>
    <w:p>
      <w:r>
        <w:rPr>
          <w:sz w:val="21"/>
        </w:rPr>
        <w:t>핵심 가설은 다음과 같다. 약화된 근육은 그 정도에 따라 두 가지 신호 중 하나로 드러난다. 경증(輕症)일 경우 신경계가 다른 근육을 동원하여 보상(compensation)하므로 동작 궤적은 정상으로 회복되지만 근육 활성 패턴이 변하며(활성 신호, ACT), 중증(重症)일 경우 보상이 불가능하여 동작이 목표에 미치지 못하는 이탈(deviation)로 나타난다(운동학 신호, KIN). 본 보고서는 이 가설이 시뮬레이션에서 실증되었으며, 특히 동작의 시간적 전개(time series)를 입력으로 삼는 시계열 회귀가 단순 요약통계보다 우수함을 보고한다.</w:t>
      </w:r>
    </w:p>
    <w:p>
      <w:pPr>
        <w:pStyle w:val="Heading1"/>
      </w:pPr>
      <w:r>
        <w:t>2. 용어 해설</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9"/>
              </w:rPr>
              <w:t>용어 (영문)</w:t>
            </w:r>
          </w:p>
        </w:tc>
        <w:tc>
          <w:tcPr>
            <w:tcW w:type="dxa" w:w="4320"/>
          </w:tcPr>
          <w:p>
            <w:r/>
            <w:r>
              <w:rPr>
                <w:b/>
                <w:sz w:val="19"/>
              </w:rPr>
              <w:t>쉬운 설명</w:t>
            </w:r>
          </w:p>
        </w:tc>
      </w:tr>
      <w:tr>
        <w:tc>
          <w:tcPr>
            <w:tcW w:type="dxa" w:w="4320"/>
          </w:tcPr>
          <w:p>
            <w:r/>
            <w:r>
              <w:rPr>
                <w:sz w:val="19"/>
              </w:rPr>
              <w:t>근골격 모델 (musculoskeletal model)</w:t>
            </w:r>
          </w:p>
        </w:tc>
        <w:tc>
          <w:tcPr>
            <w:tcW w:type="dxa" w:w="4320"/>
          </w:tcPr>
          <w:p>
            <w:r/>
            <w:r>
              <w:rPr>
                <w:sz w:val="19"/>
              </w:rPr>
              <w:t>뼈·관절·근육을 물리적으로 모사한 가상 팔. 본 연구는 63개 근육의 myoArm 사용.</w:t>
            </w:r>
          </w:p>
        </w:tc>
      </w:tr>
      <w:tr>
        <w:tc>
          <w:tcPr>
            <w:tcW w:type="dxa" w:w="4320"/>
          </w:tcPr>
          <w:p>
            <w:r/>
            <w:r>
              <w:rPr>
                <w:sz w:val="19"/>
              </w:rPr>
              <w:t>거상 (elevation)</w:t>
            </w:r>
          </w:p>
        </w:tc>
        <w:tc>
          <w:tcPr>
            <w:tcW w:type="dxa" w:w="4320"/>
          </w:tcPr>
          <w:p>
            <w:r/>
            <w:r>
              <w:rPr>
                <w:sz w:val="19"/>
              </w:rPr>
              <w:t>팔을 위로 들어 올리는 동작. 본 연구의 표준 과제.</w:t>
            </w:r>
          </w:p>
        </w:tc>
      </w:tr>
      <w:tr>
        <w:tc>
          <w:tcPr>
            <w:tcW w:type="dxa" w:w="4320"/>
          </w:tcPr>
          <w:p>
            <w:r/>
            <w:r>
              <w:rPr>
                <w:sz w:val="19"/>
              </w:rPr>
              <w:t>식별성 (identifiability)</w:t>
            </w:r>
          </w:p>
        </w:tc>
        <w:tc>
          <w:tcPr>
            <w:tcW w:type="dxa" w:w="4320"/>
          </w:tcPr>
          <w:p>
            <w:r/>
            <w:r>
              <w:rPr>
                <w:sz w:val="19"/>
              </w:rPr>
              <w:t>관측만으로 숨은 파라미터를 유일하게 알아낼 수 있는 정도.</w:t>
            </w:r>
          </w:p>
        </w:tc>
      </w:tr>
      <w:tr>
        <w:tc>
          <w:tcPr>
            <w:tcW w:type="dxa" w:w="4320"/>
          </w:tcPr>
          <w:p>
            <w:r/>
            <w:r>
              <w:rPr>
                <w:sz w:val="19"/>
              </w:rPr>
              <w:t>강화학습 (reinforcement learning)</w:t>
            </w:r>
          </w:p>
        </w:tc>
        <w:tc>
          <w:tcPr>
            <w:tcW w:type="dxa" w:w="4320"/>
          </w:tcPr>
          <w:p>
            <w:r/>
            <w:r>
              <w:rPr>
                <w:sz w:val="19"/>
              </w:rPr>
              <w:t>보상을 최대화하도록 시행착오로 "상태→행동" 정책을 학습하는 방법.</w:t>
            </w:r>
          </w:p>
        </w:tc>
      </w:tr>
      <w:tr>
        <w:tc>
          <w:tcPr>
            <w:tcW w:type="dxa" w:w="4320"/>
          </w:tcPr>
          <w:p>
            <w:r/>
            <w:r>
              <w:rPr>
                <w:sz w:val="19"/>
              </w:rPr>
              <w:t>정책 (policy)</w:t>
            </w:r>
          </w:p>
        </w:tc>
        <w:tc>
          <w:tcPr>
            <w:tcW w:type="dxa" w:w="4320"/>
          </w:tcPr>
          <w:p>
            <w:r/>
            <w:r>
              <w:rPr>
                <w:sz w:val="19"/>
              </w:rPr>
              <w:t>현재 상태를 입력받아 26개 근육의 활성을 출력하는 신경망(제어기).</w:t>
            </w:r>
          </w:p>
        </w:tc>
      </w:tr>
      <w:tr>
        <w:tc>
          <w:tcPr>
            <w:tcW w:type="dxa" w:w="4320"/>
          </w:tcPr>
          <w:p>
            <w:r/>
            <w:r>
              <w:rPr>
                <w:sz w:val="19"/>
              </w:rPr>
              <w:t>섭동 (perturbation)</w:t>
            </w:r>
          </w:p>
        </w:tc>
        <w:tc>
          <w:tcPr>
            <w:tcW w:type="dxa" w:w="4320"/>
          </w:tcPr>
          <w:p>
            <w:r/>
            <w:r>
              <w:rPr>
                <w:sz w:val="19"/>
              </w:rPr>
              <w:t>근육의 최대 힘(Fmax) 등 파라미터를 인위적으로 바꾸어 약화를 만드는 조작.</w:t>
            </w:r>
          </w:p>
        </w:tc>
      </w:tr>
      <w:tr>
        <w:tc>
          <w:tcPr>
            <w:tcW w:type="dxa" w:w="4320"/>
          </w:tcPr>
          <w:p>
            <w:r/>
            <w:r>
              <w:rPr>
                <w:sz w:val="19"/>
              </w:rPr>
              <w:t>활성도 / 운동학 (ACT / KIN)</w:t>
            </w:r>
          </w:p>
        </w:tc>
        <w:tc>
          <w:tcPr>
            <w:tcW w:type="dxa" w:w="4320"/>
          </w:tcPr>
          <w:p>
            <w:r/>
            <w:r>
              <w:rPr>
                <w:sz w:val="19"/>
              </w:rPr>
              <w:t>ACT=각 근육의 수축 정도(0~1), KIN=관절 각도 등 움직임.</w:t>
            </w:r>
          </w:p>
        </w:tc>
      </w:tr>
      <w:tr>
        <w:tc>
          <w:tcPr>
            <w:tcW w:type="dxa" w:w="4320"/>
          </w:tcPr>
          <w:p>
            <w:r/>
            <w:r>
              <w:rPr>
                <w:sz w:val="19"/>
              </w:rPr>
              <w:t>회전근개 (rotator cuff)</w:t>
            </w:r>
          </w:p>
        </w:tc>
        <w:tc>
          <w:tcPr>
            <w:tcW w:type="dxa" w:w="4320"/>
          </w:tcPr>
          <w:p>
            <w:r/>
            <w:r>
              <w:rPr>
                <w:sz w:val="19"/>
              </w:rPr>
              <w:t>어깨 깊은 곳에서 상완골(humerus)을 관절와(glenoid)에 고정·회전시키는 근육군.</w:t>
            </w:r>
          </w:p>
        </w:tc>
      </w:tr>
    </w:tbl>
    <w:p>
      <w:pPr>
        <w:pStyle w:val="Heading1"/>
      </w:pPr>
      <w:r>
        <w:t>3. 연구 방법: 시뮬레이션 환경과 학습</w:t>
      </w:r>
    </w:p>
    <w:p>
      <w:pPr>
        <w:pStyle w:val="Heading2"/>
      </w:pPr>
      <w:r>
        <w:t>3.1 환경과 행동공간</w:t>
      </w:r>
    </w:p>
    <w:p>
      <w:r>
        <w:rPr>
          <w:sz w:val="21"/>
        </w:rPr>
        <w:t>대상 모델은 MuJoCo 물리엔진 상의 myoArm으로, 어깨의 독립 3축 — 거상 평면(elv_angle), 거상각(shoulder_elv), 축 회전(shoulder_rot) — 과 팔꿈치 굴곡(elbow_flexion), 전완 회내외(pro_sup)를 포함한다. 정책이 직접 제어하는 근육은 어깨 15개, 팔꿈치 9개, 회내근 2개로 총 26개이며, 손목·손가락의 원위(遠位, distal) 22개 관절은 등식 제약(equality constraint)으로 고정하여 분석 범위를 어깨·팔꿈치로 한정하였다. 견갑(scapula)은 거상각에 선형 연동되는 리듬으로 자동 처방된다.</w:t>
      </w:r>
    </w:p>
    <w:p>
      <w:r>
        <w:rPr>
          <w:sz w:val="21"/>
        </w:rPr>
        <w:t>축 회전(shoulder_rot)에는 참조 궤적을 부여하지 않고 자유 자유도로 두었는데, 이는 인간 데이터(Kinect 기반)로 상완의 고립된 축 회전을 신뢰성 있게 측정할 수 없기 때문이다. 대신 거상에 수반되는 의무적 외회전(external rotation)을 물리가 자연히 공급하도록 하였으며, 그 부수 효과로 회전근개 약화가 회전 이탈로 드러나 식별에 기여한다.</w:t>
      </w:r>
    </w:p>
    <w:p>
      <w:pPr>
        <w:pStyle w:val="Heading2"/>
      </w:pPr>
      <w:r>
        <w:t>3.2 보상 함수 (reward)</w:t>
      </w:r>
    </w:p>
    <w:p>
      <w:r>
        <w:rPr>
          <w:sz w:val="21"/>
        </w:rPr>
        <w:t>강화학습 보상은 곱셈형으로 설계하였다. 추적 항 TASK는 각 자유도에서 참조각과의 오차에 대해 양면 허용밴드(two-sided tolerance band)를 갖는 가우시안으로, 밴드 안에서는 벌점이 없어(개인별 속도·자세 변동을 허용) 약화가 밴드를 벗어나는 이탈로만 드러나도록 하였다. 여기에 움직임 품질(QUALITY: 가속·행동변화·정지)과 노력비용(EFFORT)을 결합하였다. 핵심 의도는 "느슨한 추적"으로, 빡빡하게 추적하면 약화가 궤적에 흡수되어 신호가 사라지기 때문이다.</w:t>
      </w:r>
    </w:p>
    <w:p>
      <w:pPr>
        <w:pStyle w:val="Heading2"/>
      </w:pPr>
      <w:r>
        <w:t>3.3 학습 절차 (점진적 워밍스타트)</w:t>
      </w:r>
    </w:p>
    <w:p>
      <w:r>
        <w:rPr>
          <w:sz w:val="21"/>
        </w:rPr>
        <w:t>학습은 기어가기-걷기-뛰기(crawl-walk-run) 방식의 단계적 워밍스타트(warm-start, 앞 단계 가중치를 이어받아 다음 단계를 시작)로 진행하였다. 모든 단계에서 관측 차원을 76으로 고정하여 호환성을 유지하였다.</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9"/>
              </w:rPr>
              <w:t>단계</w:t>
            </w:r>
          </w:p>
        </w:tc>
        <w:tc>
          <w:tcPr>
            <w:tcW w:type="dxa" w:w="2880"/>
          </w:tcPr>
          <w:p>
            <w:r/>
            <w:r>
              <w:rPr>
                <w:b/>
                <w:sz w:val="19"/>
              </w:rPr>
              <w:t>내용</w:t>
            </w:r>
          </w:p>
        </w:tc>
        <w:tc>
          <w:tcPr>
            <w:tcW w:type="dxa" w:w="2880"/>
          </w:tcPr>
          <w:p>
            <w:r/>
            <w:r>
              <w:rPr>
                <w:b/>
                <w:sz w:val="19"/>
              </w:rPr>
              <w:t>결과</w:t>
            </w:r>
          </w:p>
        </w:tc>
      </w:tr>
      <w:tr>
        <w:tc>
          <w:tcPr>
            <w:tcW w:type="dxa" w:w="2880"/>
          </w:tcPr>
          <w:p>
            <w:r/>
            <w:r>
              <w:rPr>
                <w:sz w:val="19"/>
              </w:rPr>
              <w:t>M1</w:t>
            </w:r>
          </w:p>
        </w:tc>
        <w:tc>
          <w:tcPr>
            <w:tcW w:type="dxa" w:w="2880"/>
          </w:tcPr>
          <w:p>
            <w:r/>
            <w:r>
              <w:rPr>
                <w:sz w:val="19"/>
              </w:rPr>
              <w:t>건강한 근육·고정 궤적(T1)으로 사람다운 거상 재현</w:t>
            </w:r>
          </w:p>
        </w:tc>
        <w:tc>
          <w:tcPr>
            <w:tcW w:type="dxa" w:w="2880"/>
          </w:tcPr>
          <w:p>
            <w:r/>
            <w:r>
              <w:rPr>
                <w:sz w:val="19"/>
              </w:rPr>
              <w:t>검증 게이트 5기준 통과(정점 97°, 추종오차 2.8°)</w:t>
            </w:r>
          </w:p>
        </w:tc>
      </w:tr>
      <w:tr>
        <w:tc>
          <w:tcPr>
            <w:tcW w:type="dxa" w:w="2880"/>
          </w:tcPr>
          <w:p>
            <w:r/>
            <w:r>
              <w:rPr>
                <w:sz w:val="19"/>
              </w:rPr>
              <w:t>M2</w:t>
            </w:r>
          </w:p>
        </w:tc>
        <w:tc>
          <w:tcPr>
            <w:tcW w:type="dxa" w:w="2880"/>
          </w:tcPr>
          <w:p>
            <w:r/>
            <w:r>
              <w:rPr>
                <w:sz w:val="19"/>
              </w:rPr>
              <w:t>다양한 속도·정점(latent 분포) + 두 번째 과제(T2 전방거상) 추가</w:t>
            </w:r>
          </w:p>
        </w:tc>
        <w:tc>
          <w:tcPr>
            <w:tcW w:type="dxa" w:w="2880"/>
          </w:tcPr>
          <w:p>
            <w:r/>
            <w:r>
              <w:rPr>
                <w:sz w:val="19"/>
              </w:rPr>
              <w:t>T1·T2 분포 전반 추종(정점오차 3~5°)</w:t>
            </w:r>
          </w:p>
        </w:tc>
      </w:tr>
      <w:tr>
        <w:tc>
          <w:tcPr>
            <w:tcW w:type="dxa" w:w="2880"/>
          </w:tcPr>
          <w:p>
            <w:r/>
            <w:r>
              <w:rPr>
                <w:sz w:val="19"/>
              </w:rPr>
              <w:t>M3</w:t>
            </w:r>
          </w:p>
        </w:tc>
        <w:tc>
          <w:tcPr>
            <w:tcW w:type="dxa" w:w="2880"/>
          </w:tcPr>
          <w:p>
            <w:r/>
            <w:r>
              <w:rPr>
                <w:sz w:val="19"/>
              </w:rPr>
              <w:t>근육 섭동 커리큘럼: 손상 근육 수 k=1 → k≤3</w:t>
            </w:r>
          </w:p>
        </w:tc>
        <w:tc>
          <w:tcPr>
            <w:tcW w:type="dxa" w:w="2880"/>
          </w:tcPr>
          <w:p>
            <w:r/>
            <w:r>
              <w:rPr>
                <w:sz w:val="19"/>
              </w:rPr>
              <w:t>약화→경증 ACT보상·중증 KIN이탈, 정도별 graded</w:t>
            </w:r>
          </w:p>
        </w:tc>
      </w:tr>
      <w:tr>
        <w:tc>
          <w:tcPr>
            <w:tcW w:type="dxa" w:w="2880"/>
          </w:tcPr>
          <w:p>
            <w:r/>
            <w:r>
              <w:rPr>
                <w:sz w:val="19"/>
              </w:rPr>
              <w:t>M4</w:t>
            </w:r>
          </w:p>
        </w:tc>
        <w:tc>
          <w:tcPr>
            <w:tcW w:type="dxa" w:w="2880"/>
          </w:tcPr>
          <w:p>
            <w:r/>
            <w:r>
              <w:rPr>
                <w:sz w:val="19"/>
              </w:rPr>
              <w:t>M3 정책으로 20,000회 롤아웃, 특징·라벨 추출</w:t>
            </w:r>
          </w:p>
        </w:tc>
        <w:tc>
          <w:tcPr>
            <w:tcW w:type="dxa" w:w="2880"/>
          </w:tcPr>
          <w:p>
            <w:r/>
            <w:r>
              <w:rPr>
                <w:sz w:val="19"/>
              </w:rPr>
              <w:t>시계열 데이터셋 (20000×175스텝×77채널)</w:t>
            </w:r>
          </w:p>
        </w:tc>
      </w:tr>
      <w:tr>
        <w:tc>
          <w:tcPr>
            <w:tcW w:type="dxa" w:w="2880"/>
          </w:tcPr>
          <w:p>
            <w:r/>
            <w:r>
              <w:rPr>
                <w:sz w:val="19"/>
              </w:rPr>
              <w:t>G</w:t>
            </w:r>
          </w:p>
        </w:tc>
        <w:tc>
          <w:tcPr>
            <w:tcW w:type="dxa" w:w="2880"/>
          </w:tcPr>
          <w:p>
            <w:r/>
            <w:r>
              <w:rPr>
                <w:sz w:val="19"/>
              </w:rPr>
              <w:t>회귀 신경망으로 근육 파라미터 복원</w:t>
            </w:r>
          </w:p>
        </w:tc>
        <w:tc>
          <w:tcPr>
            <w:tcW w:type="dxa" w:w="2880"/>
          </w:tcPr>
          <w:p>
            <w:r/>
            <w:r>
              <w:rPr>
                <w:sz w:val="19"/>
              </w:rPr>
              <w:t>아래 5절</w:t>
            </w:r>
          </w:p>
        </w:tc>
      </w:tr>
    </w:tbl>
    <w:p>
      <w:pPr>
        <w:jc w:val="center"/>
      </w:pPr>
      <w:r>
        <w:drawing>
          <wp:inline xmlns:a="http://schemas.openxmlformats.org/drawingml/2006/main" xmlns:pic="http://schemas.openxmlformats.org/drawingml/2006/picture">
            <wp:extent cx="6035040" cy="1697355"/>
            <wp:docPr id="1" name="Picture 1"/>
            <wp:cNvGraphicFramePr>
              <a:graphicFrameLocks noChangeAspect="1"/>
            </wp:cNvGraphicFramePr>
            <a:graphic>
              <a:graphicData uri="http://schemas.openxmlformats.org/drawingml/2006/picture">
                <pic:pic>
                  <pic:nvPicPr>
                    <pic:cNvPr id="0" name="fig4_learning_curves.png"/>
                    <pic:cNvPicPr/>
                  </pic:nvPicPr>
                  <pic:blipFill>
                    <a:blip r:embed="rId9"/>
                    <a:stretch>
                      <a:fillRect/>
                    </a:stretch>
                  </pic:blipFill>
                  <pic:spPr>
                    <a:xfrm>
                      <a:off x="0" y="0"/>
                      <a:ext cx="6035040" cy="1697355"/>
                    </a:xfrm>
                    <a:prstGeom prst="rect"/>
                  </pic:spPr>
                </pic:pic>
              </a:graphicData>
            </a:graphic>
          </wp:inline>
        </w:drawing>
      </w:r>
    </w:p>
    <w:p>
      <w:pPr>
        <w:jc w:val="center"/>
      </w:pPr>
      <w:r>
        <w:rPr>
          <w:i/>
          <w:sz w:val="18"/>
        </w:rPr>
        <w:t>그림 1. 학습곡선. 정점오차·추종 RMS가 통과 임계(12°) 아래로 수렴.</w:t>
      </w:r>
    </w:p>
    <w:p>
      <w:pPr>
        <w:pStyle w:val="Heading1"/>
      </w:pPr>
      <w:r>
        <w:t>4. 건강 정책의 동작 검증</w:t>
      </w:r>
    </w:p>
    <w:p>
      <w:r>
        <w:rPr>
          <w:sz w:val="21"/>
        </w:rPr>
        <w:t>학습된 정책이 사람다운 거상을 재현하는지 궤적으로 확인하였다. 그림 2는 단일 정책이 다양한 latent와 두 과제(T1 관상면 외전, T2 전방 거상)에서 각자의 참조 궤적을 따라 부드럽게 상승·유지함을 보인다. 그림 3은 달성 정점이 참조 정점을 따라감(상관 0.9 내외)을 보여, 정책이 latent을 실제로 활용함을 확인한다.</w:t>
      </w:r>
    </w:p>
    <w:p>
      <w:pPr>
        <w:jc w:val="center"/>
      </w:pPr>
      <w:r>
        <w:drawing>
          <wp:inline xmlns:a="http://schemas.openxmlformats.org/drawingml/2006/main" xmlns:pic="http://schemas.openxmlformats.org/drawingml/2006/picture">
            <wp:extent cx="6217920" cy="3316224"/>
            <wp:docPr id="2" name="Picture 2"/>
            <wp:cNvGraphicFramePr>
              <a:graphicFrameLocks noChangeAspect="1"/>
            </wp:cNvGraphicFramePr>
            <a:graphic>
              <a:graphicData uri="http://schemas.openxmlformats.org/drawingml/2006/picture">
                <pic:pic>
                  <pic:nvPicPr>
                    <pic:cNvPr id="0" name="fig1_tracking_gallery.png"/>
                    <pic:cNvPicPr/>
                  </pic:nvPicPr>
                  <pic:blipFill>
                    <a:blip r:embed="rId10"/>
                    <a:stretch>
                      <a:fillRect/>
                    </a:stretch>
                  </pic:blipFill>
                  <pic:spPr>
                    <a:xfrm>
                      <a:off x="0" y="0"/>
                      <a:ext cx="6217920" cy="3316224"/>
                    </a:xfrm>
                    <a:prstGeom prst="rect"/>
                  </pic:spPr>
                </pic:pic>
              </a:graphicData>
            </a:graphic>
          </wp:inline>
        </w:drawing>
      </w:r>
    </w:p>
    <w:p>
      <w:pPr>
        <w:jc w:val="center"/>
      </w:pPr>
      <w:r>
        <w:rPr>
          <w:i/>
          <w:sz w:val="18"/>
        </w:rPr>
        <w:t>그림 2. M2 단일 정책의 다중 latent·양 과제 추적 궤적.</w:t>
      </w:r>
    </w:p>
    <w:p>
      <w:pPr>
        <w:jc w:val="center"/>
      </w:pPr>
      <w:r>
        <w:drawing>
          <wp:inline xmlns:a="http://schemas.openxmlformats.org/drawingml/2006/main" xmlns:pic="http://schemas.openxmlformats.org/drawingml/2006/picture">
            <wp:extent cx="5852160" cy="2438400"/>
            <wp:docPr id="3" name="Picture 3"/>
            <wp:cNvGraphicFramePr>
              <a:graphicFrameLocks noChangeAspect="1"/>
            </wp:cNvGraphicFramePr>
            <a:graphic>
              <a:graphicData uri="http://schemas.openxmlformats.org/drawingml/2006/picture">
                <pic:pic>
                  <pic:nvPicPr>
                    <pic:cNvPr id="0" name="fig2_latent_usage.png"/>
                    <pic:cNvPicPr/>
                  </pic:nvPicPr>
                  <pic:blipFill>
                    <a:blip r:embed="rId11"/>
                    <a:stretch>
                      <a:fillRect/>
                    </a:stretch>
                  </pic:blipFill>
                  <pic:spPr>
                    <a:xfrm>
                      <a:off x="0" y="0"/>
                      <a:ext cx="5852160" cy="2438400"/>
                    </a:xfrm>
                    <a:prstGeom prst="rect"/>
                  </pic:spPr>
                </pic:pic>
              </a:graphicData>
            </a:graphic>
          </wp:inline>
        </w:drawing>
      </w:r>
    </w:p>
    <w:p>
      <w:pPr>
        <w:jc w:val="center"/>
      </w:pPr>
      <w:r>
        <w:rPr>
          <w:i/>
          <w:sz w:val="18"/>
        </w:rPr>
        <w:t>그림 3. 참조 정점 대 달성 정점 (정책의 latent 활용).</w:t>
      </w:r>
    </w:p>
    <w:p>
      <w:r>
        <w:rPr>
          <w:sz w:val="21"/>
        </w:rPr>
        <w:t>그림 4는 근육 약화 시의 신호를 보인다. 상단은 거상 궤적으로, 중삼각근(DELT2)이나 삼두 장두(TRIlong)의 중증 약화는 목표 미달(undershoot)로 드러나며 약화 정도에 비례한다. 반면 극상근(SUPSP) 등은 세 곡선이 겹쳐, 다른 근육으로 보상하여 궤적이 회복됨을 보인다. 하단의 활성도에서 약화 근육은 감소하고 보상 근육이 증가하여, 궤적이 회복되더라도 활성 패턴으로 식별 가능함을 보인다.</w:t>
      </w:r>
    </w:p>
    <w:p>
      <w:pPr>
        <w:jc w:val="center"/>
      </w:pPr>
      <w:r>
        <w:drawing>
          <wp:inline xmlns:a="http://schemas.openxmlformats.org/drawingml/2006/main" xmlns:pic="http://schemas.openxmlformats.org/drawingml/2006/picture">
            <wp:extent cx="6217920" cy="2763520"/>
            <wp:docPr id="4" name="Picture 4"/>
            <wp:cNvGraphicFramePr>
              <a:graphicFrameLocks noChangeAspect="1"/>
            </wp:cNvGraphicFramePr>
            <a:graphic>
              <a:graphicData uri="http://schemas.openxmlformats.org/drawingml/2006/picture">
                <pic:pic>
                  <pic:nvPicPr>
                    <pic:cNvPr id="0" name="fig3_perturbation_signal.png"/>
                    <pic:cNvPicPr/>
                  </pic:nvPicPr>
                  <pic:blipFill>
                    <a:blip r:embed="rId12"/>
                    <a:stretch>
                      <a:fillRect/>
                    </a:stretch>
                  </pic:blipFill>
                  <pic:spPr>
                    <a:xfrm>
                      <a:off x="0" y="0"/>
                      <a:ext cx="6217920" cy="2763520"/>
                    </a:xfrm>
                    <a:prstGeom prst="rect"/>
                  </pic:spPr>
                </pic:pic>
              </a:graphicData>
            </a:graphic>
          </wp:inline>
        </w:drawing>
      </w:r>
    </w:p>
    <w:p>
      <w:pPr>
        <w:jc w:val="center"/>
      </w:pPr>
      <w:r>
        <w:rPr>
          <w:i/>
          <w:sz w:val="18"/>
        </w:rPr>
        <w:t>그림 5. 약화 정도별 운동학(상단)·활성(하단) 신호.</w:t>
      </w:r>
    </w:p>
    <w:p>
      <w:pPr>
        <w:pStyle w:val="Heading1"/>
      </w:pPr>
      <w:r>
        <w:t>5. 회귀 신경망과 식별성 결과</w:t>
      </w:r>
    </w:p>
    <w:p>
      <w:pPr>
        <w:pStyle w:val="Heading2"/>
      </w:pPr>
      <w:r>
        <w:t>5.1 시계열 회귀로의 정식화</w:t>
      </w:r>
    </w:p>
    <w:p>
      <w:r>
        <w:rPr>
          <w:sz w:val="21"/>
        </w:rPr>
        <w:t>초기에는 한 동작에서 추출한 요약통계(각 근육 활성의 평균·최댓값 등 143차원)를 입력으로 하는 다층퍼셉트론(MLP)을 사용하였다. 그러나 동작의 시간적 전개 — 상승의 동역학, 떨림, 정착 타이밍, 이탈이 발생하는 시점 — 가 요약통계에서는 소실된다. 이에 매 제어 시점의 상태를 그대로 입력하는 시계열 회귀로 재정식화하였다. 입력은 175시점 × 77채널(전체 63개 근육 활성, 관절각 5, 관절속도 5, 추종오차 4)의 시퀀스이며, 모형은 팽창 1차원 합성곱(dilated temporal convolution)에 시간축 마스킹 풀링과 알려진 공변량(latent·과제)을 융합하는 시간합성곱망(TCN)이다. 출력은 10개 채널의 Fmax 배율(s_F)과 길이 배율(s_L) 총 20개 값이다. 손실은 이상치에 강건한 Huber 손실을 쓰고, 드문 중증 표본에 가중을 더하였다.</w:t>
      </w:r>
    </w:p>
    <w:p>
      <w:pPr>
        <w:pStyle w:val="Heading2"/>
      </w:pPr>
      <w:r>
        <w:t>5.2 채널별 식별성</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9"/>
              </w:rPr>
              <w:t>근육 채널 (한글/영문)</w:t>
            </w:r>
          </w:p>
        </w:tc>
        <w:tc>
          <w:tcPr>
            <w:tcW w:type="dxa" w:w="2160"/>
          </w:tcPr>
          <w:p>
            <w:r/>
            <w:r>
              <w:rPr>
                <w:b/>
                <w:sz w:val="19"/>
              </w:rPr>
              <w:t>스냅샷 R²</w:t>
            </w:r>
          </w:p>
        </w:tc>
        <w:tc>
          <w:tcPr>
            <w:tcW w:type="dxa" w:w="2160"/>
          </w:tcPr>
          <w:p>
            <w:r/>
            <w:r>
              <w:rPr>
                <w:b/>
                <w:sz w:val="19"/>
              </w:rPr>
              <w:t>시계열 R²</w:t>
            </w:r>
          </w:p>
        </w:tc>
        <w:tc>
          <w:tcPr>
            <w:tcW w:type="dxa" w:w="2160"/>
          </w:tcPr>
          <w:p>
            <w:r/>
            <w:r>
              <w:rPr>
                <w:b/>
                <w:sz w:val="19"/>
              </w:rPr>
              <w:t>판정(시계열)</w:t>
            </w:r>
          </w:p>
        </w:tc>
      </w:tr>
      <w:tr>
        <w:tc>
          <w:tcPr>
            <w:tcW w:type="dxa" w:w="2160"/>
          </w:tcPr>
          <w:p>
            <w:r/>
            <w:r>
              <w:rPr>
                <w:sz w:val="19"/>
              </w:rPr>
              <w:t>전삼각근 (anterior deltoid)</w:t>
            </w:r>
          </w:p>
        </w:tc>
        <w:tc>
          <w:tcPr>
            <w:tcW w:type="dxa" w:w="2160"/>
          </w:tcPr>
          <w:p>
            <w:r/>
            <w:r>
              <w:rPr>
                <w:sz w:val="19"/>
              </w:rPr>
              <w:t>0.94</w:t>
            </w:r>
          </w:p>
        </w:tc>
        <w:tc>
          <w:tcPr>
            <w:tcW w:type="dxa" w:w="2160"/>
          </w:tcPr>
          <w:p>
            <w:r/>
            <w:r>
              <w:rPr>
                <w:sz w:val="19"/>
              </w:rPr>
              <w:t>0.97</w:t>
            </w:r>
          </w:p>
        </w:tc>
        <w:tc>
          <w:tcPr>
            <w:tcW w:type="dxa" w:w="2160"/>
          </w:tcPr>
          <w:p>
            <w:r/>
            <w:r>
              <w:rPr>
                <w:sz w:val="19"/>
              </w:rPr>
              <w:t>강식별</w:t>
            </w:r>
          </w:p>
        </w:tc>
      </w:tr>
      <w:tr>
        <w:tc>
          <w:tcPr>
            <w:tcW w:type="dxa" w:w="2160"/>
          </w:tcPr>
          <w:p>
            <w:r/>
            <w:r>
              <w:rPr>
                <w:sz w:val="19"/>
              </w:rPr>
              <w:t>중삼각근 (middle deltoid)</w:t>
            </w:r>
          </w:p>
        </w:tc>
        <w:tc>
          <w:tcPr>
            <w:tcW w:type="dxa" w:w="2160"/>
          </w:tcPr>
          <w:p>
            <w:r/>
            <w:r>
              <w:rPr>
                <w:sz w:val="19"/>
              </w:rPr>
              <w:t>0.96</w:t>
            </w:r>
          </w:p>
        </w:tc>
        <w:tc>
          <w:tcPr>
            <w:tcW w:type="dxa" w:w="2160"/>
          </w:tcPr>
          <w:p>
            <w:r/>
            <w:r>
              <w:rPr>
                <w:sz w:val="19"/>
              </w:rPr>
              <w:t>0.98</w:t>
            </w:r>
          </w:p>
        </w:tc>
        <w:tc>
          <w:tcPr>
            <w:tcW w:type="dxa" w:w="2160"/>
          </w:tcPr>
          <w:p>
            <w:r/>
            <w:r>
              <w:rPr>
                <w:sz w:val="19"/>
              </w:rPr>
              <w:t>강식별</w:t>
            </w:r>
          </w:p>
        </w:tc>
      </w:tr>
      <w:tr>
        <w:tc>
          <w:tcPr>
            <w:tcW w:type="dxa" w:w="2160"/>
          </w:tcPr>
          <w:p>
            <w:r/>
            <w:r>
              <w:rPr>
                <w:sz w:val="19"/>
              </w:rPr>
              <w:t>후삼각근 (posterior deltoid)</w:t>
            </w:r>
          </w:p>
        </w:tc>
        <w:tc>
          <w:tcPr>
            <w:tcW w:type="dxa" w:w="2160"/>
          </w:tcPr>
          <w:p>
            <w:r/>
            <w:r>
              <w:rPr>
                <w:sz w:val="19"/>
              </w:rPr>
              <w:t>0.93</w:t>
            </w:r>
          </w:p>
        </w:tc>
        <w:tc>
          <w:tcPr>
            <w:tcW w:type="dxa" w:w="2160"/>
          </w:tcPr>
          <w:p>
            <w:r/>
            <w:r>
              <w:rPr>
                <w:sz w:val="19"/>
              </w:rPr>
              <w:t>0.97</w:t>
            </w:r>
          </w:p>
        </w:tc>
        <w:tc>
          <w:tcPr>
            <w:tcW w:type="dxa" w:w="2160"/>
          </w:tcPr>
          <w:p>
            <w:r/>
            <w:r>
              <w:rPr>
                <w:sz w:val="19"/>
              </w:rPr>
              <w:t>강식별</w:t>
            </w:r>
          </w:p>
        </w:tc>
      </w:tr>
      <w:tr>
        <w:tc>
          <w:tcPr>
            <w:tcW w:type="dxa" w:w="2160"/>
          </w:tcPr>
          <w:p>
            <w:r/>
            <w:r>
              <w:rPr>
                <w:sz w:val="19"/>
              </w:rPr>
              <w:t>극상근 (supraspinatus)</w:t>
            </w:r>
          </w:p>
        </w:tc>
        <w:tc>
          <w:tcPr>
            <w:tcW w:type="dxa" w:w="2160"/>
          </w:tcPr>
          <w:p>
            <w:r/>
            <w:r>
              <w:rPr>
                <w:sz w:val="19"/>
              </w:rPr>
              <w:t>0.94</w:t>
            </w:r>
          </w:p>
        </w:tc>
        <w:tc>
          <w:tcPr>
            <w:tcW w:type="dxa" w:w="2160"/>
          </w:tcPr>
          <w:p>
            <w:r/>
            <w:r>
              <w:rPr>
                <w:sz w:val="19"/>
              </w:rPr>
              <w:t>0.96</w:t>
            </w:r>
          </w:p>
        </w:tc>
        <w:tc>
          <w:tcPr>
            <w:tcW w:type="dxa" w:w="2160"/>
          </w:tcPr>
          <w:p>
            <w:r/>
            <w:r>
              <w:rPr>
                <w:sz w:val="19"/>
              </w:rPr>
              <w:t>강식별</w:t>
            </w:r>
          </w:p>
        </w:tc>
      </w:tr>
      <w:tr>
        <w:tc>
          <w:tcPr>
            <w:tcW w:type="dxa" w:w="2160"/>
          </w:tcPr>
          <w:p>
            <w:r/>
            <w:r>
              <w:rPr>
                <w:sz w:val="19"/>
              </w:rPr>
              <w:t>대흉근 쇄골부 (pectoralis major, clavicular)</w:t>
            </w:r>
          </w:p>
        </w:tc>
        <w:tc>
          <w:tcPr>
            <w:tcW w:type="dxa" w:w="2160"/>
          </w:tcPr>
          <w:p>
            <w:r/>
            <w:r>
              <w:rPr>
                <w:sz w:val="19"/>
              </w:rPr>
              <w:t>0.83</w:t>
            </w:r>
          </w:p>
        </w:tc>
        <w:tc>
          <w:tcPr>
            <w:tcW w:type="dxa" w:w="2160"/>
          </w:tcPr>
          <w:p>
            <w:r/>
            <w:r>
              <w:rPr>
                <w:sz w:val="19"/>
              </w:rPr>
              <w:t>0.93</w:t>
            </w:r>
          </w:p>
        </w:tc>
        <w:tc>
          <w:tcPr>
            <w:tcW w:type="dxa" w:w="2160"/>
          </w:tcPr>
          <w:p>
            <w:r/>
            <w:r>
              <w:rPr>
                <w:sz w:val="19"/>
              </w:rPr>
              <w:t>강식별</w:t>
            </w:r>
          </w:p>
        </w:tc>
      </w:tr>
      <w:tr>
        <w:tc>
          <w:tcPr>
            <w:tcW w:type="dxa" w:w="2160"/>
          </w:tcPr>
          <w:p>
            <w:r/>
            <w:r>
              <w:rPr>
                <w:sz w:val="19"/>
              </w:rPr>
              <w:t>오훼완근 (coracobrachialis)</w:t>
            </w:r>
          </w:p>
        </w:tc>
        <w:tc>
          <w:tcPr>
            <w:tcW w:type="dxa" w:w="2160"/>
          </w:tcPr>
          <w:p>
            <w:r/>
            <w:r>
              <w:rPr>
                <w:sz w:val="19"/>
              </w:rPr>
              <w:t>0.92</w:t>
            </w:r>
          </w:p>
        </w:tc>
        <w:tc>
          <w:tcPr>
            <w:tcW w:type="dxa" w:w="2160"/>
          </w:tcPr>
          <w:p>
            <w:r/>
            <w:r>
              <w:rPr>
                <w:sz w:val="19"/>
              </w:rPr>
              <w:t>0.96</w:t>
            </w:r>
          </w:p>
        </w:tc>
        <w:tc>
          <w:tcPr>
            <w:tcW w:type="dxa" w:w="2160"/>
          </w:tcPr>
          <w:p>
            <w:r/>
            <w:r>
              <w:rPr>
                <w:sz w:val="19"/>
              </w:rPr>
              <w:t>강식별</w:t>
            </w:r>
          </w:p>
        </w:tc>
      </w:tr>
      <w:tr>
        <w:tc>
          <w:tcPr>
            <w:tcW w:type="dxa" w:w="2160"/>
          </w:tcPr>
          <w:p>
            <w:r/>
            <w:r>
              <w:rPr>
                <w:sz w:val="19"/>
              </w:rPr>
              <w:t>상완이두근 장두 (biceps brachii, long head)</w:t>
            </w:r>
          </w:p>
        </w:tc>
        <w:tc>
          <w:tcPr>
            <w:tcW w:type="dxa" w:w="2160"/>
          </w:tcPr>
          <w:p>
            <w:r/>
            <w:r>
              <w:rPr>
                <w:sz w:val="19"/>
              </w:rPr>
              <w:t>0.91</w:t>
            </w:r>
          </w:p>
        </w:tc>
        <w:tc>
          <w:tcPr>
            <w:tcW w:type="dxa" w:w="2160"/>
          </w:tcPr>
          <w:p>
            <w:r/>
            <w:r>
              <w:rPr>
                <w:sz w:val="19"/>
              </w:rPr>
              <w:t>0.98</w:t>
            </w:r>
          </w:p>
        </w:tc>
        <w:tc>
          <w:tcPr>
            <w:tcW w:type="dxa" w:w="2160"/>
          </w:tcPr>
          <w:p>
            <w:r/>
            <w:r>
              <w:rPr>
                <w:sz w:val="19"/>
              </w:rPr>
              <w:t>강식별</w:t>
            </w:r>
          </w:p>
        </w:tc>
      </w:tr>
      <w:tr>
        <w:tc>
          <w:tcPr>
            <w:tcW w:type="dxa" w:w="2160"/>
          </w:tcPr>
          <w:p>
            <w:r/>
            <w:r>
              <w:rPr>
                <w:sz w:val="19"/>
              </w:rPr>
              <w:t>상완삼두근 장두 (triceps brachii, long head)</w:t>
            </w:r>
          </w:p>
        </w:tc>
        <w:tc>
          <w:tcPr>
            <w:tcW w:type="dxa" w:w="2160"/>
          </w:tcPr>
          <w:p>
            <w:r/>
            <w:r>
              <w:rPr>
                <w:sz w:val="19"/>
              </w:rPr>
              <w:t>0.94</w:t>
            </w:r>
          </w:p>
        </w:tc>
        <w:tc>
          <w:tcPr>
            <w:tcW w:type="dxa" w:w="2160"/>
          </w:tcPr>
          <w:p>
            <w:r/>
            <w:r>
              <w:rPr>
                <w:sz w:val="19"/>
              </w:rPr>
              <w:t>0.98</w:t>
            </w:r>
          </w:p>
        </w:tc>
        <w:tc>
          <w:tcPr>
            <w:tcW w:type="dxa" w:w="2160"/>
          </w:tcPr>
          <w:p>
            <w:r/>
            <w:r>
              <w:rPr>
                <w:sz w:val="19"/>
              </w:rPr>
              <w:t>강식별</w:t>
            </w:r>
          </w:p>
        </w:tc>
      </w:tr>
      <w:tr>
        <w:tc>
          <w:tcPr>
            <w:tcW w:type="dxa" w:w="2160"/>
          </w:tcPr>
          <w:p>
            <w:r/>
            <w:r>
              <w:rPr>
                <w:sz w:val="19"/>
              </w:rPr>
              <w:t>하부 회전근개 묶음 (lower rotator cuff: INFSP·SUBSC·TMIN)</w:t>
            </w:r>
          </w:p>
        </w:tc>
        <w:tc>
          <w:tcPr>
            <w:tcW w:type="dxa" w:w="2160"/>
          </w:tcPr>
          <w:p>
            <w:r/>
            <w:r>
              <w:rPr>
                <w:sz w:val="19"/>
              </w:rPr>
              <w:t>0.97</w:t>
            </w:r>
          </w:p>
        </w:tc>
        <w:tc>
          <w:tcPr>
            <w:tcW w:type="dxa" w:w="2160"/>
          </w:tcPr>
          <w:p>
            <w:r/>
            <w:r>
              <w:rPr>
                <w:sz w:val="19"/>
              </w:rPr>
              <w:t>0.99</w:t>
            </w:r>
          </w:p>
        </w:tc>
        <w:tc>
          <w:tcPr>
            <w:tcW w:type="dxa" w:w="2160"/>
          </w:tcPr>
          <w:p>
            <w:r/>
            <w:r>
              <w:rPr>
                <w:sz w:val="19"/>
              </w:rPr>
              <w:t>강식별</w:t>
            </w:r>
          </w:p>
        </w:tc>
      </w:tr>
      <w:tr>
        <w:tc>
          <w:tcPr>
            <w:tcW w:type="dxa" w:w="2160"/>
          </w:tcPr>
          <w:p>
            <w:r/>
            <w:r>
              <w:rPr>
                <w:sz w:val="19"/>
              </w:rPr>
              <w:t>광배·대원근 묶음 (latissimus·teres major: TMAJ·LAT1-3)</w:t>
            </w:r>
          </w:p>
        </w:tc>
        <w:tc>
          <w:tcPr>
            <w:tcW w:type="dxa" w:w="2160"/>
          </w:tcPr>
          <w:p>
            <w:r/>
            <w:r>
              <w:rPr>
                <w:sz w:val="19"/>
              </w:rPr>
              <w:t>0.96</w:t>
            </w:r>
          </w:p>
        </w:tc>
        <w:tc>
          <w:tcPr>
            <w:tcW w:type="dxa" w:w="2160"/>
          </w:tcPr>
          <w:p>
            <w:r/>
            <w:r>
              <w:rPr>
                <w:sz w:val="19"/>
              </w:rPr>
              <w:t>0.99</w:t>
            </w:r>
          </w:p>
        </w:tc>
        <w:tc>
          <w:tcPr>
            <w:tcW w:type="dxa" w:w="2160"/>
          </w:tcPr>
          <w:p>
            <w:r/>
            <w:r>
              <w:rPr>
                <w:sz w:val="19"/>
              </w:rPr>
              <w:t>강식별</w:t>
            </w:r>
          </w:p>
        </w:tc>
      </w:tr>
    </w:tbl>
    <w:p>
      <w:r>
        <w:rPr>
          <w:sz w:val="21"/>
        </w:rPr>
        <w:t>s_F(Fmax) 평균 R²는 스냅샷 0.92 대비 시계열 0.97, s_L(Lopt) 평균 R²는 스냅샷 0.81 대비 시계열 0.89이다. 시계열 입력은 특히 동역학에 민감한 길이 배율(s_L)에서 이득이 크다(아래 비교 그림 참조).</w:t>
      </w:r>
    </w:p>
    <w:p>
      <w:pPr>
        <w:jc w:val="center"/>
      </w:pPr>
      <w:r>
        <w:drawing>
          <wp:inline xmlns:a="http://schemas.openxmlformats.org/drawingml/2006/main" xmlns:pic="http://schemas.openxmlformats.org/drawingml/2006/picture">
            <wp:extent cx="6035040" cy="2370909"/>
            <wp:docPr id="5" name="Picture 5"/>
            <wp:cNvGraphicFramePr>
              <a:graphicFrameLocks noChangeAspect="1"/>
            </wp:cNvGraphicFramePr>
            <a:graphic>
              <a:graphicData uri="http://schemas.openxmlformats.org/drawingml/2006/picture">
                <pic:pic>
                  <pic:nvPicPr>
                    <pic:cNvPr id="0" name="fig6_seq_vs_snapshot.png"/>
                    <pic:cNvPicPr/>
                  </pic:nvPicPr>
                  <pic:blipFill>
                    <a:blip r:embed="rId13"/>
                    <a:stretch>
                      <a:fillRect/>
                    </a:stretch>
                  </pic:blipFill>
                  <pic:spPr>
                    <a:xfrm>
                      <a:off x="0" y="0"/>
                      <a:ext cx="6035040" cy="2370909"/>
                    </a:xfrm>
                    <a:prstGeom prst="rect"/>
                  </pic:spPr>
                </pic:pic>
              </a:graphicData>
            </a:graphic>
          </wp:inline>
        </w:drawing>
      </w:r>
    </w:p>
    <w:p>
      <w:pPr>
        <w:jc w:val="center"/>
      </w:pPr>
      <w:r>
        <w:rPr>
          <w:i/>
          <w:sz w:val="18"/>
        </w:rPr>
        <w:t>그림 6. 채널별 R²: 스냅샷 MLP 대 시계열 TCN.</w:t>
      </w:r>
    </w:p>
    <w:p>
      <w:pPr>
        <w:pStyle w:val="Heading2"/>
      </w:pPr>
      <w:r>
        <w:t>5.3 신호 출처 분리 (ablation)</w:t>
      </w:r>
    </w:p>
    <w:p>
      <w:r>
        <w:rPr>
          <w:sz w:val="21"/>
        </w:rPr>
        <w:t>어느 관측 채널이 식별을 가능케 하는지 분리하기 위해, 입력을 활성(ACT)만, 운동학(KIN)만, 둘 다로 나누어 동일 모형을 재학습하였다.</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9"/>
              </w:rPr>
              <w:t>입력 신호</w:t>
            </w:r>
          </w:p>
        </w:tc>
        <w:tc>
          <w:tcPr>
            <w:tcW w:type="dxa" w:w="2880"/>
          </w:tcPr>
          <w:p>
            <w:r/>
            <w:r>
              <w:rPr>
                <w:b/>
                <w:sz w:val="19"/>
              </w:rPr>
              <w:t>s_F 평균 R² (시계열)</w:t>
            </w:r>
          </w:p>
        </w:tc>
        <w:tc>
          <w:tcPr>
            <w:tcW w:type="dxa" w:w="2880"/>
          </w:tcPr>
          <w:p>
            <w:r/>
            <w:r>
              <w:rPr>
                <w:b/>
                <w:sz w:val="19"/>
              </w:rPr>
              <w:t>해석</w:t>
            </w:r>
          </w:p>
        </w:tc>
      </w:tr>
      <w:tr>
        <w:tc>
          <w:tcPr>
            <w:tcW w:type="dxa" w:w="2880"/>
          </w:tcPr>
          <w:p>
            <w:r/>
            <w:r>
              <w:rPr>
                <w:sz w:val="19"/>
              </w:rPr>
              <w:t>활성 ACT만 (privileged)</w:t>
            </w:r>
          </w:p>
        </w:tc>
        <w:tc>
          <w:tcPr>
            <w:tcW w:type="dxa" w:w="2880"/>
          </w:tcPr>
          <w:p>
            <w:r/>
            <w:r>
              <w:rPr>
                <w:sz w:val="19"/>
              </w:rPr>
              <w:t>0.96</w:t>
            </w:r>
          </w:p>
        </w:tc>
        <w:tc>
          <w:tcPr>
            <w:tcW w:type="dxa" w:w="2880"/>
          </w:tcPr>
          <w:p>
            <w:r/>
            <w:r>
              <w:rPr>
                <w:sz w:val="19"/>
              </w:rPr>
              <w:t>주채널 — 적응한 운동지령이 약화를 부호화</w:t>
            </w:r>
          </w:p>
        </w:tc>
      </w:tr>
      <w:tr>
        <w:tc>
          <w:tcPr>
            <w:tcW w:type="dxa" w:w="2880"/>
          </w:tcPr>
          <w:p>
            <w:r/>
            <w:r>
              <w:rPr>
                <w:sz w:val="19"/>
              </w:rPr>
              <w:t>운동학 KIN만</w:t>
            </w:r>
          </w:p>
        </w:tc>
        <w:tc>
          <w:tcPr>
            <w:tcW w:type="dxa" w:w="2880"/>
          </w:tcPr>
          <w:p>
            <w:r/>
            <w:r>
              <w:rPr>
                <w:sz w:val="19"/>
              </w:rPr>
              <w:t>0.86</w:t>
            </w:r>
          </w:p>
        </w:tc>
        <w:tc>
          <w:tcPr>
            <w:tcW w:type="dxa" w:w="2880"/>
          </w:tcPr>
          <w:p>
            <w:r/>
            <w:r>
              <w:rPr>
                <w:sz w:val="19"/>
              </w:rPr>
              <w:t>보조 — 비보상 약화(주외전근·이관절·회전근개)에서만</w:t>
            </w:r>
          </w:p>
        </w:tc>
      </w:tr>
      <w:tr>
        <w:tc>
          <w:tcPr>
            <w:tcW w:type="dxa" w:w="2880"/>
          </w:tcPr>
          <w:p>
            <w:r/>
            <w:r>
              <w:rPr>
                <w:sz w:val="19"/>
              </w:rPr>
              <w:t>ACT + KIN (전체)</w:t>
            </w:r>
          </w:p>
        </w:tc>
        <w:tc>
          <w:tcPr>
            <w:tcW w:type="dxa" w:w="2880"/>
          </w:tcPr>
          <w:p>
            <w:r/>
            <w:r>
              <w:rPr>
                <w:sz w:val="19"/>
              </w:rPr>
              <w:t>0.97</w:t>
            </w:r>
          </w:p>
        </w:tc>
        <w:tc>
          <w:tcPr>
            <w:tcW w:type="dxa" w:w="2880"/>
          </w:tcPr>
          <w:p>
            <w:r/>
            <w:r>
              <w:rPr>
                <w:sz w:val="19"/>
              </w:rPr>
              <w:t>최종</w:t>
            </w:r>
          </w:p>
        </w:tc>
      </w:tr>
    </w:tbl>
    <w:p>
      <w:r>
        <w:rPr>
          <w:sz w:val="21"/>
        </w:rPr>
        <w:t>활성 신호가 주채널이며, 운동학 신호는 보상이 불가능한 근육에서 보조적으로 기여한다. 이는 "두 채널 중 하나로 복원"이라는 본 연구의 핵심 명제를 실증한다.</w:t>
      </w:r>
    </w:p>
    <w:p>
      <w:pPr>
        <w:pStyle w:val="Heading1"/>
      </w:pPr>
      <w:r>
        <w:t>6. 결론</w:t>
      </w:r>
    </w:p>
    <w:p>
      <w:r>
        <w:rPr>
          <w:sz w:val="21"/>
        </w:rPr>
        <w:t>시뮬레이션 내부에서, 적응을 마친 정책의 한 번의 거상 동작만으로 개별 근육(및 병합된 근육군)의 약화 정도를 높은 정확도로 복원할 수 있음을 확인하였다. 활성도가 주된 식별 채널이며 운동학이 이를 보강한다. 특히 동작의 시간적 전개를 보존하는 시계열 회귀가 요약통계 기반보다 우수하며, 동역학에 민감한 파라미터(길이 배율)에서 그 이득이 두드러진다. 서로 중복되는 회전근개 근육은 개별 분해 대신 묶음으로 추정하여 묶음 수준의 약화를 신뢰성 있게 식별하였다.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