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작성자:</w:t>
      </w:r>
      <w:r>
        <w:rPr>
          <w:rFonts w:ascii="Malgun Gothic" w:hAnsi="Malgun Gothic"/>
          <w:sz w:val="22"/>
        </w:rPr>
        <w:t xml:space="preserve"> 프로젝트 기획팀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작성일:</w:t>
      </w:r>
      <w:r>
        <w:rPr>
          <w:rFonts w:ascii="Malgun Gothic" w:hAnsi="Malgun Gothic"/>
          <w:sz w:val="22"/>
        </w:rPr>
        <w:t xml:space="preserve"> 2024년 8월 5일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소속:</w:t>
      </w:r>
      <w:r>
        <w:rPr>
          <w:rFonts w:ascii="Malgun Gothic" w:hAnsi="Malgun Gothic"/>
          <w:sz w:val="22"/>
        </w:rPr>
        <w:t xml:space="preserve">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2&gt; 한국 방산 수출 성장 추이 (2019-2030)</w:t>
      </w:r>
    </w:p>
    <w:p>
      <w:pPr>
        <w:pStyle w:val="CustomCaption"/>
        <w:jc w:val="center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  <w:jc w:val="center"/>
      </w:pPr>
      <w:r>
        <w:t>&lt;그림 3&gt; 글로벌 방산시장 지역별 성장 전망 (2024-2030)</w:t>
      </w:r>
    </w:p>
    <w:p>
      <w:pPr>
        <w:pStyle w:val="CustomBodyIndent1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Indent3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2932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932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4&gt;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555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3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7&gt; 연도별 투자 규모 추이 (2024-2030)</w:t>
      </w:r>
    </w:p>
    <w:p>
      <w:pPr>
        <w:pStyle w:val="CustomBodyIndent1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8&gt; 첨단 민군 혁신 지원 시스템 추진 조직도</w:t>
      </w:r>
    </w:p>
    <w:p>
      <w:pPr>
        <w:pStyle w:val="CustomBodyIndent1"/>
      </w:pPr>
      <w:r>
        <w:t>투자효율성 = (경제적효과 ÷ 총투자비) × 100 = (46조원 ÷ 3.5조원) × 100 ≈ 1,314%</w:t>
      </w:r>
    </w:p>
    <w:p>
      <w:pPr>
        <w:pStyle w:val="CustomCaption"/>
        <w:jc w:val="center"/>
      </w:pPr>
      <w:r>
        <w:t>&lt;그림 9&gt;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10&gt; 리스크 매트릭스 - 발생확률 vs 영향도</w:t>
      </w:r>
    </w:p>
    <w:p>
      <w:pPr>
        <w:pStyle w:val="CustomBodyIndent1"/>
      </w:pPr>
      <w:r>
        <w:t>위험도: A(매우높음) &gt; B,C(높음) &gt; D,E(중간)</w:t>
      </w:r>
    </w:p>
    <w:p>
      <w:pPr>
        <w:pStyle w:val="CustomBodyIndent1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