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11일</w:t>
        <w:br/>
      </w:r>
      <w:r>
        <w:t>데이터 포인트: 17,147개</w:t>
        <w:br/>
      </w:r>
      <w:r>
        <w:t>비행 시간: 8573.5초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0.0%</w:t>
        <w:br/>
      </w:r>
      <w:r>
        <w:t>평균 RSSI: nan dBm</w:t>
        <w:br/>
      </w:r>
      <w:r>
        <w:t>평균 RSRP: nan dBm</w:t>
        <w:br/>
      </w:r>
      <w:r>
        <w:t>평균 RSRQ: nan dB</w:t>
        <w:br/>
      </w:r>
      <w:r>
        <w:t>평균 SINR: nan dB</w:t>
        <w:br/>
      </w:r>
    </w:p>
    <w:p>
      <w:pPr>
        <w:pStyle w:val="Heading2"/>
      </w:pPr>
      <w:r>
        <w:t>1.2 Starlink 통신 품질</w:t>
      </w:r>
    </w:p>
    <w:p>
      <w:r>
        <w:t>데이터 커버리지: 51.1%</w:t>
        <w:br/>
      </w:r>
      <w:r>
        <w:t>평균 지연시간: 40.31 ms</w:t>
        <w:br/>
      </w:r>
      <w:r>
        <w:t>평균 다운로드: 0.10 Mbps</w:t>
        <w:br/>
      </w:r>
      <w:r>
        <w:t>평균 업로드: 0.23 Mbps</w:t>
        <w:br/>
      </w:r>
      <w:r>
        <w:t>평균 위성 고도각: 85.3°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0.000</w:t>
      </w:r>
    </w:p>
    <w:p>
      <w:pPr>
        <w:pStyle w:val="ListBullet"/>
      </w:pPr>
      <w:r>
        <w:t>비행 중 LTE 신호 강도 변화 범위: nan ~ nan dBm</w:t>
      </w:r>
    </w:p>
    <w:p>
      <w:pPr>
        <w:pStyle w:val="ListBullet"/>
      </w:pPr>
      <w:r>
        <w:t>Starlink 위성 고도각과 지연시간 상관관계: 0.041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위성 전환 이벤트 729회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5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50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9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2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5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2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20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44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44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