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74" w:type="dxa"/>
        <w:tblLayout w:type="fixed"/>
        <w:tblLook w:val="04A0" w:firstRow="1" w:lastRow="0" w:firstColumn="1" w:lastColumn="0" w:noHBand="0" w:noVBand="1"/>
      </w:tblPr>
      <w:tblGrid>
        <w:gridCol w:w="1009"/>
        <w:gridCol w:w="1248"/>
        <w:gridCol w:w="1094"/>
        <w:gridCol w:w="1504"/>
        <w:gridCol w:w="809"/>
        <w:gridCol w:w="3010"/>
      </w:tblGrid>
      <w:tr w:rsidR="00A16610" w:rsidRPr="00A16610" w14:paraId="17207C0D" w14:textId="77777777" w:rsidTr="00A16610">
        <w:trPr>
          <w:trHeight w:val="585"/>
        </w:trPr>
        <w:tc>
          <w:tcPr>
            <w:tcW w:w="1009" w:type="dxa"/>
          </w:tcPr>
          <w:p w14:paraId="7FEB6F40" w14:textId="48D33107" w:rsidR="00A16610" w:rsidRPr="00A16610" w:rsidRDefault="00A16610">
            <w:pPr>
              <w:rPr>
                <w:sz w:val="18"/>
                <w:szCs w:val="18"/>
              </w:rPr>
            </w:pPr>
            <w:proofErr w:type="spellStart"/>
            <w:r w:rsidRPr="00A16610">
              <w:rPr>
                <w:sz w:val="18"/>
                <w:szCs w:val="18"/>
              </w:rPr>
              <w:t>Evaluatee</w:t>
            </w:r>
            <w:proofErr w:type="spellEnd"/>
          </w:p>
        </w:tc>
        <w:tc>
          <w:tcPr>
            <w:tcW w:w="1248" w:type="dxa"/>
          </w:tcPr>
          <w:p w14:paraId="0617D5B3" w14:textId="63CE49FB" w:rsidR="00A16610" w:rsidRPr="00A16610" w:rsidRDefault="00A16610">
            <w:pPr>
              <w:rPr>
                <w:sz w:val="18"/>
                <w:szCs w:val="18"/>
              </w:rPr>
            </w:pPr>
            <w:r w:rsidRPr="00A16610">
              <w:rPr>
                <w:sz w:val="18"/>
                <w:szCs w:val="18"/>
              </w:rPr>
              <w:t>Technical Contribution (1-5)</w:t>
            </w:r>
          </w:p>
        </w:tc>
        <w:tc>
          <w:tcPr>
            <w:tcW w:w="1094" w:type="dxa"/>
          </w:tcPr>
          <w:p w14:paraId="5B6DF9C9" w14:textId="216273D9" w:rsidR="00A16610" w:rsidRPr="00A16610" w:rsidRDefault="00A16610">
            <w:pPr>
              <w:rPr>
                <w:sz w:val="18"/>
                <w:szCs w:val="18"/>
              </w:rPr>
            </w:pPr>
            <w:r w:rsidRPr="00A16610">
              <w:rPr>
                <w:sz w:val="18"/>
                <w:szCs w:val="18"/>
              </w:rPr>
              <w:t>Collaboration (1-5)</w:t>
            </w:r>
          </w:p>
        </w:tc>
        <w:tc>
          <w:tcPr>
            <w:tcW w:w="1504" w:type="dxa"/>
          </w:tcPr>
          <w:p w14:paraId="251471FB" w14:textId="01D25F16" w:rsidR="00A16610" w:rsidRPr="00A16610" w:rsidRDefault="00A16610">
            <w:pPr>
              <w:rPr>
                <w:sz w:val="18"/>
                <w:szCs w:val="18"/>
              </w:rPr>
            </w:pPr>
            <w:r w:rsidRPr="00A16610">
              <w:rPr>
                <w:sz w:val="18"/>
                <w:szCs w:val="18"/>
              </w:rPr>
              <w:t>Communication (1-5)</w:t>
            </w:r>
          </w:p>
        </w:tc>
        <w:tc>
          <w:tcPr>
            <w:tcW w:w="809" w:type="dxa"/>
          </w:tcPr>
          <w:p w14:paraId="1C657B7C" w14:textId="46952064" w:rsidR="00A16610" w:rsidRPr="00A16610" w:rsidRDefault="00A16610">
            <w:pPr>
              <w:rPr>
                <w:sz w:val="18"/>
                <w:szCs w:val="18"/>
              </w:rPr>
            </w:pPr>
            <w:r w:rsidRPr="00A16610">
              <w:rPr>
                <w:sz w:val="18"/>
                <w:szCs w:val="18"/>
              </w:rPr>
              <w:t>Overall (1-5)</w:t>
            </w:r>
          </w:p>
        </w:tc>
        <w:tc>
          <w:tcPr>
            <w:tcW w:w="3010" w:type="dxa"/>
          </w:tcPr>
          <w:p w14:paraId="7C3EFA97" w14:textId="43699047" w:rsidR="00A16610" w:rsidRPr="00A16610" w:rsidRDefault="00A16610">
            <w:pPr>
              <w:rPr>
                <w:rFonts w:hint="eastAsia"/>
                <w:sz w:val="18"/>
                <w:szCs w:val="18"/>
              </w:rPr>
            </w:pPr>
            <w:r w:rsidRPr="00A16610">
              <w:rPr>
                <w:sz w:val="18"/>
                <w:szCs w:val="18"/>
              </w:rPr>
              <w:t>Comments</w:t>
            </w:r>
          </w:p>
        </w:tc>
      </w:tr>
      <w:tr w:rsidR="00A16610" w:rsidRPr="00A16610" w14:paraId="5C091BEE" w14:textId="77777777" w:rsidTr="00A16610">
        <w:trPr>
          <w:trHeight w:val="1939"/>
        </w:trPr>
        <w:tc>
          <w:tcPr>
            <w:tcW w:w="1009" w:type="dxa"/>
          </w:tcPr>
          <w:p w14:paraId="5443C8AD" w14:textId="35BFBC02" w:rsidR="00A16610" w:rsidRPr="00A16610" w:rsidRDefault="00A16610">
            <w:pPr>
              <w:rPr>
                <w:sz w:val="18"/>
                <w:szCs w:val="18"/>
              </w:rPr>
            </w:pPr>
            <w:r w:rsidRPr="00A16610">
              <w:rPr>
                <w:sz w:val="18"/>
                <w:szCs w:val="18"/>
              </w:rPr>
              <w:t>Diego Romero-Lovo</w:t>
            </w:r>
          </w:p>
        </w:tc>
        <w:tc>
          <w:tcPr>
            <w:tcW w:w="1248" w:type="dxa"/>
          </w:tcPr>
          <w:p w14:paraId="47767967" w14:textId="062CF03D" w:rsidR="00A16610" w:rsidRPr="00A16610" w:rsidRDefault="00A16610">
            <w:pPr>
              <w:rPr>
                <w:rFonts w:hint="eastAsia"/>
                <w:sz w:val="18"/>
                <w:szCs w:val="18"/>
              </w:rPr>
            </w:pPr>
            <w:r>
              <w:rPr>
                <w:rFonts w:hint="eastAsia"/>
                <w:sz w:val="18"/>
                <w:szCs w:val="18"/>
              </w:rPr>
              <w:t>5</w:t>
            </w:r>
          </w:p>
        </w:tc>
        <w:tc>
          <w:tcPr>
            <w:tcW w:w="1094" w:type="dxa"/>
          </w:tcPr>
          <w:p w14:paraId="271C351E" w14:textId="7ACE03D6" w:rsidR="00A16610" w:rsidRPr="00A16610" w:rsidRDefault="00A16610">
            <w:pPr>
              <w:rPr>
                <w:rFonts w:hint="eastAsia"/>
                <w:sz w:val="18"/>
                <w:szCs w:val="18"/>
              </w:rPr>
            </w:pPr>
            <w:r>
              <w:rPr>
                <w:rFonts w:hint="eastAsia"/>
                <w:sz w:val="18"/>
                <w:szCs w:val="18"/>
              </w:rPr>
              <w:t>5</w:t>
            </w:r>
          </w:p>
        </w:tc>
        <w:tc>
          <w:tcPr>
            <w:tcW w:w="1504" w:type="dxa"/>
          </w:tcPr>
          <w:p w14:paraId="002E8B6E" w14:textId="0061D705" w:rsidR="00A16610" w:rsidRPr="00A16610" w:rsidRDefault="00A16610">
            <w:pPr>
              <w:rPr>
                <w:rFonts w:hint="eastAsia"/>
                <w:sz w:val="18"/>
                <w:szCs w:val="18"/>
              </w:rPr>
            </w:pPr>
            <w:r>
              <w:rPr>
                <w:rFonts w:hint="eastAsia"/>
                <w:sz w:val="18"/>
                <w:szCs w:val="18"/>
              </w:rPr>
              <w:t>5</w:t>
            </w:r>
          </w:p>
        </w:tc>
        <w:tc>
          <w:tcPr>
            <w:tcW w:w="809" w:type="dxa"/>
          </w:tcPr>
          <w:p w14:paraId="14A7B209" w14:textId="44828141" w:rsidR="00A16610" w:rsidRPr="00A16610" w:rsidRDefault="00A16610">
            <w:pPr>
              <w:rPr>
                <w:rFonts w:hint="eastAsia"/>
                <w:sz w:val="18"/>
                <w:szCs w:val="18"/>
              </w:rPr>
            </w:pPr>
            <w:r>
              <w:rPr>
                <w:rFonts w:hint="eastAsia"/>
                <w:sz w:val="18"/>
                <w:szCs w:val="18"/>
              </w:rPr>
              <w:t>5</w:t>
            </w:r>
          </w:p>
        </w:tc>
        <w:tc>
          <w:tcPr>
            <w:tcW w:w="3010" w:type="dxa"/>
          </w:tcPr>
          <w:p w14:paraId="0065CA28" w14:textId="2ABB3234" w:rsidR="00A16610" w:rsidRPr="00A16610" w:rsidRDefault="00A16610">
            <w:pPr>
              <w:rPr>
                <w:sz w:val="18"/>
                <w:szCs w:val="18"/>
              </w:rPr>
            </w:pPr>
            <w:r w:rsidRPr="00A16610">
              <w:rPr>
                <w:sz w:val="18"/>
                <w:szCs w:val="18"/>
              </w:rPr>
              <w:t>Diego was responsible for the Map and Landmarks module. He did a solid job in building the map view, category filters, and landmark detail pages. His work helped make the app more interactive and user-friendly. During the presentation, he clearly explained how users can explore landmarks and get directions, which showed a good understanding of both the technical and practical side of the feature.</w:t>
            </w:r>
          </w:p>
        </w:tc>
      </w:tr>
      <w:tr w:rsidR="00A16610" w:rsidRPr="00A16610" w14:paraId="4760DCF4" w14:textId="77777777" w:rsidTr="00A16610">
        <w:trPr>
          <w:trHeight w:val="189"/>
        </w:trPr>
        <w:tc>
          <w:tcPr>
            <w:tcW w:w="1009" w:type="dxa"/>
          </w:tcPr>
          <w:p w14:paraId="64815CB9" w14:textId="1C2ADA38" w:rsidR="00A16610" w:rsidRPr="00A16610" w:rsidRDefault="00A16610">
            <w:pPr>
              <w:rPr>
                <w:sz w:val="18"/>
                <w:szCs w:val="18"/>
              </w:rPr>
            </w:pPr>
            <w:r w:rsidRPr="00A16610">
              <w:rPr>
                <w:sz w:val="18"/>
                <w:szCs w:val="18"/>
              </w:rPr>
              <w:t>Dong Zhang</w:t>
            </w:r>
          </w:p>
        </w:tc>
        <w:tc>
          <w:tcPr>
            <w:tcW w:w="1248" w:type="dxa"/>
          </w:tcPr>
          <w:p w14:paraId="51CF08C9" w14:textId="5DA57B6C" w:rsidR="00A16610" w:rsidRPr="00A16610" w:rsidRDefault="00A16610">
            <w:pPr>
              <w:rPr>
                <w:rFonts w:hint="eastAsia"/>
                <w:sz w:val="18"/>
                <w:szCs w:val="18"/>
              </w:rPr>
            </w:pPr>
            <w:r>
              <w:rPr>
                <w:rFonts w:hint="eastAsia"/>
                <w:sz w:val="18"/>
                <w:szCs w:val="18"/>
              </w:rPr>
              <w:t>5</w:t>
            </w:r>
          </w:p>
        </w:tc>
        <w:tc>
          <w:tcPr>
            <w:tcW w:w="1094" w:type="dxa"/>
          </w:tcPr>
          <w:p w14:paraId="0E90F039" w14:textId="307CBA2C" w:rsidR="00A16610" w:rsidRPr="00A16610" w:rsidRDefault="00A16610">
            <w:pPr>
              <w:rPr>
                <w:rFonts w:hint="eastAsia"/>
                <w:sz w:val="18"/>
                <w:szCs w:val="18"/>
              </w:rPr>
            </w:pPr>
            <w:r>
              <w:rPr>
                <w:rFonts w:hint="eastAsia"/>
                <w:sz w:val="18"/>
                <w:szCs w:val="18"/>
              </w:rPr>
              <w:t>5</w:t>
            </w:r>
          </w:p>
        </w:tc>
        <w:tc>
          <w:tcPr>
            <w:tcW w:w="1504" w:type="dxa"/>
          </w:tcPr>
          <w:p w14:paraId="695C6F14" w14:textId="3BFEFEF4" w:rsidR="00A16610" w:rsidRPr="00A16610" w:rsidRDefault="00A16610">
            <w:pPr>
              <w:rPr>
                <w:rFonts w:hint="eastAsia"/>
                <w:sz w:val="18"/>
                <w:szCs w:val="18"/>
              </w:rPr>
            </w:pPr>
            <w:r>
              <w:rPr>
                <w:rFonts w:hint="eastAsia"/>
                <w:sz w:val="18"/>
                <w:szCs w:val="18"/>
              </w:rPr>
              <w:t>5</w:t>
            </w:r>
          </w:p>
        </w:tc>
        <w:tc>
          <w:tcPr>
            <w:tcW w:w="809" w:type="dxa"/>
          </w:tcPr>
          <w:p w14:paraId="1A1E5132" w14:textId="4087AFBB" w:rsidR="00A16610" w:rsidRPr="00A16610" w:rsidRDefault="00A16610">
            <w:pPr>
              <w:rPr>
                <w:rFonts w:hint="eastAsia"/>
                <w:sz w:val="18"/>
                <w:szCs w:val="18"/>
              </w:rPr>
            </w:pPr>
            <w:r>
              <w:rPr>
                <w:rFonts w:hint="eastAsia"/>
                <w:sz w:val="18"/>
                <w:szCs w:val="18"/>
              </w:rPr>
              <w:t>5</w:t>
            </w:r>
          </w:p>
        </w:tc>
        <w:tc>
          <w:tcPr>
            <w:tcW w:w="3010" w:type="dxa"/>
          </w:tcPr>
          <w:p w14:paraId="3C5F5C40" w14:textId="77777777" w:rsidR="00A16610" w:rsidRPr="00A16610" w:rsidRDefault="00A16610" w:rsidP="00A16610">
            <w:pPr>
              <w:rPr>
                <w:sz w:val="18"/>
                <w:szCs w:val="18"/>
              </w:rPr>
            </w:pPr>
            <w:r w:rsidRPr="00A16610">
              <w:rPr>
                <w:sz w:val="18"/>
                <w:szCs w:val="18"/>
              </w:rPr>
              <w:t xml:space="preserve">Dong played an important role as the Integration Lead and was responsible for the Routes module, technical architecture, and part of the final presentation. He not only completed his own </w:t>
            </w:r>
            <w:proofErr w:type="gramStart"/>
            <w:r w:rsidRPr="00A16610">
              <w:rPr>
                <w:sz w:val="18"/>
                <w:szCs w:val="18"/>
              </w:rPr>
              <w:t>features, but</w:t>
            </w:r>
            <w:proofErr w:type="gramEnd"/>
            <w:r w:rsidRPr="00A16610">
              <w:rPr>
                <w:sz w:val="18"/>
                <w:szCs w:val="18"/>
              </w:rPr>
              <w:t xml:space="preserve"> also helped connect different parts of the project together. His work on integration made the system </w:t>
            </w:r>
            <w:proofErr w:type="gramStart"/>
            <w:r w:rsidRPr="00A16610">
              <w:rPr>
                <w:sz w:val="18"/>
                <w:szCs w:val="18"/>
              </w:rPr>
              <w:t>more complete and stable</w:t>
            </w:r>
            <w:proofErr w:type="gramEnd"/>
            <w:r w:rsidRPr="00A16610">
              <w:rPr>
                <w:sz w:val="18"/>
                <w:szCs w:val="18"/>
              </w:rPr>
              <w:t>.</w:t>
            </w:r>
          </w:p>
          <w:p w14:paraId="3162DF90" w14:textId="77777777" w:rsidR="00A16610" w:rsidRPr="00A16610" w:rsidRDefault="00A16610" w:rsidP="00A16610">
            <w:pPr>
              <w:rPr>
                <w:sz w:val="18"/>
                <w:szCs w:val="18"/>
              </w:rPr>
            </w:pPr>
          </w:p>
          <w:p w14:paraId="181DB978" w14:textId="392768C3" w:rsidR="00A16610" w:rsidRPr="00A16610" w:rsidRDefault="00A16610" w:rsidP="00A16610">
            <w:pPr>
              <w:rPr>
                <w:sz w:val="18"/>
                <w:szCs w:val="18"/>
              </w:rPr>
            </w:pPr>
            <w:r w:rsidRPr="00A16610">
              <w:rPr>
                <w:sz w:val="18"/>
                <w:szCs w:val="18"/>
              </w:rPr>
              <w:t>As a leader, Dong showed strong responsibility throughout the project. He helped organize tasks, supported team communication, and made sure the project moved forward on time. He was also willing to solve problems when technical challenges came up, such as integration and authentication issues. Overall, he made a valuable contribution both technically and as a team leader.</w:t>
            </w:r>
          </w:p>
        </w:tc>
      </w:tr>
      <w:tr w:rsidR="00A16610" w:rsidRPr="00A16610" w14:paraId="4AABC35E" w14:textId="77777777" w:rsidTr="00A16610">
        <w:trPr>
          <w:trHeight w:val="197"/>
        </w:trPr>
        <w:tc>
          <w:tcPr>
            <w:tcW w:w="1009" w:type="dxa"/>
          </w:tcPr>
          <w:p w14:paraId="6A09447F" w14:textId="62DE1F47" w:rsidR="00A16610" w:rsidRPr="00A16610" w:rsidRDefault="00A16610">
            <w:pPr>
              <w:rPr>
                <w:sz w:val="18"/>
                <w:szCs w:val="18"/>
              </w:rPr>
            </w:pPr>
            <w:proofErr w:type="spellStart"/>
            <w:r w:rsidRPr="00A16610">
              <w:rPr>
                <w:sz w:val="18"/>
                <w:szCs w:val="18"/>
              </w:rPr>
              <w:t>Menghua</w:t>
            </w:r>
            <w:proofErr w:type="spellEnd"/>
            <w:r w:rsidRPr="00A16610">
              <w:rPr>
                <w:sz w:val="18"/>
                <w:szCs w:val="18"/>
              </w:rPr>
              <w:t xml:space="preserve"> Wang</w:t>
            </w:r>
          </w:p>
        </w:tc>
        <w:tc>
          <w:tcPr>
            <w:tcW w:w="1248" w:type="dxa"/>
          </w:tcPr>
          <w:p w14:paraId="00959D66" w14:textId="2BC9ACE2" w:rsidR="00A16610" w:rsidRPr="00A16610" w:rsidRDefault="00A16610">
            <w:pPr>
              <w:rPr>
                <w:rFonts w:hint="eastAsia"/>
                <w:sz w:val="18"/>
                <w:szCs w:val="18"/>
              </w:rPr>
            </w:pPr>
            <w:r>
              <w:rPr>
                <w:rFonts w:hint="eastAsia"/>
                <w:sz w:val="18"/>
                <w:szCs w:val="18"/>
              </w:rPr>
              <w:t>5</w:t>
            </w:r>
          </w:p>
        </w:tc>
        <w:tc>
          <w:tcPr>
            <w:tcW w:w="1094" w:type="dxa"/>
          </w:tcPr>
          <w:p w14:paraId="06C3FCB1" w14:textId="79B47693" w:rsidR="00A16610" w:rsidRPr="00A16610" w:rsidRDefault="00A16610">
            <w:pPr>
              <w:rPr>
                <w:rFonts w:hint="eastAsia"/>
                <w:sz w:val="18"/>
                <w:szCs w:val="18"/>
              </w:rPr>
            </w:pPr>
            <w:r>
              <w:rPr>
                <w:rFonts w:hint="eastAsia"/>
                <w:sz w:val="18"/>
                <w:szCs w:val="18"/>
              </w:rPr>
              <w:t>5</w:t>
            </w:r>
          </w:p>
        </w:tc>
        <w:tc>
          <w:tcPr>
            <w:tcW w:w="1504" w:type="dxa"/>
          </w:tcPr>
          <w:p w14:paraId="27C1D357" w14:textId="1B35CD8E" w:rsidR="00A16610" w:rsidRPr="00A16610" w:rsidRDefault="00A16610">
            <w:pPr>
              <w:rPr>
                <w:rFonts w:hint="eastAsia"/>
                <w:sz w:val="18"/>
                <w:szCs w:val="18"/>
              </w:rPr>
            </w:pPr>
            <w:r>
              <w:rPr>
                <w:rFonts w:hint="eastAsia"/>
                <w:sz w:val="18"/>
                <w:szCs w:val="18"/>
              </w:rPr>
              <w:t>5</w:t>
            </w:r>
          </w:p>
        </w:tc>
        <w:tc>
          <w:tcPr>
            <w:tcW w:w="809" w:type="dxa"/>
          </w:tcPr>
          <w:p w14:paraId="51D5890F" w14:textId="2ECDF70E" w:rsidR="00A16610" w:rsidRPr="00A16610" w:rsidRDefault="00A16610">
            <w:pPr>
              <w:rPr>
                <w:rFonts w:hint="eastAsia"/>
                <w:sz w:val="18"/>
                <w:szCs w:val="18"/>
              </w:rPr>
            </w:pPr>
            <w:r>
              <w:rPr>
                <w:rFonts w:hint="eastAsia"/>
                <w:sz w:val="18"/>
                <w:szCs w:val="18"/>
              </w:rPr>
              <w:t>5</w:t>
            </w:r>
          </w:p>
        </w:tc>
        <w:tc>
          <w:tcPr>
            <w:tcW w:w="3010" w:type="dxa"/>
          </w:tcPr>
          <w:p w14:paraId="07F7DB7B" w14:textId="27BD8E38" w:rsidR="00A16610" w:rsidRPr="00A16610" w:rsidRDefault="00A16610">
            <w:pPr>
              <w:rPr>
                <w:sz w:val="18"/>
                <w:szCs w:val="18"/>
              </w:rPr>
            </w:pPr>
            <w:proofErr w:type="spellStart"/>
            <w:r w:rsidRPr="00A16610">
              <w:rPr>
                <w:sz w:val="18"/>
                <w:szCs w:val="18"/>
              </w:rPr>
              <w:t>Menghua</w:t>
            </w:r>
            <w:proofErr w:type="spellEnd"/>
            <w:r w:rsidRPr="00A16610">
              <w:rPr>
                <w:sz w:val="18"/>
                <w:szCs w:val="18"/>
              </w:rPr>
              <w:t xml:space="preserve"> was responsible for the Awards and Badges system. She completed this part well and made the progress tracking feature easy to understand. Her explanation of the </w:t>
            </w:r>
            <w:proofErr w:type="gramStart"/>
            <w:r w:rsidRPr="00A16610">
              <w:rPr>
                <w:sz w:val="18"/>
                <w:szCs w:val="18"/>
              </w:rPr>
              <w:t>Bronze, Silver, and Gold</w:t>
            </w:r>
            <w:proofErr w:type="gramEnd"/>
            <w:r w:rsidRPr="00A16610">
              <w:rPr>
                <w:sz w:val="18"/>
                <w:szCs w:val="18"/>
              </w:rPr>
              <w:t xml:space="preserve"> badge system was clear and organized. This feature added motivation for users and improved the overall experience of the app.</w:t>
            </w:r>
          </w:p>
        </w:tc>
      </w:tr>
    </w:tbl>
    <w:p w14:paraId="52E2FE2D" w14:textId="77777777" w:rsidR="00A16610" w:rsidRDefault="00A16610">
      <w:pPr>
        <w:rPr>
          <w:sz w:val="18"/>
          <w:szCs w:val="18"/>
        </w:rPr>
      </w:pPr>
    </w:p>
    <w:p w14:paraId="44A0DBBE" w14:textId="77777777" w:rsidR="00A16610" w:rsidRDefault="00A16610">
      <w:pPr>
        <w:rPr>
          <w:sz w:val="18"/>
          <w:szCs w:val="18"/>
        </w:rPr>
      </w:pPr>
    </w:p>
    <w:p w14:paraId="4A68B02E" w14:textId="77777777" w:rsidR="00A16610" w:rsidRPr="00A16610" w:rsidRDefault="00A16610" w:rsidP="00A16610">
      <w:pPr>
        <w:rPr>
          <w:sz w:val="18"/>
          <w:szCs w:val="18"/>
        </w:rPr>
      </w:pPr>
      <w:r w:rsidRPr="00A16610">
        <w:rPr>
          <w:sz w:val="18"/>
          <w:szCs w:val="18"/>
        </w:rPr>
        <w:t>Challenge was implementing reliable GPS proximity validation for check-in.</w:t>
      </w:r>
    </w:p>
    <w:p w14:paraId="2D3BAB8E" w14:textId="77777777" w:rsidR="00A16610" w:rsidRPr="00A16610" w:rsidRDefault="00A16610" w:rsidP="00A16610">
      <w:pPr>
        <w:rPr>
          <w:sz w:val="18"/>
          <w:szCs w:val="18"/>
        </w:rPr>
      </w:pPr>
      <w:r w:rsidRPr="00A16610">
        <w:rPr>
          <w:sz w:val="18"/>
          <w:szCs w:val="18"/>
        </w:rPr>
        <w:t>In the backend, I calculate user-to-landmark distance in NwTrailsService.java with the Haversine formula (</w:t>
      </w:r>
      <w:proofErr w:type="spellStart"/>
      <w:r w:rsidRPr="00A16610">
        <w:rPr>
          <w:sz w:val="18"/>
          <w:szCs w:val="18"/>
        </w:rPr>
        <w:t>calculateDistanceMeters</w:t>
      </w:r>
      <w:proofErr w:type="spellEnd"/>
      <w:r w:rsidRPr="00A16610">
        <w:rPr>
          <w:sz w:val="18"/>
          <w:szCs w:val="18"/>
        </w:rPr>
        <w:t>), using latitude/longitude in radians and Earth radius in meters.</w:t>
      </w:r>
    </w:p>
    <w:p w14:paraId="65312E11" w14:textId="77777777" w:rsidR="00A16610" w:rsidRPr="00A16610" w:rsidRDefault="00A16610" w:rsidP="00A16610">
      <w:pPr>
        <w:rPr>
          <w:sz w:val="18"/>
          <w:szCs w:val="18"/>
        </w:rPr>
      </w:pPr>
      <w:r w:rsidRPr="00A16610">
        <w:rPr>
          <w:sz w:val="18"/>
          <w:szCs w:val="18"/>
        </w:rPr>
        <w:t>After the distance is computed and rounded, I compare it against our fixed threshold of 50 meters.</w:t>
      </w:r>
    </w:p>
    <w:p w14:paraId="2AC126F5" w14:textId="77777777" w:rsidR="00A16610" w:rsidRPr="00A16610" w:rsidRDefault="00A16610" w:rsidP="00A16610">
      <w:pPr>
        <w:rPr>
          <w:sz w:val="18"/>
          <w:szCs w:val="18"/>
        </w:rPr>
      </w:pPr>
      <w:r w:rsidRPr="00A16610">
        <w:rPr>
          <w:sz w:val="18"/>
          <w:szCs w:val="18"/>
        </w:rPr>
        <w:lastRenderedPageBreak/>
        <w:t>If the value is over 50, the API blocks the check-in and returns OUT_OF_RANGE with distance details; otherwise, the check-in is allowed.</w:t>
      </w:r>
    </w:p>
    <w:p w14:paraId="4F00443E" w14:textId="77777777" w:rsidR="00A16610" w:rsidRPr="00A16610" w:rsidRDefault="00A16610" w:rsidP="00A16610">
      <w:pPr>
        <w:rPr>
          <w:sz w:val="18"/>
          <w:szCs w:val="18"/>
        </w:rPr>
      </w:pPr>
      <w:r w:rsidRPr="00A16610">
        <w:rPr>
          <w:sz w:val="18"/>
          <w:szCs w:val="18"/>
        </w:rPr>
        <w:t>This keeps the rule accurate, consistent, and fully enforced on the server side.</w:t>
      </w:r>
    </w:p>
    <w:p w14:paraId="22102736" w14:textId="77777777" w:rsidR="00A16610" w:rsidRPr="00A16610" w:rsidRDefault="00A16610">
      <w:pPr>
        <w:rPr>
          <w:sz w:val="18"/>
          <w:szCs w:val="18"/>
        </w:rPr>
      </w:pPr>
    </w:p>
    <w:sectPr w:rsidR="00A16610" w:rsidRPr="00A1661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10"/>
    <w:rsid w:val="004A25C1"/>
    <w:rsid w:val="00A1661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7778"/>
  <w15:chartTrackingRefBased/>
  <w15:docId w15:val="{B18C127D-2CCE-4368-81B9-98543A10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10"/>
    <w:rPr>
      <w:rFonts w:eastAsiaTheme="majorEastAsia" w:cstheme="majorBidi"/>
      <w:color w:val="272727" w:themeColor="text1" w:themeTint="D8"/>
    </w:rPr>
  </w:style>
  <w:style w:type="paragraph" w:styleId="Title">
    <w:name w:val="Title"/>
    <w:basedOn w:val="Normal"/>
    <w:next w:val="Normal"/>
    <w:link w:val="TitleChar"/>
    <w:uiPriority w:val="10"/>
    <w:qFormat/>
    <w:rsid w:val="00A1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10"/>
    <w:pPr>
      <w:spacing w:before="160"/>
      <w:jc w:val="center"/>
    </w:pPr>
    <w:rPr>
      <w:i/>
      <w:iCs/>
      <w:color w:val="404040" w:themeColor="text1" w:themeTint="BF"/>
    </w:rPr>
  </w:style>
  <w:style w:type="character" w:customStyle="1" w:styleId="QuoteChar">
    <w:name w:val="Quote Char"/>
    <w:basedOn w:val="DefaultParagraphFont"/>
    <w:link w:val="Quote"/>
    <w:uiPriority w:val="29"/>
    <w:rsid w:val="00A16610"/>
    <w:rPr>
      <w:i/>
      <w:iCs/>
      <w:color w:val="404040" w:themeColor="text1" w:themeTint="BF"/>
    </w:rPr>
  </w:style>
  <w:style w:type="paragraph" w:styleId="ListParagraph">
    <w:name w:val="List Paragraph"/>
    <w:basedOn w:val="Normal"/>
    <w:uiPriority w:val="34"/>
    <w:qFormat/>
    <w:rsid w:val="00A16610"/>
    <w:pPr>
      <w:ind w:left="720"/>
      <w:contextualSpacing/>
    </w:pPr>
  </w:style>
  <w:style w:type="character" w:styleId="IntenseEmphasis">
    <w:name w:val="Intense Emphasis"/>
    <w:basedOn w:val="DefaultParagraphFont"/>
    <w:uiPriority w:val="21"/>
    <w:qFormat/>
    <w:rsid w:val="00A16610"/>
    <w:rPr>
      <w:i/>
      <w:iCs/>
      <w:color w:val="0F4761" w:themeColor="accent1" w:themeShade="BF"/>
    </w:rPr>
  </w:style>
  <w:style w:type="paragraph" w:styleId="IntenseQuote">
    <w:name w:val="Intense Quote"/>
    <w:basedOn w:val="Normal"/>
    <w:next w:val="Normal"/>
    <w:link w:val="IntenseQuoteChar"/>
    <w:uiPriority w:val="30"/>
    <w:qFormat/>
    <w:rsid w:val="00A1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10"/>
    <w:rPr>
      <w:i/>
      <w:iCs/>
      <w:color w:val="0F4761" w:themeColor="accent1" w:themeShade="BF"/>
    </w:rPr>
  </w:style>
  <w:style w:type="character" w:styleId="IntenseReference">
    <w:name w:val="Intense Reference"/>
    <w:basedOn w:val="DefaultParagraphFont"/>
    <w:uiPriority w:val="32"/>
    <w:qFormat/>
    <w:rsid w:val="00A16610"/>
    <w:rPr>
      <w:b/>
      <w:bCs/>
      <w:smallCaps/>
      <w:color w:val="0F4761" w:themeColor="accent1" w:themeShade="BF"/>
      <w:spacing w:val="5"/>
    </w:rPr>
  </w:style>
  <w:style w:type="table" w:styleId="TableGrid">
    <w:name w:val="Table Grid"/>
    <w:basedOn w:val="TableNormal"/>
    <w:uiPriority w:val="39"/>
    <w:rsid w:val="00A16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 Kang</dc:creator>
  <cp:keywords/>
  <dc:description/>
  <cp:lastModifiedBy>Zhi Kang</cp:lastModifiedBy>
  <cp:revision>1</cp:revision>
  <dcterms:created xsi:type="dcterms:W3CDTF">2026-04-12T15:39:00Z</dcterms:created>
  <dcterms:modified xsi:type="dcterms:W3CDTF">2026-04-12T15:45:00Z</dcterms:modified>
</cp:coreProperties>
</file>