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  <w:color w:val="1F2A44"/>
          <w:sz w:val="36"/>
        </w:rPr>
        <w:t>沪深300 S&amp;P Financial Viability + SPMO 动量指数：方法、数据与 2005–2026 历史回测研究报告</w:t>
      </w:r>
    </w:p>
    <w:p>
      <w:pPr>
        <w:spacing w:after="120"/>
      </w:pPr>
      <w:r>
        <w:rPr>
          <w:rFonts w:ascii="Calibri" w:hAnsi="Calibri" w:eastAsia="PingFang SC"/>
          <w:i/>
          <w:sz w:val="21"/>
        </w:rPr>
        <w:t>*项目：</w:t>
      </w:r>
      <w:r>
        <w:rPr>
          <w:rFonts w:ascii="Consolas" w:hAnsi="Consolas" w:eastAsia="PingFang SC"/>
          <w:i/>
          <w:color w:val="8B1A1A"/>
          <w:sz w:val="20"/>
        </w:rPr>
        <w:t>csi300-spmo-index</w:t>
      </w:r>
      <w:r>
        <w:rPr>
          <w:rFonts w:ascii="Calibri" w:hAnsi="Calibri" w:eastAsia="PingFang SC"/>
          <w:i/>
          <w:sz w:val="21"/>
        </w:rPr>
        <w:t xml:space="preserve"> · 生成日期 2026-09-10 · 回测区间 2005-09-16 → 2026-09-09（21.0 年，42 次已实施调仓）· 本报告全部数字由 </w:t>
      </w:r>
      <w:r>
        <w:rPr>
          <w:rFonts w:ascii="Consolas" w:hAnsi="Consolas" w:eastAsia="PingFang SC"/>
          <w:i/>
          <w:color w:val="8B1A1A"/>
          <w:sz w:val="20"/>
        </w:rPr>
        <w:t>python scripts/generate_research_report.py</w:t>
      </w:r>
      <w:r>
        <w:rPr>
          <w:rFonts w:ascii="Calibri" w:hAnsi="Calibri" w:eastAsia="PingFang SC"/>
          <w:i/>
          <w:sz w:val="21"/>
        </w:rPr>
        <w:t xml:space="preserve"> 从回测输出自动生成*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摘要</w:t>
      </w:r>
    </w:p>
    <w:p>
      <w:pPr>
        <w:spacing w:after="120"/>
      </w:pPr>
      <w:r>
        <w:rPr>
          <w:rFonts w:ascii="Calibri" w:hAnsi="Calibri" w:eastAsia="PingFang SC"/>
          <w:sz w:val="21"/>
        </w:rPr>
        <w:t>本报告构建并回测了一只把 S&amp;P 500 Momentum Index（SPMO 跟踪指数）的规则平移到 A 股大盘股的指数：以</w:t>
      </w:r>
      <w:r>
        <w:rPr>
          <w:rFonts w:ascii="Calibri" w:hAnsi="Calibri" w:eastAsia="PingFang SC"/>
          <w:b/>
          <w:sz w:val="21"/>
        </w:rPr>
        <w:t>逐日点位（point-in-time）的历史沪深300成分股</w:t>
      </w:r>
      <w:r>
        <w:rPr>
          <w:rFonts w:ascii="Calibri" w:hAnsi="Calibri" w:eastAsia="PingFang SC"/>
          <w:sz w:val="21"/>
        </w:rPr>
        <w:t xml:space="preserve">为母池，先按 S&amp;P U.S. Indices 的 </w:t>
      </w:r>
      <w:r>
        <w:rPr>
          <w:rFonts w:ascii="Calibri" w:hAnsi="Calibri" w:eastAsia="PingFang SC"/>
          <w:b/>
          <w:sz w:val="21"/>
        </w:rPr>
        <w:t>Financial Viability</w:t>
      </w:r>
      <w:r>
        <w:rPr>
          <w:rFonts w:ascii="Calibri" w:hAnsi="Calibri" w:eastAsia="PingFang SC"/>
          <w:sz w:val="21"/>
        </w:rPr>
        <w:t xml:space="preserve"> 标准（最近一季持续经营净利润 &gt; 0 且最近四季合计 &gt; 0）剔除亏损公司，再按 S&amp;P Momentum 方法计算 </w:t>
      </w:r>
      <w:r>
        <w:rPr>
          <w:rFonts w:ascii="Calibri" w:hAnsi="Calibri" w:eastAsia="PingFang SC"/>
          <w:b/>
          <w:sz w:val="21"/>
        </w:rPr>
        <w:t>12–1 月风险调整动量</w:t>
      </w:r>
      <w:r>
        <w:rPr>
          <w:rFonts w:ascii="Calibri" w:hAnsi="Calibri" w:eastAsia="PingFang SC"/>
          <w:sz w:val="21"/>
        </w:rPr>
        <w:t>，横截面标准化并转为 Momentum Score，取</w:t>
      </w:r>
      <w:r>
        <w:rPr>
          <w:rFonts w:ascii="Calibri" w:hAnsi="Calibri" w:eastAsia="PingFang SC"/>
          <w:b/>
          <w:sz w:val="21"/>
        </w:rPr>
        <w:t>前 20%</w:t>
      </w:r>
      <w:r>
        <w:rPr>
          <w:rFonts w:ascii="Calibri" w:hAnsi="Calibri" w:eastAsia="PingFang SC"/>
          <w:sz w:val="21"/>
        </w:rPr>
        <w:t xml:space="preserve">（约 51 只）作为成分股，以 </w:t>
      </w:r>
      <w:r>
        <w:rPr>
          <w:rFonts w:ascii="Calibri" w:hAnsi="Calibri" w:eastAsia="PingFang SC"/>
          <w:b/>
          <w:sz w:val="21"/>
        </w:rPr>
        <w:t>自由流通市值 × Momentum Score</w:t>
      </w:r>
      <w:r>
        <w:rPr>
          <w:rFonts w:ascii="Calibri" w:hAnsi="Calibri" w:eastAsia="PingFang SC"/>
          <w:sz w:val="21"/>
        </w:rPr>
        <w:t xml:space="preserve"> 加权并施加公司权重上限，每年 2 月底 / 8 月底为参考日、3 月 / 9 月第三个星期五收盘后实施。模型完全固定，未做任何参数优化，也未加入其他因子。</w:t>
      </w:r>
    </w:p>
    <w:p>
      <w:pPr>
        <w:spacing w:after="120"/>
      </w:pPr>
      <w:r>
        <w:rPr>
          <w:rFonts w:ascii="Calibri" w:hAnsi="Calibri" w:eastAsia="PingFang SC"/>
          <w:sz w:val="21"/>
        </w:rPr>
        <w:t>主要结论：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1.  </w:t>
      </w:r>
      <w:r>
        <w:rPr>
          <w:rFonts w:ascii="Calibri" w:hAnsi="Calibri" w:eastAsia="PingFang SC"/>
          <w:b/>
          <w:sz w:val="21"/>
        </w:rPr>
        <w:t>长期复利更高但并非每个阶段都赢。</w:t>
      </w:r>
      <w:r>
        <w:rPr>
          <w:rFonts w:ascii="Calibri" w:hAnsi="Calibri" w:eastAsia="PingFang SC"/>
          <w:sz w:val="21"/>
        </w:rPr>
        <w:t xml:space="preserve"> 2005-09-16 至 2026-09-09，¥100 投入沪深300（价格指数）变为 ¥472.6，投入本指数变为 ¥715.6（费后 ¥649.8）；CAGR 7.68% → 9.83%（费后 9.33%），年化超额 2.15%，Jensen α 2.62%，β 0.99，信息比率 0.20。全收益口径下本指数 CAGR 11.87%，沪深300全收益 9.72%。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2.  </w:t>
      </w:r>
      <w:r>
        <w:rPr>
          <w:rFonts w:ascii="Calibri" w:hAnsi="Calibri" w:eastAsia="PingFang SC"/>
          <w:b/>
          <w:sz w:val="21"/>
        </w:rPr>
        <w:t>超额收益高度集中于 2017–2020 年。</w:t>
      </w:r>
      <w:r>
        <w:rPr>
          <w:rFonts w:ascii="Calibri" w:hAnsi="Calibri" w:eastAsia="PingFang SC"/>
          <w:sz w:val="21"/>
        </w:rPr>
        <w:t xml:space="preserve"> 2005–2016 年策略累计落后（相对强度自 2007-08 的高点回撤 33%，直到 2016-03 才见底），2017 年起持续修复并在 2019–2020 年大幅跑赢；22 个日历年中策略跑赢 12 年。月度超额收益均值 +0.21 个百分点、t 统计量 0.97，</w:t>
      </w:r>
      <w:r>
        <w:rPr>
          <w:rFonts w:ascii="Calibri" w:hAnsi="Calibri" w:eastAsia="PingFang SC"/>
          <w:b/>
          <w:sz w:val="21"/>
        </w:rPr>
        <w:t>统计上并不显著</w:t>
      </w:r>
      <w:r>
        <w:rPr>
          <w:rFonts w:ascii="Calibri" w:hAnsi="Calibri" w:eastAsia="PingFang SC"/>
          <w:sz w:val="21"/>
        </w:rPr>
        <w:t>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3.  </w:t>
      </w:r>
      <w:r>
        <w:rPr>
          <w:rFonts w:ascii="Calibri" w:hAnsi="Calibri" w:eastAsia="PingFang SC"/>
          <w:b/>
          <w:sz w:val="21"/>
        </w:rPr>
        <w:t>风险并未降低。</w:t>
      </w:r>
      <w:r>
        <w:rPr>
          <w:rFonts w:ascii="Calibri" w:hAnsi="Calibri" w:eastAsia="PingFang SC"/>
          <w:sz w:val="21"/>
        </w:rPr>
        <w:t xml:space="preserve"> 策略年化波动 26.71%（沪深300 24.69%），2008 年最大回撤 -77.16%（沪深300 -72.30%），上行捕获 1.04、下行捕获 0.96；Sharpe 由 0.43 升至 0.49，Sortino 由 0.59 升至 0.68，属于温和改善。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4.  </w:t>
      </w:r>
      <w:r>
        <w:rPr>
          <w:rFonts w:ascii="Calibri" w:hAnsi="Calibri" w:eastAsia="PingFang SC"/>
          <w:b/>
          <w:sz w:val="21"/>
        </w:rPr>
        <w:t>最大的动量崩塌发生在 2024-12-03 前的三个月</w:t>
      </w:r>
      <w:r>
        <w:rPr>
          <w:rFonts w:ascii="Calibri" w:hAnsi="Calibri" w:eastAsia="PingFang SC"/>
          <w:sz w:val="21"/>
        </w:rPr>
        <w:t>（2024-08-27 → 2024-12-03）：策略 -3.1% 而沪深300 19.6%，相对 -22.7%——即 2024 年 9 月政策驱动的急涨中，此前跌幅最大的低动量股领涨，典型的动量反转。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5.  </w:t>
      </w:r>
      <w:r>
        <w:rPr>
          <w:rFonts w:ascii="Calibri" w:hAnsi="Calibri" w:eastAsia="PingFang SC"/>
          <w:b/>
          <w:sz w:val="21"/>
        </w:rPr>
        <w:t>收益来源主要是选股而非加权。</w:t>
      </w:r>
      <w:r>
        <w:rPr>
          <w:rFonts w:ascii="Calibri" w:hAnsi="Calibri" w:eastAsia="PingFang SC"/>
          <w:sz w:val="21"/>
        </w:rPr>
        <w:t xml:space="preserve"> 用同样的成分股按自由流通市值加权得到 ¥697，等权 ¥763，SPMO 加权 ¥716；Momentum Score 倾斜相对市值加权的贡献约 +0.13 个百分点/年，选股（前 20% 动量）贡献约 +3.11 个百分点/年（以同一权重代理复制的沪深300为基准）。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6.  </w:t>
      </w:r>
      <w:r>
        <w:rPr>
          <w:rFonts w:ascii="Calibri" w:hAnsi="Calibri" w:eastAsia="PingFang SC"/>
          <w:b/>
          <w:sz w:val="21"/>
        </w:rPr>
        <w:t>换手与成本可控。</w:t>
      </w:r>
      <w:r>
        <w:rPr>
          <w:rFonts w:ascii="Calibri" w:hAnsi="Calibri" w:eastAsia="PingFang SC"/>
          <w:sz w:val="21"/>
        </w:rPr>
        <w:t xml:space="preserve"> 单边换手平均每次调仓 55.1%、每年 107.7%；按历史 A 股佣金、印花税、过户费与冲击成本计算的成本拖累约 0.50%/年。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7.  </w:t>
      </w:r>
      <w:r>
        <w:rPr>
          <w:rFonts w:ascii="Calibri" w:hAnsi="Calibri" w:eastAsia="PingFang SC"/>
          <w:b/>
          <w:sz w:val="21"/>
        </w:rPr>
        <w:t>与 GitHub 项目 HSI300-Momentum-Strategy 的对比</w:t>
      </w:r>
      <w:r>
        <w:rPr>
          <w:rFonts w:ascii="Calibri" w:hAnsi="Calibri" w:eastAsia="PingFang SC"/>
          <w:sz w:val="21"/>
        </w:rPr>
        <w:t>：该项目用 BaoStock 数据、按月成分股快照、Top-20 等权、季度调仓、15bp 成本，在 2019–2025 年公布年化 22.2%。用本项目的点位数据完整复现其规则得到年化 19.8%（无行业上限 19.0%），同窗口本指数全收益费后 16.3%。把两套规则放到 2005–2026 全样本、同一数据上，HSMO 规则年化 13.1%，本指数 11.8%，沪深300全收益 10.1%——更集中、更高频的组合收益更高，但换手约为本指数的 2.0 倍，且其行业中性规则依赖当前行业分类，历史上并不稳定。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5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of_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0  ¥100 的增长：沪深300 vs 本指数（费前 / 费后）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1. 研究背景与目标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1.1 动量因子与 SPMO</w:t>
      </w:r>
    </w:p>
    <w:p>
      <w:pPr>
        <w:spacing w:after="120"/>
      </w:pPr>
      <w:r>
        <w:rPr>
          <w:rFonts w:ascii="Calibri" w:hAnsi="Calibri" w:eastAsia="PingFang SC"/>
          <w:sz w:val="21"/>
        </w:rPr>
        <w:t>价格动量（过去 6–12 个月表现好的股票在随后数月继续领先）是被最广泛记录的股票横截面异象之一（Jegadeesh &amp; Titman, 1993；Asness, Moskowitz &amp; Pedersen, 2013 跨市场证据）。S&amp;P 500 Momentum Index 是 S&amp;P Dow Jones Indices 对这一因子的指数化实现：在 S&amp;P 500 内按 12–1 月风险调整动量打分，取分数最高的约 20% 股票，以市值 × 动量分数加权，每年 3 月和 9 月调仓；Invesco S&amp;P 500 Momentum ETF（SPMO）跟踪该指数，2023–2025 年的强劲表现使其受到广泛关注。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1.2 研究问题</w:t>
      </w:r>
    </w:p>
    <w:p>
      <w:pPr>
        <w:spacing w:after="120"/>
      </w:pPr>
      <w:r>
        <w:rPr>
          <w:rFonts w:ascii="Calibri" w:hAnsi="Calibri" w:eastAsia="PingFang SC"/>
          <w:sz w:val="21"/>
        </w:rPr>
        <w:t>本报告回答一个具体问题：</w:t>
      </w:r>
      <w:r>
        <w:rPr>
          <w:rFonts w:ascii="Calibri" w:hAnsi="Calibri" w:eastAsia="PingFang SC"/>
          <w:b/>
          <w:sz w:val="21"/>
        </w:rPr>
        <w:t>把 S&amp;P 的这套规则原样平移到沪深300（加上 S&amp;P U.S. Indices 用于新纳入公司的 Financial Viability 盈利资格），在 2005–2026 年的 A 股历史上会得到什么？</w:t>
      </w:r>
      <w:r>
        <w:rPr>
          <w:rFonts w:ascii="Calibri" w:hAnsi="Calibri" w:eastAsia="PingFang SC"/>
          <w:sz w:val="21"/>
        </w:rPr>
        <w:t>重点不是找到最优参数，而是用无前视、无幸存者偏差的数据检验一条固定规则的长期表现、风险特征与失效场景。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1.3 研究原则</w:t>
      </w:r>
    </w:p>
    <w:p>
      <w:pPr>
        <w:pStyle w:val="ListBullet"/>
      </w:pPr>
      <w:r>
        <w:rPr>
          <w:rFonts w:ascii="Calibri" w:hAnsi="Calibri" w:eastAsia="PingFang SC"/>
          <w:sz w:val="21"/>
        </w:rPr>
        <w:t>规则固定：不调参、不优化前 20% 的比例、不加入 ROE / ROIC / PE / PB / 成长 / 杠杆 / 质量等其他因子。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点位数据：每个参考日只使用当日已存在的信息——当日有效的沪深300成分、当日之前已公告的财报、当日之前的价格。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自动审计：每期成分股必须当日确属沪深300、满足财务资格、所用财报已公告、动量窗口有足够交易日；任一违反即报错终止。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结果可复现：</w:t>
      </w:r>
      <w:r>
        <w:rPr>
          <w:rFonts w:ascii="Consolas" w:hAnsi="Consolas" w:eastAsia="PingFang SC"/>
          <w:color w:val="8B1A1A"/>
          <w:sz w:val="20"/>
        </w:rPr>
        <w:t>python main.py</w:t>
      </w:r>
      <w:r>
        <w:rPr>
          <w:rFonts w:ascii="Calibri" w:hAnsi="Calibri" w:eastAsia="PingFang SC"/>
          <w:sz w:val="21"/>
        </w:rPr>
        <w:t xml:space="preserve"> 一键完成数据 → 股票池 → 评分 → 选样 → 加权 → 指数 → 回测 → 图表 → 报告。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2. 指数构建方法</w:t>
      </w:r>
    </w:p>
    <w:p>
      <w:pPr>
        <w:ind w:left="283"/>
      </w:pPr>
      <w:r>
        <w:rPr>
          <w:rFonts w:ascii="Consolas" w:hAnsi="Consolas" w:eastAsia="PingFang SC"/>
          <w:sz w:val="17"/>
        </w:rPr>
        <w:t>历史沪深300（逐日点位成分） → S&amp;P Financial Viability → SPMO 风险调整动量 → Z 分数 / Momentum Score</w:t>
        <w:br/>
        <w:t>→ 前 20%（S&amp;P 缓冲规则） → 自由流通市值 × Score 加权 + 公司权重上限 → 指数（价格 / 全收益、费前 / 费后、日 OHLC） → 与沪深300比较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2.1 母股票池：点位沪深300</w:t>
      </w:r>
    </w:p>
    <w:p>
      <w:pPr>
        <w:spacing w:after="120"/>
      </w:pPr>
      <w:r>
        <w:rPr>
          <w:rFonts w:ascii="Calibri" w:hAnsi="Calibri" w:eastAsia="PingFang SC"/>
          <w:sz w:val="21"/>
        </w:rPr>
        <w:t xml:space="preserve">从中证指数公司 67 份沪深300样本调整公告（41 次定期调整、26 次临时调整，2005-07-01 → 2026-06-15）自当前官方成分股名单逐笔向后回推，重建每个交易日的成分股集合。每一步回推后名单必须恰好 300 只，且重建出的 2005-07-01 名单必须与中证公布的全名单完全一致，否则程序报错。共 949 只证券在 1225 个成员区间内曾属于沪深300。参考日不属于沪深300的股票 </w:t>
      </w:r>
      <w:r>
        <w:rPr>
          <w:rFonts w:ascii="Consolas" w:hAnsi="Consolas" w:eastAsia="PingFang SC"/>
          <w:color w:val="8B1A1A"/>
          <w:sz w:val="20"/>
        </w:rPr>
        <w:t>Eligible = False, Selected = False, Final Weight = 0</w:t>
      </w:r>
      <w:r>
        <w:rPr>
          <w:rFonts w:ascii="Calibri" w:hAnsi="Calibri" w:eastAsia="PingFang SC"/>
          <w:sz w:val="21"/>
        </w:rPr>
        <w:t>；调仓期间被剔除出沪深300的持仓在生效日按前收盘价剔除、权重按比例分配给其余成分。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2.2 S&amp;P Financial Viability</w:t>
      </w:r>
    </w:p>
    <w:p>
      <w:pPr>
        <w:spacing w:after="120"/>
      </w:pPr>
      <w:r>
        <w:rPr>
          <w:rFonts w:ascii="Calibri" w:hAnsi="Calibri" w:eastAsia="PingFang SC"/>
          <w:sz w:val="21"/>
        </w:rPr>
        <w:t>S&amp;P U.S. Indices Methodology 要求新纳入公司满足：最近一个已公布季度 GAAP 持续经营净利润为正，且最近四个季度合计为正。A 股映射：以利润表"持续经营净利润"（</w:t>
      </w:r>
      <w:r>
        <w:rPr>
          <w:rFonts w:ascii="Consolas" w:hAnsi="Consolas" w:eastAsia="PingFang SC"/>
          <w:color w:val="8B1A1A"/>
          <w:sz w:val="20"/>
        </w:rPr>
        <w:t>CONTINUED_NETPROFIT</w:t>
      </w:r>
      <w:r>
        <w:rPr>
          <w:rFonts w:ascii="Calibri" w:hAnsi="Calibri" w:eastAsia="PingFang SC"/>
          <w:sz w:val="21"/>
        </w:rPr>
        <w:t>，2018 年会计准则格式起披露）为主，早期回退到"净利润"（</w:t>
      </w:r>
      <w:r>
        <w:rPr>
          <w:rFonts w:ascii="Consolas" w:hAnsi="Consolas" w:eastAsia="PingFang SC"/>
          <w:color w:val="8B1A1A"/>
          <w:sz w:val="20"/>
        </w:rPr>
        <w:t>NETPROFIT</w:t>
      </w:r>
      <w:r>
        <w:rPr>
          <w:rFonts w:ascii="Calibri" w:hAnsi="Calibri" w:eastAsia="PingFang SC"/>
          <w:sz w:val="21"/>
        </w:rPr>
        <w:t>）。中国季报为累计数，单季 = 相邻累计数之差。只有首次公告日 ≤ 参考日的报表可用；东方财富对 2010 年以前报告期给出的公告日实为次年同期报表（作比较期）的公告日（滞后约 13 个月），此类不合理日期一律替换为法定披露截止日（一季报 4-30、中报 8-31、三季报 10-31、年报次年 4-30），该替代永远不早于真实公告日，因此不会引入前视。四个连续已公布季度不足者不合格。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2.3 SPMO 风险调整动量与 Z 分数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动量收益 = P(参考日前 1 个月) / P(参考日前 13 个月) − 1，日期按 A 股交易日历对齐，价格为除权除息复权后的价格收益序列。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波动率 = 同一 12 个月窗口内日收益率的标准差；风险调整动量 RAM = 动量收益 / 波动率；窗口内交易日不足 150 天的股票不参与。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在"沪深300成分 且 财务合格"的股票中横截面标准化 Z = (RAM − 均值) / 标准差，按 S&amp;P 规则在 ±3 处截断。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Momentum Score = 1 + Z（Z &gt; 0）或 1 / (1 − Z)（Z ≤ 0）。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2.4 选样与缓冲</w:t>
      </w:r>
    </w:p>
    <w:p>
      <w:pPr>
        <w:spacing w:after="120"/>
      </w:pPr>
      <w:r>
        <w:rPr>
          <w:rFonts w:ascii="Calibri" w:hAnsi="Calibri" w:eastAsia="PingFang SC"/>
          <w:sz w:val="21"/>
        </w:rPr>
        <w:t>目标数量 = 财务合格且动量可计算的成分股数 × 20%（四舍五入），历史上为 45–55 只而非固定 60 只。按 S&amp;P 缓冲规则：排名前 80% 目标数的股票自动入选，现有成分股排名在目标数 120% 以内的保留，其余按排名补足。母指数成员资格优先——被沪深300剔除的股票不能靠缓冲留任。历史上平均每期 5.9 只靠缓冲留任。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2.5 权重</w:t>
      </w:r>
    </w:p>
    <w:p>
      <w:pPr>
        <w:spacing w:after="120"/>
      </w:pPr>
      <w:r>
        <w:rPr>
          <w:rFonts w:ascii="Calibri" w:hAnsi="Calibri" w:eastAsia="PingFang SC"/>
          <w:sz w:val="21"/>
        </w:rPr>
        <w:t xml:space="preserve">原始权重 = 自由流通市值 × Momentum Score，归一化后施加公司权重上限 = min(9%, 20 × 该股在沪深300中的市值权重)，超出部分按比例分配给未触及上限的股票并迭代至无违反。9% 是 S&amp;P 500 Momentum 的公司上限；"上限与母指数权重倍数取小"是 S&amp;P 因子指数的通行写法，但 S&amp;P 500 Momentum 方法文件未能下载，能确认的 3× 倍数来自 S&amp;P/BOVESPA Momentum；在只有约 51 只成分股时 3× 约束每期都无可行解（上限之和 &lt; 100%），故采用 20×。两者均为 </w:t>
      </w:r>
      <w:r>
        <w:rPr>
          <w:rFonts w:ascii="Consolas" w:hAnsi="Consolas" w:eastAsia="PingFang SC"/>
          <w:color w:val="8B1A1A"/>
          <w:sz w:val="20"/>
        </w:rPr>
        <w:t>config.yaml</w:t>
      </w:r>
      <w:r>
        <w:rPr>
          <w:rFonts w:ascii="Calibri" w:hAnsi="Calibri" w:eastAsia="PingFang SC"/>
          <w:sz w:val="21"/>
        </w:rPr>
        <w:t xml:space="preserve"> 中的显式参数，未按收益调整。历史上平均每期 1.9 只股票触及上限，最大单一权重 9.0%。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2.6 调仓时间表</w:t>
      </w:r>
    </w:p>
    <w:p>
      <w:pPr>
        <w:spacing w:after="120"/>
      </w:pPr>
      <w:r>
        <w:rPr>
          <w:rFonts w:ascii="Calibri" w:hAnsi="Calibri" w:eastAsia="PingFang SC"/>
          <w:sz w:val="21"/>
        </w:rPr>
        <w:t xml:space="preserve">参考日为每年 2 月和 8 月的最后一个交易日，实施日为 3 月和 9 月第三个星期五收盘后（43 个参考日，42 次已实施；最新参考日 2026-08-31 对应的实施日 2026-09-18 尚未到来，其名单以 </w:t>
      </w:r>
      <w:r>
        <w:rPr>
          <w:rFonts w:ascii="Consolas" w:hAnsi="Consolas" w:eastAsia="PingFang SC"/>
          <w:color w:val="8B1A1A"/>
          <w:sz w:val="20"/>
        </w:rPr>
        <w:t>_pending</w:t>
      </w:r>
      <w:r>
        <w:rPr>
          <w:rFonts w:ascii="Calibri" w:hAnsi="Calibri" w:eastAsia="PingFang SC"/>
          <w:sz w:val="21"/>
        </w:rPr>
        <w:t xml:space="preserve"> 文件输出、不进入回测）。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2.7 指数计算</w:t>
      </w:r>
    </w:p>
    <w:p>
      <w:pPr>
        <w:spacing w:after="120"/>
      </w:pPr>
      <w:r>
        <w:rPr>
          <w:rFonts w:ascii="Calibri" w:hAnsi="Calibri" w:eastAsia="PingFang SC"/>
          <w:sz w:val="21"/>
        </w:rPr>
        <w:t>采用指数份额法：实施日收盘按目标权重确定各成分股份额，两次调仓之间份额不变、权重随价格自然漂移。价格指数用价格收益复权价，全收益指数用含股息再投资的复权价；费后指数在每次调仓按当期实际制度扣除佣金、印花税（2008-09 起仅卖出征收、税率随历史调整）、过户费及冲击成本。策略日 OHLC 由成分股当日真实开盘、最高、最低、收盘价按固定份额加总得到——开盘与收盘精确，最高 / 最低因取各成分股当日极值之和而略有高估；成交量无合理定义，留空。停牌股票以最近价格计入。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2.8 与 S&amp;P 500 Momentum 官方方法的差异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项目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S&amp;P 500 Momentum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本指数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母指数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S&amp;P 500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沪深300（点位成分）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盈利资格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仅新纳入 S&amp;P 500 时要求（Financial Viability）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每个参考日对全部成分股要求（研究设定）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动量定义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 月价格变动，跳过最近 1 月 / 同窗口日波动率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相同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Z 分数截断 / Score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±3 / 1+Z 或 1/(1−Z)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相同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选样数量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约 100 只（20%）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合格成分股 × 20%（约 45–55 只）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缓冲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20% 缓冲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相同，母指数资格优先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权重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FMC × Score，公司上限 9%（与母指数权重倍数取小）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FMC 代理 × Score，min(9%, 20× 母指数权重)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自由流通市值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S&amp;P 自由流通因子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已上市流通 A 股 × 收盘价（代理，见 §3.5）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调仓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 / 8 月末参考，3 / 9 月第三个星期五实施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相同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3. 数据与数据质量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3.1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数据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来源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覆盖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历史沪深300成分股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中证指数公司官方公告（定期 / 临时调整、2005 年全名单）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2005-07-01 → 2026-09-09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沪深300日 OHLC、全收益指数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中证指数公司（000300 / H00300）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2004-01-01 → 2026-09-09（5512 个交易日）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个股日 OHLC / 成交量 / 除权参考价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新浪财经（含已退市证券）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上市 → 退市 / 最新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复权价格与日收益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由原始价格 + 交易所除权除息参考价 + 东方财富分红 / 送转 / 配股记录构建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同上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自由流通市值代理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东方财富股本结构（已上市流通 A 股）× 收盘价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同上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季度财务数据与公告日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东方财富 F10 利润表（持续经营净利润 / 净利润，首次公告日）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949 只有价格的证券中，已退市者多无财报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行业分类（仅当前）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中证沪深300一级行业指数成分（11 个行业）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当前 300 只成分股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全部数据来自公开免费接口；</w:t>
      </w:r>
      <w:r>
        <w:rPr>
          <w:rFonts w:ascii="Consolas" w:hAnsi="Consolas" w:eastAsia="PingFang SC"/>
          <w:color w:val="8B1A1A"/>
          <w:sz w:val="20"/>
        </w:rPr>
        <w:t>config.yaml</w:t>
      </w:r>
      <w:r>
        <w:rPr>
          <w:rFonts w:ascii="Calibri" w:hAnsi="Calibri" w:eastAsia="PingFang SC"/>
          <w:sz w:val="21"/>
        </w:rPr>
        <w:t xml:space="preserve"> 支持切换到 Tushare Pro（口令通过 </w:t>
      </w:r>
      <w:r>
        <w:rPr>
          <w:rFonts w:ascii="Consolas" w:hAnsi="Consolas" w:eastAsia="PingFang SC"/>
          <w:color w:val="8B1A1A"/>
          <w:sz w:val="20"/>
        </w:rPr>
        <w:t>.env</w:t>
      </w:r>
      <w:r>
        <w:rPr>
          <w:rFonts w:ascii="Calibri" w:hAnsi="Calibri" w:eastAsia="PingFang SC"/>
          <w:sz w:val="21"/>
        </w:rPr>
        <w:t xml:space="preserve"> 提供，不入库）。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3.2 点位成分股重建的验证</w:t>
      </w:r>
    </w:p>
    <w:p>
      <w:pPr>
        <w:pStyle w:val="ListBullet"/>
      </w:pPr>
      <w:r>
        <w:rPr>
          <w:rFonts w:ascii="Calibri" w:hAnsi="Calibri" w:eastAsia="PingFang SC"/>
          <w:sz w:val="21"/>
        </w:rPr>
        <w:t>逆推链每一步恰好 300 只；回推至 2005-07-01 的名单与中证公布的全名单逐只相同；当前名单与官方权重文件的成分集合完全一致。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资格审计（</w:t>
      </w:r>
      <w:r>
        <w:rPr>
          <w:rFonts w:ascii="Consolas" w:hAnsi="Consolas" w:eastAsia="PingFang SC"/>
          <w:color w:val="8B1A1A"/>
          <w:sz w:val="20"/>
        </w:rPr>
        <w:t>eligibility_audit.csv</w:t>
      </w:r>
      <w:r>
        <w:rPr>
          <w:rFonts w:ascii="Calibri" w:hAnsi="Calibri" w:eastAsia="PingFang SC"/>
          <w:sz w:val="21"/>
        </w:rPr>
        <w:t>）：43 个参考日中，参考日 / 实施日非成分股而权重 &gt; 0 的记录均为 0，参考日之后公告的财报被使用的记录为 0，动量数据越界为 0。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已知处理：2008 年 7 月定期调整的主公告在中证档案中被错误归档，改由同日行业指数公告合成（其构造方法在 2008 年 12 月调整上验证为完全一致）；2006 年四家公司要约收购退市等纯文字公告手工转录并注明来源。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3.3 复权价格</w:t>
      </w:r>
    </w:p>
    <w:p>
      <w:pPr>
        <w:spacing w:after="120"/>
      </w:pPr>
      <w:r>
        <w:rPr>
          <w:rFonts w:ascii="Calibri" w:hAnsi="Calibri" w:eastAsia="PingFang SC"/>
          <w:sz w:val="21"/>
        </w:rPr>
        <w:t>以交易所除权除息参考价为锚构建乘法复权因子（价格收益口径用于动量与价格指数，全收益口径用于全收益比较），949 只证券全部成功。逐事件与新浪自身的复权因子比对，除一起 2006 年送股+派息事件（新浪因子有误）外全部一致。停牌日无成交，价格沿用、收益为 0。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3.4 财务数据</w:t>
      </w:r>
    </w:p>
    <w:p>
      <w:pPr>
        <w:spacing w:after="120"/>
      </w:pPr>
      <w:r>
        <w:rPr>
          <w:rFonts w:ascii="Calibri" w:hAnsi="Calibri" w:eastAsia="PingFang SC"/>
          <w:sz w:val="21"/>
        </w:rPr>
        <w:t>共 300 只成分股 × 43 个参考日的资格判断。每期因"无财报"而不合格的成分股由早年的 39 只降至近年的 0 只——东方财富 F10 不提供多数已退市公司的报表，这些股票在其成员期内被保守地判为不合格，使早年合格池略小。财报数值为最新可得（可能经重述）数字，配以首次公告日。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3.5 自由流通市值代理及其检验</w:t>
      </w:r>
    </w:p>
    <w:p>
      <w:pPr>
        <w:spacing w:after="120"/>
      </w:pPr>
      <w:r>
        <w:rPr>
          <w:rFonts w:ascii="Calibri" w:hAnsi="Calibri" w:eastAsia="PingFang SC"/>
          <w:sz w:val="21"/>
        </w:rPr>
        <w:t>中证的分级靠档自由流通因子在个股层面没有历史公开数据，本项目以"已上市流通 A 股 × 收盘价"作为 FMC 代理。与 2026-08-31 官方沪深300权重比较：相关系数 0.65，平均绝对偏差 0.16 个百分点，合计主动份额 23%——代理高估了国有大盘股（其流通 A 股大部分并非真正自由流通）。</w:t>
      </w:r>
    </w:p>
    <w:p>
      <w:pPr>
        <w:spacing w:after="120"/>
      </w:pPr>
      <w:r>
        <w:rPr>
          <w:rFonts w:ascii="Calibri" w:hAnsi="Calibri" w:eastAsia="PingFang SC"/>
          <w:sz w:val="21"/>
        </w:rPr>
        <w:t>更直接的检验是</w:t>
      </w:r>
      <w:r>
        <w:rPr>
          <w:rFonts w:ascii="Calibri" w:hAnsi="Calibri" w:eastAsia="PingFang SC"/>
          <w:b/>
          <w:sz w:val="21"/>
        </w:rPr>
        <w:t>用该代理和本项目的指数引擎复制沪深300本身</w:t>
      </w:r>
      <w:r>
        <w:rPr>
          <w:rFonts w:ascii="Calibri" w:hAnsi="Calibri" w:eastAsia="PingFang SC"/>
          <w:sz w:val="21"/>
        </w:rPr>
        <w:t>：全部成分股按代理权重、在与策略相同的日期调仓，得到 ¥382（CAGR 6.59%），而官方沪深300为 ¥473（CAGR 7.68%）；两者日收益相关 0.988，跟踪误差 3.9%。即权重代理本身相对官方指数有约 1.1 个百分点/年的拖累，方向是高配了长期跑输的大型国企。策略权重继承了同样的倾斜，因此</w:t>
      </w:r>
      <w:r>
        <w:rPr>
          <w:rFonts w:ascii="Calibri" w:hAnsi="Calibri" w:eastAsia="PingFang SC"/>
          <w:b/>
          <w:sz w:val="21"/>
        </w:rPr>
        <w:t>本报告的策略业绩很可能低估了真实自由流通加权版本的表现</w:t>
      </w:r>
      <w:r>
        <w:rPr>
          <w:rFonts w:ascii="Calibri" w:hAnsi="Calibri" w:eastAsia="PingFang SC"/>
          <w:sz w:val="21"/>
        </w:rPr>
        <w:t>；§6 的分解也显示同一批成分股等权时表现优于市值加权。基于新浪十大股东数据估算真实自由流通的代码已实现为可选项（</w:t>
      </w:r>
      <w:r>
        <w:rPr>
          <w:rFonts w:ascii="Consolas" w:hAnsi="Consolas" w:eastAsia="PingFang SC"/>
          <w:color w:val="8B1A1A"/>
          <w:sz w:val="20"/>
        </w:rPr>
        <w:t>--sources holders</w:t>
      </w:r>
      <w:r>
        <w:rPr>
          <w:rFonts w:ascii="Calibri" w:hAnsi="Calibri" w:eastAsia="PingFang SC"/>
          <w:sz w:val="21"/>
        </w:rPr>
        <w:t>），因数据源限流未在本次运行中启用。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3.6 已知局限</w:t>
      </w:r>
    </w:p>
    <w:p>
      <w:pPr>
        <w:pStyle w:val="ListBullet"/>
      </w:pPr>
      <w:r>
        <w:rPr>
          <w:rFonts w:ascii="Calibri" w:hAnsi="Calibri" w:eastAsia="PingFang SC"/>
          <w:sz w:val="21"/>
        </w:rPr>
        <w:t>自由流通市值为代理值（见上）；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2010 年前财报公告日以法定截止日替代（保守，可能把部分财报的可用时间推后数周）；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已退市公司多无财报，被判为不合格；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停牌股票以最近价格在调仓日"成交"，实际需待复牌；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策略 OHLC 的高低点略有高估；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未考虑融券、涨跌停无法成交及大额资金的冲击成本上限。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4. 回测结果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4.1 总体绩效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指标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沪深300（价格）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策略（价格，费前）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策略（价格，费后）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沪深300全收益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策略全收益（费前）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最终价值（¥100 起）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¥472.6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¥715.6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¥649.8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¥700.1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¥1,051.8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累计收益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372.62%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615.63%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549.84%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600.14%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951.82%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年化收益 CAGR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7.68%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9.83%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9.33%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9.72%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11.87%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年化波动率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24.69%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26.71%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26.70%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24.69%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26.69%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Sharpe（rf=0）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0.43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0.49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0.47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0.50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0.56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Sortino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0.68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0.66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0.70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0.78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最大回撤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-72.30%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-77.16%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-77.39%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-72.04%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-76.99%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Calmar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0.11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0.13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0.12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0.13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0.15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最佳年份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 (+161.5%)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 (+168.5%)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 (+166.5%)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 (+163.3%)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 (+170.2%)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最差年份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 (-65.9%)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 (-69.0%)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 (-69.3%)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 (-65.6%)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 (-68.7%)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正收益年份占比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55%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55%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59%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月度胜率（&gt;0）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57%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策略相对沪深300：年化超额 2.15%（费后 1.65%），跟踪误差 10.6%，信息比率 0.20（费后 0.15），β 0.99，Jensen α 2.62%。全收益口径：本指数 ¥100 → ¥1,051.8，沪深300全收益 ¥700.1。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50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of_100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  ¥100 的增长（对数坐标）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5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lestick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5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2  月 K 线比较：本指数（上）与沪深300（下），对数坐标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4.2 年度收益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年份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策略（费前）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策略（费后）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超额（费前）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-0.2%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+121.0%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+113.0%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+111.7%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-8.0%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+161.5%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+168.5%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+166.5%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+6.9%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-65.9%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-69.0%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-69.3%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-3.1%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+96.7%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+75.5%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+74.3%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-21.2%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-12.5%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+0.8%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+0.3%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+13.3%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-25.0%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-34.2%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-34.5%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-9.1%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+7.6%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+16.5%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+15.9%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+9.0%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+0.0%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+7.7%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+51.7%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+37.3%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+36.6%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-14.4%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-7.9%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-13.1%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-11.3%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-12.9%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-13.3%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-1.6%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2017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+21.8%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+44.4%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+44.0%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+22.7%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-25.3%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-22.3%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-22.5%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+3.1%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+36.1%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+59.5%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+58.9%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+23.4%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+27.2%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+60.2%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+59.7%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+33.0%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-10.0%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-10.3%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-4.8%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-27.0%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-27.3%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-5.4%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-11.4%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-6.0%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-6.4%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+5.4%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+14.7%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+26.4%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+26.1%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+11.7%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+17.7%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+18.2%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+17.8%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+0.5%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-1.2%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+6.5%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+6.3%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+7.8%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22 个日历年中策略跑赢 12 年。绝对收益最强：2007（+168.5%）, 2006（+113.0%）, 2009（+75.5%）；最弱：2008（-69.0%）, 2011（-34.2%）, 2022（-27.0%）。超额最大：2020（+33.0%）, 2019（+23.4%）, 2017（+22.7%）；超额最差：2009（-21.2%）, 2014（-14.4%）, 2015（-13.1%）。跑输的年份集中在两类环境：一是 2009、2014 年这类由低动量的金融、周期大盘股主导的急涨（动量反转），二是 2011、2015–2016 年长周期趋势中断后的震荡。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5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retur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3  年度收益：沪深300 vs 策略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4.3 月度收益分布与上 / 下行捕获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指标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沪深300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策略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月均收益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0.92%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1.13%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月收益标准差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7.81%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8.30%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偏度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0.08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-0.08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超额峭度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1.74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1.27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正收益月份占比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56%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56%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最佳月份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2007-04（+27.9%）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2007-04（+24.7%）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最差月份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2008-10（-25.9%）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2008-08（-26.4%）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月度超额收益（策略 − 沪深300）：均值 +0.21 个百分点，标准差 3.39 个百分点，为正的月份占 57%，t 统计量 0.97（253 个月）。最佳超额月 2020-12（+11.9%），最差超额月 2024-09（-13.9%）。上行月份捕获比 1.04、下行月份捕获比 0.96；上涨月跑赢概率 55%，下跌月跑赢概率 59%；按日收益估计的上行 β 0.95、下行 β 1.00。策略在涨跌两种月份中的平均超额相近（+0.22 vs +0.19 个百分点），没有明显的方向性择时特征，超额主要来自个股选择。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46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monthly_ex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4  月度超额收益分布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4.4 回撤与尾部风险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指标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沪深300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策略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最大回撤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-72.30%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-77.16%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峰值日期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2007-10-16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2007-10-31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谷底日期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2008-11-04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2008-11-04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恢复日期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尚未恢复（价格指数）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2020-07-13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下跌天数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385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370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恢复天数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4269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系列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日均收益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日波动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偏度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超额峭度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VaR 95%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CVaR 95%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VaR 99%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CVaR 99%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最差单日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日期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最佳单日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单日 &lt; −5% 天数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单日 &gt; +5% 天数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CSI 300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0.04%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1.58%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-0.38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4.41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-2.39%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-3.96%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-4.95%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-6.41%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-9.24%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2007-02-27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9.34%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49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24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Strategy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0.05%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1.71%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-0.36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3.15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-2.76%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-4.24%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-5.15%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-6.57%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-9.48%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2007-02-27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8.62%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27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两个指数在 2007–2008 年都经历了 70% 以上的回撤，策略更深（-77.16% vs -72.30%）；策略价格指数于 2020-07-13 收复 2007 年高点，而沪深300价格指数至今未收复。日收益尾部（VaR / CVaR、极端日数量）策略略重于沪深300，与其更高的波动一致。相对强度（策略 / 沪深300）的最大回撤为 -33.2%，从 2007-08-09 持续跌到 2016-03-04，1260 天后于 2019-08-16 才收复——</w:t>
      </w:r>
      <w:r>
        <w:rPr>
          <w:rFonts w:ascii="Calibri" w:hAnsi="Calibri" w:eastAsia="PingFang SC"/>
          <w:b/>
          <w:sz w:val="21"/>
        </w:rPr>
        <w:t>连续八年半跑输</w:t>
      </w:r>
      <w:r>
        <w:rPr>
          <w:rFonts w:ascii="Calibri" w:hAnsi="Calibri" w:eastAsia="PingFang SC"/>
          <w:sz w:val="21"/>
        </w:rPr>
        <w:t>是持有这类策略必须接受的代价。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45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5  回撤比较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4.5 滚动指标</w:t>
      </w:r>
    </w:p>
    <w:p>
      <w:pPr>
        <w:pStyle w:val="ListBullet"/>
      </w:pPr>
      <w:r>
        <w:rPr>
          <w:rFonts w:ascii="Calibri" w:hAnsi="Calibri" w:eastAsia="PingFang SC"/>
          <w:sz w:val="21"/>
        </w:rPr>
        <w:t>1 年滚动收益跑赢沪深300的比例 56.4%（中位数超额 +2.1%）；3 年滚动 CAGR 胜率 60.4%（中位数 +1.7%）；5 年滚动 CAGR 胜率 61.4%（中位数 +1.4%）。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1 年滚动 β 均值 0.98（0.45–1.41），滚动跟踪误差 5.6%–17.9%（均值 10.3%），滚动信息比率中位数 0.26。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54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rolling_beta_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6  滚动 1 年 β、跟踪误差与超额收益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45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ve_streng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7  相对强度：策略 / 沪深300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4.6 市场周期分析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阶段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起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止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沪深300收益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策略收益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超额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 CAGR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 CAGR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沪深300波动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策略波动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 Sharpe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 Sharpe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沪深300最大回撤</w:t>
            </w:r>
          </w:p>
        </w:tc>
        <w:tc>
          <w:tcPr>
            <w:tcW w:type="dxa" w:w="71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策略最大回撤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2005-2007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2005-09-16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2007-12-28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451.8%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444.7%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111.5%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110.3%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28.5%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29.8%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2.79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2.66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-20.9%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-21.7%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2008-01-02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2008-12-31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-66.2%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-69.0%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-66.4%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-69.2%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47.8%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47.5%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-2.02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-2.21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-71.6%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-76.1%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2009-2014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2009-01-05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2014-12-31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87.7%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82.2%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10.5%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23.5%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25.0%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0.53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-44.9%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-44.2%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2015-2016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2015-01-05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2016-12-30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-22.0%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-12.9%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-11.8%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31.4%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33.7%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0.01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-0.20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-46.7%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-56.0%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2017-2018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2017-01-03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2018-12-28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+21.2%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19.8%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-0.23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0.37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-31.9%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-31.4%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2019-2020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2019-01-02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2020-12-31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75.5%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159.5%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+84.0%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32.5%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61.2%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21.0%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23.1%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1.45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2.19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-16.1%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-17.8%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2021-2024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2021-01-04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2024-12-31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-25.3%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-23.0%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+2.3%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18.4%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21.0%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-0.31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-0.21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-45.6%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-50.3%</w:t>
            </w:r>
          </w:p>
        </w:tc>
      </w:tr>
      <w:tr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2025-latest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2025-01-02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2026-09-09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19.7%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28.8%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+9.1%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16.2%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16.6%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23.3%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0.73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0.76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-10.5%</w:t>
            </w:r>
          </w:p>
        </w:tc>
        <w:tc>
          <w:tcPr>
            <w:tcW w:type="dxa" w:w="71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-21.8%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策略跑赢的阶段：2017-2018、2019-2020、2021-2024、2025-latest；跑输的阶段：2005-2007、2008、2009-2014、2015-2016。规律与动量文献一致：</w:t>
      </w:r>
      <w:r>
        <w:rPr>
          <w:rFonts w:ascii="Calibri" w:hAnsi="Calibri" w:eastAsia="PingFang SC"/>
          <w:b/>
          <w:sz w:val="21"/>
        </w:rPr>
        <w:t>趋势延续、龙头持续领涨的结构性行情</w:t>
      </w:r>
      <w:r>
        <w:rPr>
          <w:rFonts w:ascii="Calibri" w:hAnsi="Calibri" w:eastAsia="PingFang SC"/>
          <w:sz w:val="21"/>
        </w:rPr>
        <w:t>（2017–2018 年的核心资产、2019–2020 年的消费 / 新能源 / 医药成长股）对策略最有利；</w:t>
      </w:r>
      <w:r>
        <w:rPr>
          <w:rFonts w:ascii="Calibri" w:hAnsi="Calibri" w:eastAsia="PingFang SC"/>
          <w:b/>
          <w:sz w:val="21"/>
        </w:rPr>
        <w:t>由估值修复和政策刺激触发的 V 型反转</w:t>
      </w:r>
      <w:r>
        <w:rPr>
          <w:rFonts w:ascii="Calibri" w:hAnsi="Calibri" w:eastAsia="PingFang SC"/>
          <w:sz w:val="21"/>
        </w:rPr>
        <w:t>（2009 年上半年、2014 年四季度、2024 年 9 月）以及</w:t>
      </w:r>
      <w:r>
        <w:rPr>
          <w:rFonts w:ascii="Calibri" w:hAnsi="Calibri" w:eastAsia="PingFang SC"/>
          <w:b/>
          <w:sz w:val="21"/>
        </w:rPr>
        <w:t>趋势反复的震荡市</w:t>
      </w:r>
      <w:r>
        <w:rPr>
          <w:rFonts w:ascii="Calibri" w:hAnsi="Calibri" w:eastAsia="PingFang SC"/>
          <w:sz w:val="21"/>
        </w:rPr>
        <w:t>（2011–2013、2015–2016）最不利。2005–2007 年大牛市中策略与指数几乎同步（那一轮领涨的正是权重最大的金融与周期股）。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724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cycle_cag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8  各市场阶段的年化收益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4.7 动量崩塌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结束日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开始日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策略 3 个月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沪深300 3 个月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相对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2024-12-03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2024-08-27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-3.1%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+19.6%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-22.7%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2009-07-31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2009-04-30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+21.8%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+42.4%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-20.6%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2008-10-20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2008-07-15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-48.8%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-33.5%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-15.3%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2022-02-11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2021-11-08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-17.8%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-5.1%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-12.7%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2023-01-30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2022-10-25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+3.8%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+15.8%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-12.0%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5 次最大的三个月相对回撤中，3 次发生在</w:t>
      </w:r>
      <w:r>
        <w:rPr>
          <w:rFonts w:ascii="Calibri" w:hAnsi="Calibri" w:eastAsia="PingFang SC"/>
          <w:b/>
          <w:sz w:val="21"/>
        </w:rPr>
        <w:t>市场上涨</w:t>
      </w:r>
      <w:r>
        <w:rPr>
          <w:rFonts w:ascii="Calibri" w:hAnsi="Calibri" w:eastAsia="PingFang SC"/>
          <w:sz w:val="21"/>
        </w:rPr>
        <w:t>而非下跌中（2024-12、2009-07、2023-01），其余发生在 2008-10、2022-02 的下跌中。上涨中的崩塌符合 Daniel &amp; Moskowitz（2016）的刻画：在高波动的熊市底部反弹时，此前被抛弃的低动量股票反弹最猛，而动量组合恰好低配它们。2024-08-27 → 2024-12-03 的一次相对 -22.7%，是全样本最大的一次崩塌：2024 年 9 月 24 日一揽子政策出台后，沪深300三个月上涨 19.6%，而 3 月和 9 月两次调仓所持的高动量股（以周期资源、电子为主）合计 -3.1%。半年一次的调仓频率意味着策略只能在 2025 年 3 月才转向。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5. 组合特征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5.1 Financial Viability 筛选漏斗</w:t>
      </w:r>
    </w:p>
    <w:p>
      <w:pPr>
        <w:spacing w:after="120"/>
      </w:pPr>
      <w:r>
        <w:rPr>
          <w:rFonts w:ascii="Calibri" w:hAnsi="Calibri" w:eastAsia="PingFang SC"/>
          <w:sz w:val="21"/>
        </w:rPr>
        <w:t>每个参考日 300 只成分股中平均 37 只（19–76 只）未通过财务资格，通过者 263 只（224–281）。不合格原因合计：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不合格原因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股票·期次数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占比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无财务报表（多为已退市公司）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535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34.1%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最近一季 ≤ 0 且最近四季合计 ≤ 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379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24.1%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仅最近一季 ≤ 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321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20.4%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仅最近四季合计 ≤ 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279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17.8%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 3 个连续季度已公布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31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2.0%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 2 个连续季度已公布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0.8%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仅 1 个季度已公布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0.5%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参考日前无任何已公布报表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动量数据不足（新上市或长期停牌，窗口内交易日 &lt; 150）平均每期再剔除 6.3 只。Z 分数被 ±3 截断的股票平均每期 2.6 只；入选门槛 Momentum Score 的中位数为 1.60（即 Z ≈ +0.60），最高分中位数 4.00。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166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fv_fun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1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9  各参考日未通过 Financial Viability 的成分股数量及原因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5.2 成分数量、集中度与权重上限</w:t>
      </w:r>
    </w:p>
    <w:p>
      <w:pPr>
        <w:pStyle w:val="ListBullet"/>
      </w:pPr>
      <w:r>
        <w:rPr>
          <w:rFonts w:ascii="Calibri" w:hAnsi="Calibri" w:eastAsia="PingFang SC"/>
          <w:sz w:val="21"/>
        </w:rPr>
        <w:t>成分股数量 45–55 只（均值 51.3）；有效成分数（1/Σw²）19–37（均值 25.3），即权重集中度大约相当于一个 25 只等权组合。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前十大权重合计均值 53%（38%–65%）；最大单一权重均值 8.9%，9% 上限平均每期约束 1.9 只。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策略持有的股票合计占沪深300（代理）市值的 24%（11%–42%）；策略权重落在沪深300市值前 100 名股票上的比例均值 81%，即策略整体上仍是一个大盘股组合，但相对母指数明显向中等市值倾斜。</w:t>
      </w:r>
    </w:p>
    <w:p>
      <w:pPr>
        <w:pStyle w:val="ListBullet"/>
      </w:pPr>
      <w:r>
        <w:rPr>
          <w:rFonts w:ascii="Calibri" w:hAnsi="Calibri" w:eastAsia="PingFang SC"/>
          <w:sz w:val="21"/>
        </w:rPr>
        <w:t>入选股票 Momentum Score 均值 2.50，最低入选分数均值 1.62。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93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concent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10  每次调仓的成分数量、有效成分数与集中度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5.3 成分持续性与换手</w:t>
      </w:r>
    </w:p>
    <w:p>
      <w:pPr>
        <w:spacing w:after="120"/>
      </w:pPr>
      <w:r>
        <w:rPr>
          <w:rFonts w:ascii="Calibri" w:hAnsi="Calibri" w:eastAsia="PingFang SC"/>
          <w:sz w:val="21"/>
        </w:rPr>
        <w:t>42 次已实施调仓共出现过 547 只不同的成分股。相邻两期成分股的平均保留率 45%；一段连续成员期的平均长度 1.8 期（中位数 1 期），51% 的成员期只持续一次调仓——动量组合的"短记忆"特征。入选次数最多的股票：贵州茅台（20 次）、五粮液（17 次）、恒瑞医药（16 次）、泸州老窖（15 次）、山东黄金（15 次）、格力电器（14 次）、三一重工（14 次）、同仁堂（14 次）、招商银行（14 次）、福耀玻璃（14 次）。</w:t>
      </w:r>
    </w:p>
    <w:p>
      <w:pPr>
        <w:spacing w:after="120"/>
      </w:pPr>
      <w:r>
        <w:rPr>
          <w:rFonts w:ascii="Calibri" w:hAnsi="Calibri" w:eastAsia="PingFang SC"/>
          <w:sz w:val="21"/>
        </w:rPr>
        <w:t>单边换手每次调仓平均 55.1%（最高 82.8%），折合每年 107.7%，与 S&amp;P 500 Momentum 公布的换手水平相当。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441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persist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11  成分股持续性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963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12  每次调仓的单边换手率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5.4 行业暴露（当前）</w:t>
      </w:r>
    </w:p>
    <w:p>
      <w:pPr>
        <w:spacing w:after="120"/>
      </w:pPr>
      <w:r>
        <w:rPr>
          <w:rFonts w:ascii="Calibri" w:hAnsi="Calibri" w:eastAsia="PingFang SC"/>
          <w:sz w:val="21"/>
        </w:rPr>
        <w:t>历史行业分类没有免费的点位数据，此处只用中证沪深300一级行业指数的</w:t>
      </w:r>
      <w:r>
        <w:rPr>
          <w:rFonts w:ascii="Calibri" w:hAnsi="Calibri" w:eastAsia="PingFang SC"/>
          <w:b/>
          <w:sz w:val="21"/>
        </w:rPr>
        <w:t>当前</w:t>
      </w:r>
      <w:r>
        <w:rPr>
          <w:rFonts w:ascii="Calibri" w:hAnsi="Calibri" w:eastAsia="PingFang SC"/>
          <w:sz w:val="21"/>
        </w:rPr>
        <w:t>成分对</w:t>
      </w:r>
      <w:r>
        <w:rPr>
          <w:rFonts w:ascii="Calibri" w:hAnsi="Calibri" w:eastAsia="PingFang SC"/>
          <w:b/>
          <w:sz w:val="21"/>
        </w:rPr>
        <w:t>最新两期</w:t>
      </w:r>
      <w:r>
        <w:rPr>
          <w:rFonts w:ascii="Calibri" w:hAnsi="Calibri" w:eastAsia="PingFang SC"/>
          <w:sz w:val="21"/>
        </w:rPr>
        <w:t>名单分类：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中证一级行业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CSI 300 (2026-08-31)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Strategy 2026-03-20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Strategy 2026-09-18 (pending)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信息技术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22.6%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30.2%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45.3%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金融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19.9%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13.5%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工业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16.2%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8.5%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15.0%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通信服务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9.9%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13.8%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16.7%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原材料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9.6%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32.7%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15.9%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主要消费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6.4%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可选消费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5.4%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3.4%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医药卫生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4.3%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1.3%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2.0%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公用事业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2.8%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能源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2.7%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1.8%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房地产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0.0%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相对沪深300，最新已实施名单最高配 原材料（+23.1 个百分点）和 信息技术（+7.6），最低配 工业（-7.7）和 主要消费（-6.4）。SPMO 类规则不做行业中性，行业暴露随动量所在板块大幅摆动，这是其超额收益与跟踪误差的共同来源。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397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sector_expos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13  行业暴露：沪深300 vs 最新两期名单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5.5 最新持仓</w:t>
      </w:r>
    </w:p>
    <w:p>
      <w:pPr>
        <w:spacing w:after="120"/>
      </w:pPr>
      <w:r>
        <w:rPr>
          <w:rFonts w:ascii="Calibri" w:hAnsi="Calibri" w:eastAsia="PingFang SC"/>
          <w:sz w:val="21"/>
        </w:rPr>
        <w:t>2026-03-20 实施（参考日 2026-02-27）的前 15 大权重股，共 55 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代码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名称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Momentum Score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排名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沪深300权重（代理）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最终权重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触及上限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601138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工业富联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3.03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2.12%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9.00%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是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601288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农业银行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1.79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3.92%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9.00%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是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601899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紫金矿业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3.73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1.56%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8.71%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300308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中际旭创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4.00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1.13%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6.76%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603993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洛阳钼业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4.00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0.80%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4.80%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300502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新易盛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4.00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0.61%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3.65%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688041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海光信息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1.99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1.16%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3.46%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300476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胜宏科技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4.00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2.98%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601318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中国平安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1.52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1.29%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2.92%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688256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寒武纪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2.01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0.95%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2.84%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002371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北方华创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2.21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0.66%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2.16%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300394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天孚通信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2.42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26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0.55%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1.98%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600111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北方稀土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2.93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0.43%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1.89%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000792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盐湖股份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3.11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0.39%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1.80%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688008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澜起科技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3.01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14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0.36%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1.61%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参考日 2026-08-31 已计算、将于 2026-09-18 收盘后实施的名单（共 54 只，未进入回测）前 15 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代码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名称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Momentum Score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排名</w:t>
            </w:r>
          </w:p>
        </w:tc>
        <w:tc>
          <w:tcPr>
            <w:tcW w:type="dxa" w:w="199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目标权重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300308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中际旭创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4.00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9.00%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300750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宁德时代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2.03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8.49%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601138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工业富联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1.78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50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6.20%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688256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寒武纪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2.49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4.72%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601899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紫金矿业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2.29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4.29%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300502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新易盛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4.20%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002371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北方华创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2.84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3.90%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688041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海光信息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2.20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3.52%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000333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美的集团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37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3.40%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688012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中微公司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3.19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2.95%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600183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生益科技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2.82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15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2.83%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603986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兆易创新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3.53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2.60%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603993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洛阳钼业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2.74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17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2.47%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002384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东山精密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3.22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10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2.40%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300408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三环集团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3.96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2.30%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6. 收益来源分解：选股还是加权？</w:t>
      </w:r>
    </w:p>
    <w:p>
      <w:pPr>
        <w:spacing w:after="120"/>
      </w:pPr>
      <w:r>
        <w:rPr>
          <w:rFonts w:ascii="Calibri" w:hAnsi="Calibri" w:eastAsia="PingFang SC"/>
          <w:sz w:val="21"/>
        </w:rPr>
        <w:t>用同一指数引擎、同样的调仓日期与成分股名单，只改变权重方案，可以把策略相对母指数的超额拆开（全部为价格指数、费前）：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组合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¥100 终值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CAGR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含义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沪深300（官方）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¥472.6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7.68%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沪深300复制（全部成分股，本项目权重代理，同日期调仓）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¥381.5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6.59%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权重代理相对官方指数的偏差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入选成分股，按自由流通市值（代理）加权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¥697.4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9.70%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选股效应（vs 复制指数）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入选成分股，SPMO 加权（本指数）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¥715.6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9.83%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Momentum Score 倾斜 + 上限（vs 市值加权）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入选成分股，等权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¥762.9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10.17%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参照：完全去除市值倾斜</w:t>
            </w:r>
          </w:p>
        </w:tc>
      </w:tr>
    </w:tbl>
    <w:p/>
    <w:p>
      <w:pPr>
        <w:pStyle w:val="ListBullet"/>
      </w:pPr>
      <w:r>
        <w:rPr>
          <w:rFonts w:ascii="Calibri" w:hAnsi="Calibri" w:eastAsia="PingFang SC"/>
          <w:b/>
          <w:sz w:val="21"/>
        </w:rPr>
        <w:t>选股效应</w:t>
      </w:r>
      <w:r>
        <w:rPr>
          <w:rFonts w:ascii="Calibri" w:hAnsi="Calibri" w:eastAsia="PingFang SC"/>
          <w:sz w:val="21"/>
        </w:rPr>
        <w:t>（同一权重口径下，前 20% 动量股 vs 全部 300 只）：+3.11 个百分点/年，是超额收益的主体。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Momentum Score 加权倾斜</w:t>
      </w:r>
      <w:r>
        <w:rPr>
          <w:rFonts w:ascii="Calibri" w:hAnsi="Calibri" w:eastAsia="PingFang SC"/>
          <w:sz w:val="21"/>
        </w:rPr>
        <w:t>（vs 同一篮子市值加权）：+0.13 个百分点/年——SPMO 式加权在 A 股历史上带来的增益有限。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等权 vs 市值加权</w:t>
      </w:r>
      <w:r>
        <w:rPr>
          <w:rFonts w:ascii="Calibri" w:hAnsi="Calibri" w:eastAsia="PingFang SC"/>
          <w:sz w:val="21"/>
        </w:rPr>
        <w:t>：+0.47 个百分点/年，说明在入选篮子内部，市值越大的股票（多为国有大盘股）动量延续性越差。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权重代理偏差</w:t>
      </w:r>
      <w:r>
        <w:rPr>
          <w:rFonts w:ascii="Calibri" w:hAnsi="Calibri" w:eastAsia="PingFang SC"/>
          <w:sz w:val="21"/>
        </w:rPr>
        <w:t>：-1.09 个百分点/年。本项目的自由流通代理高配国有大盘股，用它复制沪深300会跑输官方指数；策略权重同样受此影响，因此上表中的策略 CAGR 相对官方沪深300的 +2.15 个百分点超额，很可能低于真实自由流通加权版本能取得的水平。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012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at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14  同一批成分股在不同权重方案下的表现，以及权重代理复制的沪深300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7. 交易成本与可实施性</w:t>
      </w:r>
    </w:p>
    <w:p>
      <w:pPr>
        <w:spacing w:after="120"/>
      </w:pPr>
      <w:r>
        <w:rPr>
          <w:rFonts w:ascii="Calibri" w:hAnsi="Calibri" w:eastAsia="PingFang SC"/>
          <w:sz w:val="21"/>
        </w:rPr>
        <w:t>费后指数按当期实际制度扣费：佣金随历史下调、印花税按各时期税率（2008 年 9 月起仅卖出征收、2023 年 8 月起减半）、过户费与固定冲击成本。结果：费前 CAGR 9.83%，费后 9.33%，年化成本拖累 0.50%；21 年累计支付的成本相当于期末净值的 9.9%。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年份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单边换手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年份</w:t>
            </w:r>
          </w:p>
        </w:tc>
        <w:tc>
          <w:tcPr>
            <w:tcW w:type="dxa" w:w="2493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单边换手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2017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88%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2007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2018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72%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2008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138%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107%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2009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141%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84%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2010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121%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92%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2011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115%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2022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121%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2012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2023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123%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2013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97%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2024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71%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2014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130%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2025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95%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2015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123%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2026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65%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2016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144%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</w:p>
        </w:tc>
        <w:tc>
          <w:tcPr>
            <w:tcW w:type="dxa" w:w="2493"/>
          </w:tcPr>
          <w:p>
            <w:pPr>
              <w:spacing w:after="0"/>
            </w:pPr>
            <w:r/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可实施性方面：成分股全部为沪深300成分，流动性充足；半年一次调仓、单边换手约 55%，对规模不敏感；主要摩擦来自停牌股票（回测中按停牌前价格成交）以及涨跌停板日无法足量成交。费后指数已把这些成本按保守假设纳入，但未对超大规模资金的冲击成本设上限。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8. 与 GitHub 项目 HSI300-Momentum-Strategy 的对比</w:t>
      </w:r>
    </w:p>
    <w:p>
      <w:pPr>
        <w:spacing w:after="120"/>
      </w:pPr>
      <w:r>
        <w:rPr>
          <w:rFonts w:ascii="Calibri" w:hAnsi="Calibri" w:eastAsia="PingFang SC"/>
          <w:color w:val="1F4E9C"/>
          <w:sz w:val="21"/>
        </w:rPr>
        <w:t>HSI300-Momentum-Strategy</w:t>
      </w:r>
      <w:r>
        <w:rPr>
          <w:rFonts w:ascii="Calibri" w:hAnsi="Calibri" w:eastAsia="PingFang SC"/>
          <w:color w:val="7F7F7F"/>
          <w:sz w:val="19"/>
        </w:rPr>
        <w:t xml:space="preserve"> (https://github.com/dongzhaohe321418-lab/HSI300-Momentum-Strategy)</w:t>
      </w:r>
      <w:r>
        <w:rPr>
          <w:rFonts w:ascii="Calibri" w:hAnsi="Calibri" w:eastAsia="PingFang SC"/>
          <w:sz w:val="21"/>
        </w:rPr>
        <w:t xml:space="preserve"> 同样受 SPMO 启发，在沪深300内做动量选股，但设计取向不同：它是一个</w:t>
      </w:r>
      <w:r>
        <w:rPr>
          <w:rFonts w:ascii="Calibri" w:hAnsi="Calibri" w:eastAsia="PingFang SC"/>
          <w:b/>
          <w:sz w:val="21"/>
        </w:rPr>
        <w:t>集中持股的量化组合</w:t>
      </w:r>
      <w:r>
        <w:rPr>
          <w:rFonts w:ascii="Calibri" w:hAnsi="Calibri" w:eastAsia="PingFang SC"/>
          <w:sz w:val="21"/>
        </w:rPr>
        <w:t>（Top-20 等权、季度调仓、行业上限），而本项目是一只</w:t>
      </w:r>
      <w:r>
        <w:rPr>
          <w:rFonts w:ascii="Calibri" w:hAnsi="Calibri" w:eastAsia="PingFang SC"/>
          <w:b/>
          <w:sz w:val="21"/>
        </w:rPr>
        <w:t>指数</w:t>
      </w:r>
      <w:r>
        <w:rPr>
          <w:rFonts w:ascii="Calibri" w:hAnsi="Calibri" w:eastAsia="PingFang SC"/>
          <w:sz w:val="21"/>
        </w:rPr>
        <w:t>（约 50 只、市值 × 分数加权、半年调仓、缓冲与上限）。下面先比较规则，再用本项目的数据复现其规则，在相同窗口和相同数据上比较结果。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8.1 规则差异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项目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HSI300-Momentum-Strategy</w:t>
            </w:r>
          </w:p>
        </w:tc>
        <w:tc>
          <w:tcPr>
            <w:tcW w:type="dxa" w:w="3324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本项目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数据源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BaoStock：每月末查询 hs300 成分快照（2013 起）、后复权收盘价、当前行业分类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中证公告逐日点位成分（2005 起）、新浪 / 东财原始价格自建复权、季度财报与公告日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成分股口径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调仓日采用最近一个月末快照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调仓日当日有效成分；调仓期间被剔除的持仓同日剔除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盈利筛选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无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S&amp;P Financial Viability（最近一季与最近四季持续经营净利润 &gt; 0）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动量信号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P(t−22)/P(t−253) − 1 除以 252 日日收益标准差（窗口含最近一月），T−1 计算 T 交易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12–1 月价格变动除以同窗口日收益标准差；参考日计算，三周后实施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标准化 / 分数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无（直接按原始风险调整动量排序）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横截面 Z 分数（±3 截断）→ Momentum Score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选样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Top 20，每个（当前）行业最多 5 只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合格股票前 20%（约 45–55 只），S&amp;P 20% 缓冲，母指数资格优先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权重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等权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自由流通市值 × Score，公司上限 min(9%, 20× 母指数权重)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调仓频率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季度（自然季末最后一个交易日收盘）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半年（2 / 8 月末参考，3 / 9 月第三个星期五实施）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收益口径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策略用后复权价（含股息）vs 沪深300价格指数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价格指数与全收益指数分别对应比较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成本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成交金额的 15bp（买卖同费率）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按历史制度的佣金 + 印花税 + 过户费 + 冲击成本（2005–2008 年印花税单边 0.1%–0.3%）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回测区间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2019-01-01 → 2025-12-20（7 年）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2005-09-16 → 2026-09-09（21 年）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资格审计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无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每期自动审计成员资格、财报公告日、动量数据可得性，违反即报错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8.2 其公布结果 vs 在本项目数据上的复现（2019-01-02 → 2025-12-19）</w:t>
      </w:r>
    </w:p>
    <w:p>
      <w:pPr>
        <w:spacing w:after="120"/>
      </w:pPr>
      <w:r>
        <w:rPr>
          <w:rFonts w:ascii="Calibri" w:hAnsi="Calibri" w:eastAsia="PingFang SC"/>
          <w:sz w:val="21"/>
        </w:rPr>
        <w:t>我们按其代码逐条复现规则（信号、季末调仓、等权、漂移、15bp 成本），只把数据换成本项目的点位成分与复权价格。行业上限使用当前中证一级行业分类（其代码同样使用当前分类），历史上已不在沪深300的股票无分类，归入"未知"一类同样受 5 只上限约束。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系列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累计收益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年化收益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年化波动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夏普(rf=2%)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最大回撤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仓库公布值（策略）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283.6%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22.2%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24.4%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0.83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-33.5%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仓库公布值（沪深300）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53.8%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0.24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-45.6%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规则复现（行业上限 5 只，当前行业分类）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235.7%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24.4%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0.73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-39.7%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规则复现（无行业上限）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221.2%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24.7%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0.69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-41.0%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规则复现（无行业上限，本项目成本模型）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218.9%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18.9%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24.7%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0.68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-41.1%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本指数：全收益，费前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182.0%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16.7%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21.2%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0.69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-46.4%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本指数：全收益，费后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175.3%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16.3%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21.2%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0.68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-47.0%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本指数：价格，费前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135.8%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21.2%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0.55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-50.3%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沪深300（价格）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53.8%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0.24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-45.6%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沪深300（全收益）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81.8%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9.3%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19.1%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-41.6%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年份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HSMO 公布：策略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HSMO 公布：沪深300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复现：HSMO 规则（行业上限）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复现：HSMO 规则（无上限）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本指数（全收益，费后）</w:t>
            </w:r>
          </w:p>
        </w:tc>
        <w:tc>
          <w:tcPr>
            <w:tcW w:type="dxa" w:w="1425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7"/>
              </w:rPr>
              <w:t>沪深300（价格，本项目数据）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2019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40.9%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38.0%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43.7%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43.2%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63.8%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38.0%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2020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85.9%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27.2%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70.8%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71.3%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61.4%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27.2%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2021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11.1%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9.5%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7.0%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-9.7%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-5.2%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2022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-8.7%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-21.6%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-14.3%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-13.9%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-25.3%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-21.6%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2023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-6.5%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-11.4%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-8.8%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-7.0%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-2.4%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-11.4%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2024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14.7%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30.4%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31.7%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14.7%</w:t>
            </w:r>
          </w:p>
        </w:tc>
      </w:tr>
      <w:tr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2025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17.8%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16.1%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22.2%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17.2%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20.2%</w:t>
            </w:r>
          </w:p>
        </w:tc>
        <w:tc>
          <w:tcPr>
            <w:tcW w:type="dxa" w:w="142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7"/>
              </w:rPr>
              <w:t>16.1%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复现结果与其公布值方向一致、量级接近：沪深300年度收益逐年完全相同（两边都用官方价格指数），策略年化 19.8% vs 公布 22.2%，差异主要来自 2020 年（复现 70.8% vs 公布 85.9%）和 2022 年，源于成分股快照口径（月末快照 vs 逐日）、复权价格与行业分类的差别，而非规则本身。因此可以把两条曲线放在同一数据上比较：2019–2025 年 HSMO 规则 ¥100 → ¥321（无行业上限，15bp）/ ¥336（行业上限），本指数全收益费后 ¥275，沪深300全收益 ¥182。HSMO 规则在这 7 年里收益更高，最大回撤更小（-41.0% vs 本指数全收益 -47.0%）——差别主要在 2021–2022 年：季度调仓的等权组合在 2021 年 2 月核心资产见顶后一个季度内就转向，而半年调仓的本指数持有 2 月底确定的名单直到 9 月。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8.3 全样本、同数据比较（2005-09-16 → 2026-09-09）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系列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累计收益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年化收益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年化波动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夏普(rf=2%)</w:t>
            </w:r>
          </w:p>
        </w:tc>
        <w:tc>
          <w:tcPr>
            <w:tcW w:type="dxa" w:w="1662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最大回撤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规则复现（无行业上限，15bp）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1114.8%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13.1%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28.9%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0.39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-73.7%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规则复现（无行业上限，本项目成本模型）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1047.6%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28.9%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0.37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-73.9%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HSMO 规则复现（行业上限，当前行业分类）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2122.3%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16.6%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28.1%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0.52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-71.0%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本指数：全收益，费后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855.1%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11.8%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27.1%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0.36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-77.2%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本指数：全收益，费前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951.8%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12.3%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27.1%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0.38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-77.0%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本指数：价格，费前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615.6%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10.2%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27.1%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0.30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-77.2%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沪深300（价格）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372.6%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8.0%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25.1%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0.24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-72.3%</w:t>
            </w:r>
          </w:p>
        </w:tc>
      </w:tr>
      <w:tr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沪深300（全收益）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600.1%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25.1%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0.32</w:t>
            </w:r>
          </w:p>
        </w:tc>
        <w:tc>
          <w:tcPr>
            <w:tcW w:type="dxa" w:w="166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-72.0%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sz w:val="21"/>
        </w:rPr>
        <w:t>把窗口拉长到 21 年（三种成本假设见表），HSMO 规则（无行业上限）¥100 → ¥1,215，本指数全收益费后 ¥952，沪深300全收益 ¥700。HSMO 规则的年化收益仍高出本指数约 1.3 个百分点，但代价是：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集中度</w:t>
      </w:r>
      <w:r>
        <w:rPr>
          <w:rFonts w:ascii="Calibri" w:hAnsi="Calibri" w:eastAsia="PingFang SC"/>
          <w:sz w:val="21"/>
        </w:rPr>
        <w:t>：20 只等权 vs 约 50 只，有效成分数 20 vs 25；年化波动 28.9% vs 27.1%。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换手</w:t>
      </w:r>
      <w:r>
        <w:rPr>
          <w:rFonts w:ascii="Calibri" w:hAnsi="Calibri" w:eastAsia="PingFang SC"/>
          <w:sz w:val="21"/>
        </w:rPr>
        <w:t>：季度调仓、无缓冲，双边换手平均每季 109%，折合单边约 218%/年，是本指数（108%/年）的 2.0 倍；换用本项目的历史成本模型后其年化降至 12.8%（2019–2025 窗口 18.9%）。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行业中性规则不稳定</w:t>
      </w:r>
      <w:r>
        <w:rPr>
          <w:rFonts w:ascii="Calibri" w:hAnsi="Calibri" w:eastAsia="PingFang SC"/>
          <w:sz w:val="21"/>
        </w:rPr>
        <w:t>：按当前行业分类施加"每行业 5 只"在全样本上把年化从 13.1% 推高到 16.6%，其中 2006 年一年相差 +51 个百分点——差异来自把早年已退市 / 已调出的股票统统归入"未知"行业并受同一上限约束，这是</w:t>
      </w:r>
      <w:r>
        <w:rPr>
          <w:rFonts w:ascii="Calibri" w:hAnsi="Calibri" w:eastAsia="PingFang SC"/>
          <w:b/>
          <w:sz w:val="21"/>
        </w:rPr>
        <w:t>当前分类倒推历史</w:t>
      </w:r>
      <w:r>
        <w:rPr>
          <w:rFonts w:ascii="Calibri" w:hAnsi="Calibri" w:eastAsia="PingFang SC"/>
          <w:sz w:val="21"/>
        </w:rPr>
        <w:t>带来的伪影，不能视为该规则的真实增益。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回撤</w:t>
      </w:r>
      <w:r>
        <w:rPr>
          <w:rFonts w:ascii="Calibri" w:hAnsi="Calibri" w:eastAsia="PingFang SC"/>
          <w:sz w:val="21"/>
        </w:rPr>
        <w:t>：2008 年两者都亏损约 70%（HSMO 规则 -73.7%，2008-01-15 → 2008-11-04），HSMO 于 2015-04-17 收复，本指数全收益于 2020-06-18 收复。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样本期</w:t>
      </w:r>
      <w:r>
        <w:rPr>
          <w:rFonts w:ascii="Calibri" w:hAnsi="Calibri" w:eastAsia="PingFang SC"/>
          <w:sz w:val="21"/>
        </w:rPr>
        <w:t>：该项目公布的 2019–2025 年恰好避开了 2008–2016 年动量策略在 A 股长期跑输的阶段（见 §4.6），7 年样本的年化超额（15.6%）不应外推为长期预期。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口径</w:t>
      </w:r>
      <w:r>
        <w:rPr>
          <w:rFonts w:ascii="Calibri" w:hAnsi="Calibri" w:eastAsia="PingFang SC"/>
          <w:sz w:val="21"/>
        </w:rPr>
        <w:t>：其策略曲线含股息（后复权）而基准为价格指数，7 年内约多计 2 个百分点/年的股息；本报告分别给出价格与全收益口径。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801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hsmo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15  HSMO 规则（在本项目数据上复现）与本指数：2019–2025 窗口与 2005–2026 全样本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761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drawdown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555555"/>
          <w:sz w:val="18"/>
        </w:rPr>
        <w:t>图 16  回撤比较：沪深300、本指数、HSMO 规则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8.4 评述</w:t>
      </w:r>
    </w:p>
    <w:p>
      <w:pPr>
        <w:spacing w:after="120"/>
      </w:pPr>
      <w:r>
        <w:rPr>
          <w:rFonts w:ascii="Calibri" w:hAnsi="Calibri" w:eastAsia="PingFang SC"/>
          <w:sz w:val="21"/>
        </w:rPr>
        <w:t>两种设计代表了动量因子的两种用法。HSI300-Momentum-Strategy 是</w:t>
      </w:r>
      <w:r>
        <w:rPr>
          <w:rFonts w:ascii="Calibri" w:hAnsi="Calibri" w:eastAsia="PingFang SC"/>
          <w:b/>
          <w:sz w:val="21"/>
        </w:rPr>
        <w:t>高活跃度的因子组合</w:t>
      </w:r>
      <w:r>
        <w:rPr>
          <w:rFonts w:ascii="Calibri" w:hAnsi="Calibri" w:eastAsia="PingFang SC"/>
          <w:sz w:val="21"/>
        </w:rPr>
        <w:t>：更集中、更快的调仓让它在趋势切换后能更早转向，历史收益更高，但波动、换手、成本和单一行业 / 个股风险也更高，且其点位数据（月末快照、当前行业分类）与成本假设（15bp）在 2005–2008 年的制度环境下偏乐观。本项目是</w:t>
      </w:r>
      <w:r>
        <w:rPr>
          <w:rFonts w:ascii="Calibri" w:hAnsi="Calibri" w:eastAsia="PingFang SC"/>
          <w:b/>
          <w:sz w:val="21"/>
        </w:rPr>
        <w:t>可指数化的规则</w:t>
      </w:r>
      <w:r>
        <w:rPr>
          <w:rFonts w:ascii="Calibri" w:hAnsi="Calibri" w:eastAsia="PingFang SC"/>
          <w:sz w:val="21"/>
        </w:rPr>
        <w:t>：更宽的成分、市值倾斜的权重、缓冲和上限带来更低的换手和更接近母指数的风险特征（β≈1、跟踪误差约 10%），代价是对趋势反转反应更慢（2021 年、2024 年 9 月）。两者在同一数据上都长期战胜沪深300，也都在 2008、2011、2015–2016 年经历长时间跑输——</w:t>
      </w:r>
      <w:r>
        <w:rPr>
          <w:rFonts w:ascii="Calibri" w:hAnsi="Calibri" w:eastAsia="PingFang SC"/>
          <w:b/>
          <w:sz w:val="21"/>
        </w:rPr>
        <w:t>动量在 A 股大盘股中的有效性是周期性的</w:t>
      </w:r>
      <w:r>
        <w:rPr>
          <w:rFonts w:ascii="Calibri" w:hAnsi="Calibri" w:eastAsia="PingFang SC"/>
          <w:sz w:val="21"/>
        </w:rPr>
        <w:t>，任何以 2019 年以后的样本为依据的收益预期都需要打折。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9. 结论：对 17 个问题的回答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1.  </w:t>
      </w:r>
      <w:r>
        <w:rPr>
          <w:rFonts w:ascii="Calibri" w:hAnsi="Calibri" w:eastAsia="PingFang SC"/>
          <w:b/>
          <w:sz w:val="21"/>
        </w:rPr>
        <w:t>回测起止日期</w:t>
      </w:r>
      <w:r>
        <w:rPr>
          <w:rFonts w:ascii="Calibri" w:hAnsi="Calibri" w:eastAsia="PingFang SC"/>
          <w:sz w:val="21"/>
        </w:rPr>
        <w:t>：2005-09-16 → 2026-09-09（首个参考日 2005-08-31，首次实施 2005-09-16；22 个日历年（含首尾不完整年份））。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2.  </w:t>
      </w:r>
      <w:r>
        <w:rPr>
          <w:rFonts w:ascii="Calibri" w:hAnsi="Calibri" w:eastAsia="PingFang SC"/>
          <w:b/>
          <w:sz w:val="21"/>
        </w:rPr>
        <w:t>¥100 投资沪深300</w:t>
      </w:r>
      <w:r>
        <w:rPr>
          <w:rFonts w:ascii="Calibri" w:hAnsi="Calibri" w:eastAsia="PingFang SC"/>
          <w:sz w:val="21"/>
        </w:rPr>
        <w:t>：¥472.6（价格指数）；含股息 ¥700.1。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3.  </w:t>
      </w:r>
      <w:r>
        <w:rPr>
          <w:rFonts w:ascii="Calibri" w:hAnsi="Calibri" w:eastAsia="PingFang SC"/>
          <w:b/>
          <w:sz w:val="21"/>
        </w:rPr>
        <w:t>¥100 投资策略</w:t>
      </w:r>
      <w:r>
        <w:rPr>
          <w:rFonts w:ascii="Calibri" w:hAnsi="Calibri" w:eastAsia="PingFang SC"/>
          <w:sz w:val="21"/>
        </w:rPr>
        <w:t>：¥715.6（费前）/ ¥649.8（费后）；全收益费前 ¥1,051.8。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4.  </w:t>
      </w:r>
      <w:r>
        <w:rPr>
          <w:rFonts w:ascii="Calibri" w:hAnsi="Calibri" w:eastAsia="PingFang SC"/>
          <w:b/>
          <w:sz w:val="21"/>
        </w:rPr>
        <w:t>CAGR</w:t>
      </w:r>
      <w:r>
        <w:rPr>
          <w:rFonts w:ascii="Calibri" w:hAnsi="Calibri" w:eastAsia="PingFang SC"/>
          <w:sz w:val="21"/>
        </w:rPr>
        <w:t>：沪深300 7.68%，策略 9.83%（全收益口径 9.72% vs 11.87%）。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5.  </w:t>
      </w:r>
      <w:r>
        <w:rPr>
          <w:rFonts w:ascii="Calibri" w:hAnsi="Calibri" w:eastAsia="PingFang SC"/>
          <w:b/>
          <w:sz w:val="21"/>
        </w:rPr>
        <w:t>年化超额收益</w:t>
      </w:r>
      <w:r>
        <w:rPr>
          <w:rFonts w:ascii="Calibri" w:hAnsi="Calibri" w:eastAsia="PingFang SC"/>
          <w:sz w:val="21"/>
        </w:rPr>
        <w:t>：2.15%（费后 1.65%）；Jensen α 2.62%，β 0.99。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6.  </w:t>
      </w:r>
      <w:r>
        <w:rPr>
          <w:rFonts w:ascii="Calibri" w:hAnsi="Calibri" w:eastAsia="PingFang SC"/>
          <w:b/>
          <w:sz w:val="21"/>
        </w:rPr>
        <w:t>最大回撤</w:t>
      </w:r>
      <w:r>
        <w:rPr>
          <w:rFonts w:ascii="Calibri" w:hAnsi="Calibri" w:eastAsia="PingFang SC"/>
          <w:sz w:val="21"/>
        </w:rPr>
        <w:t>：沪深300 -72.30%（2007-10-16 → 2008-11-04）；策略 -77.16%（2007-10-31 → 2008-11-04）。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7.  </w:t>
      </w:r>
      <w:r>
        <w:rPr>
          <w:rFonts w:ascii="Calibri" w:hAnsi="Calibri" w:eastAsia="PingFang SC"/>
          <w:b/>
          <w:sz w:val="21"/>
        </w:rPr>
        <w:t>Sharpe</w:t>
      </w:r>
      <w:r>
        <w:rPr>
          <w:rFonts w:ascii="Calibri" w:hAnsi="Calibri" w:eastAsia="PingFang SC"/>
          <w:sz w:val="21"/>
        </w:rPr>
        <w:t>：沪深300 0.43，策略 0.49（费后 0.47）。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8.  </w:t>
      </w:r>
      <w:r>
        <w:rPr>
          <w:rFonts w:ascii="Calibri" w:hAnsi="Calibri" w:eastAsia="PingFang SC"/>
          <w:b/>
          <w:sz w:val="21"/>
        </w:rPr>
        <w:t>年化波动率</w:t>
      </w:r>
      <w:r>
        <w:rPr>
          <w:rFonts w:ascii="Calibri" w:hAnsi="Calibri" w:eastAsia="PingFang SC"/>
          <w:sz w:val="21"/>
        </w:rPr>
        <w:t>：沪深300 24.69%，策略 26.71%。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9.  </w:t>
      </w:r>
      <w:r>
        <w:rPr>
          <w:rFonts w:ascii="Calibri" w:hAnsi="Calibri" w:eastAsia="PingFang SC"/>
          <w:b/>
          <w:sz w:val="21"/>
        </w:rPr>
        <w:t>平均换手率</w:t>
      </w:r>
      <w:r>
        <w:rPr>
          <w:rFonts w:ascii="Calibri" w:hAnsi="Calibri" w:eastAsia="PingFang SC"/>
          <w:sz w:val="21"/>
        </w:rPr>
        <w:t>：单边每次调仓 55.1%，每年 107.7%（最高单次 82.8%）。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10.  </w:t>
      </w:r>
      <w:r>
        <w:rPr>
          <w:rFonts w:ascii="Calibri" w:hAnsi="Calibri" w:eastAsia="PingFang SC"/>
          <w:b/>
          <w:sz w:val="21"/>
        </w:rPr>
        <w:t>费后 CAGR</w:t>
      </w:r>
      <w:r>
        <w:rPr>
          <w:rFonts w:ascii="Calibri" w:hAnsi="Calibri" w:eastAsia="PingFang SC"/>
          <w:sz w:val="21"/>
        </w:rPr>
        <w:t>：9.33%（成本拖累 0.50%/年）。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11.  </w:t>
      </w:r>
      <w:r>
        <w:rPr>
          <w:rFonts w:ascii="Calibri" w:hAnsi="Calibri" w:eastAsia="PingFang SC"/>
          <w:b/>
          <w:sz w:val="21"/>
        </w:rPr>
        <w:t>最强年份</w:t>
      </w:r>
      <w:r>
        <w:rPr>
          <w:rFonts w:ascii="Calibri" w:hAnsi="Calibri" w:eastAsia="PingFang SC"/>
          <w:sz w:val="21"/>
        </w:rPr>
        <w:t>：2007（+168.5%）、2006（+113.0%）、2009（+75.5%）；超额最大：2020（+33.0%）、2019（+23.4%）、2017（+22.7%）。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12.  </w:t>
      </w:r>
      <w:r>
        <w:rPr>
          <w:rFonts w:ascii="Calibri" w:hAnsi="Calibri" w:eastAsia="PingFang SC"/>
          <w:b/>
          <w:sz w:val="21"/>
        </w:rPr>
        <w:t>最差年份</w:t>
      </w:r>
      <w:r>
        <w:rPr>
          <w:rFonts w:ascii="Calibri" w:hAnsi="Calibri" w:eastAsia="PingFang SC"/>
          <w:sz w:val="21"/>
        </w:rPr>
        <w:t>：2008（-69.0%）、2011（-34.2%）、2022（-27.0%）；超额最差：2009（-21.2%）、2014（-14.4%）、2015（-13.1%）。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13.  </w:t>
      </w:r>
      <w:r>
        <w:rPr>
          <w:rFonts w:ascii="Calibri" w:hAnsi="Calibri" w:eastAsia="PingFang SC"/>
          <w:b/>
          <w:sz w:val="21"/>
        </w:rPr>
        <w:t>最大动量崩塌</w:t>
      </w:r>
      <w:r>
        <w:rPr>
          <w:rFonts w:ascii="Calibri" w:hAnsi="Calibri" w:eastAsia="PingFang SC"/>
          <w:sz w:val="21"/>
        </w:rPr>
        <w:t>：2024-08-27 → 2024-12-03，策略 -3.1% vs 沪深300 +19.6%（相对 -22.7%）。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14.  </w:t>
      </w:r>
      <w:r>
        <w:rPr>
          <w:rFonts w:ascii="Calibri" w:hAnsi="Calibri" w:eastAsia="PingFang SC"/>
          <w:b/>
          <w:sz w:val="21"/>
        </w:rPr>
        <w:t>是否长期稳定跑赢</w:t>
      </w:r>
      <w:r>
        <w:rPr>
          <w:rFonts w:ascii="Calibri" w:hAnsi="Calibri" w:eastAsia="PingFang SC"/>
          <w:sz w:val="21"/>
        </w:rPr>
        <w:t>：长期跑赢但不稳定——22 年中 12 年跑赢，2005–2016 年累计跑输且相对强度回撤 -33.2%、历时 3130 天，超额几乎全部来自 2017 年以后；月度超额的 t 统计量 0.97，统计上不显著。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15.  </w:t>
      </w:r>
      <w:r>
        <w:rPr>
          <w:rFonts w:ascii="Calibri" w:hAnsi="Calibri" w:eastAsia="PingFang SC"/>
          <w:b/>
          <w:sz w:val="21"/>
        </w:rPr>
        <w:t>滚动超额胜率</w:t>
      </w:r>
      <w:r>
        <w:rPr>
          <w:rFonts w:ascii="Calibri" w:hAnsi="Calibri" w:eastAsia="PingFang SC"/>
          <w:sz w:val="21"/>
        </w:rPr>
        <w:t>：3 年 60.4%，5 年 61.4%（1 年 56.4%）。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16.  </w:t>
      </w:r>
      <w:r>
        <w:rPr>
          <w:rFonts w:ascii="Calibri" w:hAnsi="Calibri" w:eastAsia="PingFang SC"/>
          <w:b/>
          <w:sz w:val="21"/>
        </w:rPr>
        <w:t>相对强度趋势</w:t>
      </w:r>
      <w:r>
        <w:rPr>
          <w:rFonts w:ascii="Calibri" w:hAnsi="Calibri" w:eastAsia="PingFang SC"/>
          <w:sz w:val="21"/>
        </w:rPr>
        <w:t>：由 1.00 升至 1.51（年化 +2.00%），但先经历 2007–2016 年的长期下行（-33.2%），2017 年后转为上行并于 2019 年收复。</w:t>
      </w:r>
    </w:p>
    <w:p>
      <w:pPr>
        <w:spacing w:after="80"/>
        <w:ind w:left="510" w:hanging="510"/>
      </w:pPr>
      <w:r>
        <w:rPr>
          <w:rFonts w:ascii="Calibri" w:hAnsi="Calibri" w:eastAsia="PingFang SC"/>
          <w:b/>
          <w:sz w:val="21"/>
        </w:rPr>
        <w:t xml:space="preserve">17.  </w:t>
      </w:r>
      <w:r>
        <w:rPr>
          <w:rFonts w:ascii="Calibri" w:hAnsi="Calibri" w:eastAsia="PingFang SC"/>
          <w:b/>
          <w:sz w:val="21"/>
        </w:rPr>
        <w:t>Financial Viability + SPMO 是否显著改善沪深300的长期复利与风险调整收益</w:t>
      </w:r>
      <w:r>
        <w:rPr>
          <w:rFonts w:ascii="Calibri" w:hAnsi="Calibri" w:eastAsia="PingFang SC"/>
          <w:sz w:val="21"/>
        </w:rPr>
        <w:t>：长期复利有实质改善（CAGR 7.68% → 9.83%，费后 9.33%；21 年终值高 51%），风险调整收益温和改善（Sharpe 0.43 → 0.49，Sortino 0.59 → 0.68，信息比率 0.20），但波动和最大回撤更大、超额收益集中在少数年份且统计上不显著。结论：</w:t>
      </w:r>
      <w:r>
        <w:rPr>
          <w:rFonts w:ascii="Calibri" w:hAnsi="Calibri" w:eastAsia="PingFang SC"/>
          <w:b/>
          <w:sz w:val="21"/>
        </w:rPr>
        <w:t>有改善，但不能称为"显著"；它是一条长期期望为正、需要忍受多年跑输的规则</w:t>
      </w:r>
      <w:r>
        <w:rPr>
          <w:rFonts w:ascii="Calibri" w:hAnsi="Calibri" w:eastAsia="PingFang SC"/>
          <w:sz w:val="21"/>
        </w:rPr>
        <w:t>。</w:t>
      </w:r>
    </w:p>
    <w:p>
      <w:pPr>
        <w:pStyle w:val="Heading2"/>
      </w:pPr>
      <w:r>
        <w:rPr>
          <w:rFonts w:ascii="Calibri" w:hAnsi="Calibri" w:eastAsia="PingFang SC"/>
          <w:color w:val="1F2A44"/>
          <w:sz w:val="28"/>
        </w:rPr>
        <w:t>10. 附录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10.1 复现方法</w:t>
      </w:r>
    </w:p>
    <w:p>
      <w:pPr>
        <w:ind w:left="283"/>
      </w:pPr>
      <w:r>
        <w:rPr>
          <w:rFonts w:ascii="Consolas" w:hAnsi="Consolas" w:eastAsia="PingFang SC"/>
          <w:sz w:val="17"/>
        </w:rPr>
        <w:t>pip install -r requirements.txt</w:t>
        <w:br/>
        <w:t>python main.py                      # 数据（缓存）→ 股票池 → 评分 → 回测 → 图表 → 报告</w:t>
        <w:br/>
        <w:t>python scripts/generate_research_report.py   # 本研究报告（含归因、HSMO 复现、DOCX）</w:t>
        <w:br/>
        <w:t>python -m pytest tests               # 19 个单元测试</w:t>
      </w:r>
    </w:p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10.2 主要输出文件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文件</w:t>
            </w:r>
          </w:p>
        </w:tc>
        <w:tc>
          <w:tcPr>
            <w:tcW w:type="dxa" w:w="4986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output/scores/YYYY-MM-DD.csv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每个参考日全部沪深300成分股的资格、动量、Z 分数、Momentum Score、排名、权重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output/holdings/YYYY-MM-DD.csv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每次实施的成分股与权重（</w:t>
            </w:r>
            <w:r>
              <w:rPr>
                <w:rFonts w:ascii="Consolas" w:hAnsi="Consolas" w:eastAsia="PingFang SC"/>
                <w:color w:val="8B1A1A"/>
                <w:sz w:val="17"/>
              </w:rPr>
              <w:t>_pending</w:t>
            </w:r>
            <w:r>
              <w:rPr>
                <w:rFonts w:ascii="Calibri" w:hAnsi="Calibri" w:eastAsia="PingFang SC"/>
                <w:sz w:val="18"/>
              </w:rPr>
              <w:t xml:space="preserve"> 为尚未实施）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output/performance/index_levels.csv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日频指数点位：沪深300、策略（费前 / 费后）、全收益版本（起点 100；</w:t>
            </w:r>
            <w:r>
              <w:rPr>
                <w:rFonts w:ascii="Consolas" w:hAnsi="Consolas" w:eastAsia="PingFang SC"/>
                <w:color w:val="8B1A1A"/>
                <w:sz w:val="17"/>
              </w:rPr>
              <w:t>index_levels_base1000.csv</w:t>
            </w:r>
            <w:r>
              <w:rPr>
                <w:rFonts w:ascii="Calibri" w:hAnsi="Calibri" w:eastAsia="PingFang SC"/>
                <w:sz w:val="18"/>
              </w:rPr>
              <w:t xml:space="preserve"> 为 1000 起点）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output/performance/strategy_ohlc.csv / csi300_ohlc.csv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日 OHLC（策略 Volume 留空）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output/performance/summary.csv, annual_returns.csv, market_cycles.csv, momentum_crashes.csv, rebalance_summary.csv, eligibility_audit.csv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统计与审计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output/research/*.csv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本报告的归因、HSMO 复现、集中度、漏斗、持续性、行业暴露等分析表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output/charts/*.png, output/charts/research/*.png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全部图表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data/processed/csi300_membership_intervals.csv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点位成分股区间表（949 只证券）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color w:val="1F2A44"/>
          <w:sz w:val="24"/>
        </w:rPr>
        <w:t>10.3 参数表（config.yaml，未做任何收益导向调整）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参数</w:t>
            </w:r>
          </w:p>
        </w:tc>
        <w:tc>
          <w:tcPr>
            <w:tcW w:type="dxa" w:w="4986"/>
            <w:shd w:val="clear" w:color="auto" w:fill="E8EEF6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sz w:val="18"/>
              </w:rPr>
              <w:t>取值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Financial Viability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最近一季 &gt; 0 且最近四季合计 &gt; 0；字段 CONTINUED_NETPROFIT → NETPROFIT；公告日 ≤ 参考日；不合理公告日 → 法定截止日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动量窗口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参考日前 13 个月 → 前 1 个月；最少 150 个交易日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Z 分数截断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±3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选样比例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合格股票的 20%（四舍五入）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缓冲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前 80% 自动入选；现成分股 120% 以内保留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权重上限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min(9%, 20 × 母指数权重)；无可行解时倍数逐步 +1（本次运行未触发）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调仓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2 / 8 月最后一个交易日参考；3 / 9 月第三个星期五收盘后实施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成本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佣金 / 印花税 / 过户费按历史制度；冲击成本固定 0.10% 每边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指数基点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sz w:val="18"/>
              </w:rPr>
              <w:t>1000（Growth-of-¥100 序列另按 100 重设）</w:t>
            </w:r>
          </w:p>
        </w:tc>
      </w:tr>
    </w:tbl>
    <w:p/>
    <w:p>
      <w:pPr>
        <w:spacing w:after="120"/>
      </w:pPr>
      <w:r>
        <w:rPr>
          <w:rFonts w:ascii="Calibri" w:hAnsi="Calibri" w:eastAsia="PingFang SC"/>
          <w:i/>
          <w:sz w:val="21"/>
        </w:rPr>
        <w:t>*本报告仅为历史回测研究，不构成投资建议。历史表现不代表未来收益。*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