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Editors,</w:t>
      </w:r>
      <w:r>
        <w:t xml:space="preserve"> </w:t>
      </w:r>
      <w:r>
        <w:rPr>
          <w:i/>
          <w:iCs/>
        </w:rPr>
        <w:t xml:space="preserve">Journal of Cheminformatics</w:t>
      </w:r>
      <w:r>
        <w:t xml:space="preserve">:</w:t>
      </w:r>
    </w:p>
    <w:p>
      <w:pPr>
        <w:pStyle w:val="BodyText"/>
      </w:pPr>
      <w:r>
        <w:t xml:space="preserve">Please find enclosed the manuscript</w:t>
      </w:r>
      <w:r>
        <w:t xml:space="preserve"> </w:t>
      </w:r>
      <w:r>
        <w:rPr>
          <w:b/>
          <w:bCs/>
        </w:rPr>
        <w:t xml:space="preserve">“Learning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H and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rPr>
          <w:b/>
          <w:bCs/>
        </w:rPr>
        <w:t xml:space="preserve">C</w:t>
      </w:r>
      <w:r>
        <w:rPr>
          <w:b/>
          <w:bCs/>
        </w:rPr>
        <w:t xml:space="preserve"> </w:t>
      </w:r>
      <w:r>
        <w:rPr>
          <w:b/>
          <w:bCs/>
        </w:rPr>
        <w:t xml:space="preserve">NMR chemical shifts jointly from unassigned 2-D HSQC peak sets”</w:t>
      </w:r>
      <w:r>
        <w:t xml:space="preserve">,</w:t>
      </w:r>
      <w:r>
        <w:t xml:space="preserve"> </w:t>
      </w:r>
      <w:r>
        <w:t xml:space="preserve">which I am submitting as a research article (methodology) for</w:t>
      </w:r>
      <w:r>
        <w:t xml:space="preserve"> </w:t>
      </w:r>
      <w:r>
        <w:t xml:space="preserve">consideration in</w:t>
      </w:r>
      <w:r>
        <w:t xml:space="preserve"> </w:t>
      </w:r>
      <w:r>
        <w:rPr>
          <w:i/>
          <w:iCs/>
        </w:rPr>
        <w:t xml:space="preserve">Journal of Cheminformatics</w:t>
      </w:r>
      <w:r>
        <w:t xml:space="preserve">.</w:t>
      </w:r>
    </w:p>
    <w:p>
      <w:pPr>
        <w:pStyle w:val="BodyText"/>
      </w:pPr>
      <w:r>
        <w:t xml:space="preserve">Predicting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and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NMR chemical shifts from a molecular</w:t>
      </w:r>
      <w:r>
        <w:t xml:space="preserve"> </w:t>
      </w:r>
      <w:r>
        <w:t xml:space="preserve">graph is a core cheminformatics task. The general feasibility of</w:t>
      </w:r>
      <w:r>
        <w:t xml:space="preserve"> </w:t>
      </w:r>
      <w:r>
        <w:t xml:space="preserve">using unassigned 2-D HSQC peak sets as permutation-invariant set</w:t>
      </w:r>
      <w:r>
        <w:t xml:space="preserve"> </w:t>
      </w:r>
      <w:r>
        <w:t xml:space="preserve">supervision for joint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/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prediction was recently</w:t>
      </w:r>
      <w:r>
        <w:t xml:space="preserve"> </w:t>
      </w:r>
      <w:r>
        <w:t xml:space="preserve">established in concurrent work by</w:t>
      </w:r>
      <w:r>
        <w:t xml:space="preserve"> </w:t>
      </w:r>
      <w:r>
        <w:rPr>
          <w:b/>
          <w:bCs/>
        </w:rPr>
        <w:t xml:space="preserve">Jin et al., arXiv:2601.18524</w:t>
      </w:r>
      <w:r>
        <w:rPr>
          <w:b/>
          <w:bCs/>
        </w:rPr>
        <w:t xml:space="preserve"> </w:t>
      </w:r>
      <w:r>
        <w:rPr>
          <w:b/>
          <w:bCs/>
        </w:rPr>
        <w:t xml:space="preserve">(January 2026)</w:t>
      </w:r>
      <w:r>
        <w:t xml:space="preserve">, via exact Hungarian bipartite matching on millions</w:t>
      </w:r>
      <w:r>
        <w:t xml:space="preserve"> </w:t>
      </w:r>
      <w:r>
        <w:t xml:space="preserve">of literature-extracted spectra. The present manuscript does not</w:t>
      </w:r>
      <w:r>
        <w:t xml:space="preserve"> </w:t>
      </w:r>
      <w:r>
        <w:t xml:space="preserve">claim priority on that formulation; it contributes four technical</w:t>
      </w:r>
      <w:r>
        <w:t xml:space="preserve"> </w:t>
      </w:r>
      <w:r>
        <w:t xml:space="preserve">and statistical advances that Jin et al. do not report on, all</w:t>
      </w:r>
      <w:r>
        <w:t xml:space="preserve"> </w:t>
      </w:r>
      <w:r>
        <w:t xml:space="preserve">specifically relevant to small-scale, chemistry-driven deployment.</w:t>
      </w:r>
    </w:p>
    <w:p>
      <w:pPr>
        <w:pStyle w:val="BodyText"/>
      </w:pPr>
      <w:r>
        <w:t xml:space="preserve">First, a</w:t>
      </w:r>
      <w:r>
        <w:t xml:space="preserve"> </w:t>
      </w:r>
      <w:r>
        <w:rPr>
          <w:b/>
          <w:bCs/>
        </w:rPr>
        <w:t xml:space="preserve">Bonferroni-corrected split-conformal calibration</w:t>
      </w:r>
      <w:r>
        <w:t xml:space="preserve"> </w:t>
      </w:r>
      <w:r>
        <w:t xml:space="preserve">that</w:t>
      </w:r>
      <w:r>
        <w:t xml:space="preserve"> </w:t>
      </w:r>
      <w:r>
        <w:t xml:space="preserve">delivers a rigorous</w:t>
      </w:r>
      <w:r>
        <w:t xml:space="preserve"> </w:t>
      </w:r>
      <m:oMath>
        <m:r>
          <m:t>94.8</m:t>
        </m:r>
        <m:r>
          <m:rPr>
            <m:sty m:val="p"/>
          </m:rPr>
          <m:t>%</m:t>
        </m:r>
      </m:oMath>
      <w:r>
        <w:t xml:space="preserve"> </w:t>
      </w:r>
      <w:r>
        <w:t xml:space="preserve">molecule-level coverage guarantee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alongside per-atom coverage of</w:t>
      </w:r>
      <w:r>
        <w:t xml:space="preserve"> </w:t>
      </w:r>
      <m:oMath>
        <m:r>
          <m:t>95.2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96.7</m:t>
        </m:r>
        <m:r>
          <m:rPr>
            <m:sty m:val="p"/>
          </m:rPr>
          <m:t>%</m:t>
        </m:r>
      </m:oMath>
      <w:r>
        <w:t xml:space="preserve">.</w:t>
      </w:r>
      <w:r>
        <w:t xml:space="preserve"> </w:t>
      </w:r>
      <w:r>
        <w:t xml:space="preserve">We are not aware of a prior NMR chemical-shift predictor that ships</w:t>
      </w:r>
      <w:r>
        <w:t xml:space="preserve"> </w:t>
      </w:r>
      <w:r>
        <w:t xml:space="preserve">with a formal molecule-level uncertainty certificate.</w:t>
      </w:r>
    </w:p>
    <w:p>
      <w:pPr>
        <w:pStyle w:val="BodyText"/>
      </w:pPr>
      <w:r>
        <w:t xml:space="preserve">Second, a</w:t>
      </w:r>
      <w:r>
        <w:t xml:space="preserve"> </w:t>
      </w:r>
      <w:r>
        <w:rPr>
          <w:b/>
          <w:bCs/>
        </w:rPr>
        <w:t xml:space="preserve">causal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H-zeroing audit</w:t>
      </w:r>
      <w:r>
        <w:t xml:space="preserve"> </w:t>
      </w:r>
      <w:r>
        <w:t xml:space="preserve">that rules out gradient</w:t>
      </w:r>
      <w:r>
        <w:t xml:space="preserve"> </w:t>
      </w:r>
      <w:r>
        <w:t xml:space="preserve">leakage from the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head as the source of the weakly</w:t>
      </w:r>
      <w:r>
        <w:t xml:space="preserve"> </w:t>
      </w:r>
      <w:r>
        <w:t xml:space="preserve">supervised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signal: zeroing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coordinate of every</w:t>
      </w:r>
      <w:r>
        <w:t xml:space="preserve"> </w:t>
      </w:r>
      <w:r>
        <w:t xml:space="preserve">HSQC training target collapses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error from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ppm to</w:t>
      </w:r>
      <w:r>
        <w:t xml:space="preserve"> </w:t>
      </w:r>
      <m:oMath>
        <m:r>
          <m:t>4.69</m:t>
        </m:r>
      </m:oMath>
      <w:r>
        <w:t xml:space="preserve"> </w:t>
      </w:r>
      <w:r>
        <w:t xml:space="preserve">ppm, while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is unchanged. This localizes the</w:t>
      </w:r>
      <w:r>
        <w:t xml:space="preserve"> </w:t>
      </w:r>
      <w:r>
        <w:t xml:space="preserve">supervision at the HSQC target itself.</w:t>
      </w:r>
    </w:p>
    <w:p>
      <w:pPr>
        <w:pStyle w:val="BodyText"/>
      </w:pPr>
      <w:r>
        <w:t xml:space="preserve">Third, a</w:t>
      </w:r>
      <w:r>
        <w:t xml:space="preserve"> </w:t>
      </w:r>
      <w:r>
        <w:rPr>
          <w:b/>
          <w:bCs/>
        </w:rPr>
        <w:t xml:space="preserve">sliced sort-match loss</w:t>
      </w:r>
      <w:r>
        <w:t xml:space="preserve"> </w:t>
      </w:r>
      <w:r>
        <w:t xml:space="preserve">—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sliced-Wasserstein construction that replaces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exact</w:t>
      </w:r>
      <w:r>
        <w:t xml:space="preserve"> </w:t>
      </w:r>
      <w:r>
        <w:t xml:space="preserve">Hungarian update, batchable through</w:t>
      </w:r>
      <w:r>
        <w:t xml:space="preserve"> </w:t>
      </w:r>
      <w:r>
        <w:rPr>
          <w:rStyle w:val="VerbatimChar"/>
        </w:rPr>
        <w:t xml:space="preserve">torch.sort</w:t>
      </w:r>
      <w:r>
        <w:t xml:space="preserve">, with a</w:t>
      </w:r>
      <w:r>
        <w:t xml:space="preserve"> </w:t>
      </w:r>
      <w:r>
        <w:t xml:space="preserve">self-contained proof of the underlying 1-D sort-match theorem in</w:t>
      </w:r>
      <w:r>
        <w:t xml:space="preserve"> </w:t>
      </w:r>
      <w:r>
        <w:t xml:space="preserve">Supplementary S8.</w:t>
      </w:r>
    </w:p>
    <w:p>
      <w:pPr>
        <w:pStyle w:val="BodyText"/>
      </w:pPr>
      <w:r>
        <w:t xml:space="preserve">Fourth, an</w:t>
      </w:r>
      <w:r>
        <w:t xml:space="preserve"> </w:t>
      </w:r>
      <w:r>
        <w:rPr>
          <w:b/>
          <w:bCs/>
        </w:rPr>
        <w:t xml:space="preserve">explicit constitutional-isomer discrimination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</w:t>
      </w:r>
      <w:r>
        <w:t xml:space="preserve">: a 3.5-fold correct-to-wrong discrimination ratio on</w:t>
      </w:r>
      <w:r>
        <w:t xml:space="preserve"> </w:t>
      </w:r>
      <w:r>
        <w:t xml:space="preserve">the hardest (same-formula, different-connectivity) control,</w:t>
      </w:r>
      <w:r>
        <w:t xml:space="preserve"> </w:t>
      </w:r>
      <w:r>
        <w:t xml:space="preserve">positioned as a natural-product dereplication ranker and</w:t>
      </w:r>
      <w:r>
        <w:t xml:space="preserve"> </w:t>
      </w:r>
      <w:r>
        <w:t xml:space="preserve">explicitly flagged as insufficient for standalone accept/reject.</w:t>
      </w:r>
    </w:p>
    <w:p>
      <w:pPr>
        <w:pStyle w:val="BodyText"/>
      </w:pPr>
      <w:r>
        <w:t xml:space="preserve">On a 1,542-molecule NMRShiftDB2 filtered subset, with only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atom-assigned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labels and HSQC peak lists for the remaining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, the model reaches</w:t>
      </w:r>
      <w:r>
        <w:t xml:space="preserve"> </w:t>
      </w:r>
      <m:oMath>
        <m:r>
          <m:t>4.53</m:t>
        </m:r>
        <m:r>
          <m:rPr>
            <m:sty m:val="p"/>
          </m:rPr>
          <m:t>±</m:t>
        </m:r>
        <m:r>
          <m:t>0.11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and</w:t>
      </w:r>
      <w:r>
        <w:t xml:space="preserve"> </w:t>
      </w:r>
      <m:oMath>
        <m:r>
          <m:t>0.35</m:t>
        </m:r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ppm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test MAE</w:t>
      </w:r>
      <w:r>
        <w:t xml:space="preserve"> </w:t>
      </w:r>
      <w:r>
        <w:rPr>
          <w:i/>
          <w:iCs/>
        </w:rPr>
        <w:t xml:space="preserve">without ever seeing an</w:t>
      </w:r>
      <w:r>
        <w:rPr>
          <w:i/>
          <w:iCs/>
        </w:rPr>
        <w:t xml:space="preserve"> </w:t>
      </w:r>
      <w:r>
        <w:rPr>
          <w:i/>
          <w:iCs/>
        </w:rPr>
        <w:t xml:space="preserve">atom-assigned</w:t>
      </w:r>
      <w:r>
        <w:rPr>
          <w:i/>
          <w:i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i/>
          <w:iCs/>
        </w:rPr>
        <w:t xml:space="preserve">H label</w:t>
      </w:r>
      <w:r>
        <w:t xml:space="preserve">. The absolute accuracy sits behind</w:t>
      </w:r>
      <w:r>
        <w:t xml:space="preserve"> </w:t>
      </w:r>
      <w:r>
        <w:t xml:space="preserve">both NMRNet and Jin et al. by roughly the ratio of training-corpus</w:t>
      </w:r>
      <w:r>
        <w:t xml:space="preserve"> </w:t>
      </w:r>
      <w:r>
        <w:t xml:space="preserve">sizes, as expected; the contributions of this paper are orthogonal</w:t>
      </w:r>
      <w:r>
        <w:t xml:space="preserve"> </w:t>
      </w:r>
      <w:r>
        <w:t xml:space="preserve">to that scale gap.</w:t>
      </w:r>
    </w:p>
    <w:p>
      <w:pPr>
        <w:pStyle w:val="BodyText"/>
      </w:pPr>
      <w:r>
        <w:t xml:space="preserve">This work fits</w:t>
      </w:r>
      <w:r>
        <w:t xml:space="preserve"> </w:t>
      </w:r>
      <w:r>
        <w:rPr>
          <w:i/>
          <w:iCs/>
        </w:rPr>
        <w:t xml:space="preserve">Journal of Cheminformatics</w:t>
      </w:r>
      <w:r>
        <w:t xml:space="preserve"> </w:t>
      </w:r>
      <w:r>
        <w:t xml:space="preserve">for three reasons.</w:t>
      </w:r>
      <w:r>
        <w:t xml:space="preserve"> </w:t>
      </w:r>
      <w:r>
        <w:t xml:space="preserve">First, the problem — extracting weak supervision from unassigned</w:t>
      </w:r>
      <w:r>
        <w:t xml:space="preserve"> </w:t>
      </w:r>
      <w:r>
        <w:t xml:space="preserve">literature spectra with statistical guarantees — is a</w:t>
      </w:r>
      <w:r>
        <w:t xml:space="preserve"> </w:t>
      </w:r>
      <w:r>
        <w:t xml:space="preserve">cheminformatics problem that would lose chemical context in a pure</w:t>
      </w:r>
      <w:r>
        <w:t xml:space="preserve"> </w:t>
      </w:r>
      <w:r>
        <w:t xml:space="preserve">machine-learning venue. Second, the entire pipeline is fully</w:t>
      </w:r>
      <w:r>
        <w:t xml:space="preserve"> </w:t>
      </w:r>
      <w:r>
        <w:t xml:space="preserve">traceable: code, dataset filters, trained checkpoints, conformal</w:t>
      </w:r>
      <w:r>
        <w:t xml:space="preserve"> </w:t>
      </w:r>
      <w:r>
        <w:t xml:space="preserve">quantile tables, per-seed result JSONs, and figure-generation</w:t>
      </w:r>
      <w:r>
        <w:t xml:space="preserve"> </w:t>
      </w:r>
      <w:r>
        <w:t xml:space="preserve">scripts are archived at the submission-frozen git tag</w:t>
      </w:r>
      <w:r>
        <w:t xml:space="preserve"> </w:t>
      </w:r>
      <w:r>
        <w:rPr>
          <w:rStyle w:val="VerbatimChar"/>
        </w:rPr>
        <w:t xml:space="preserve">v2.0-jin-revision</w:t>
      </w:r>
      <w:r>
        <w:t xml:space="preserve"> </w:t>
      </w:r>
      <w:r>
        <w:t xml:space="preserve">of</w:t>
      </w:r>
      <w:r>
        <w:t xml:space="preserve"> </w:t>
      </w:r>
      <w:r>
        <w:t xml:space="preserve"> </w:t>
      </w:r>
      <w:r>
        <w:t xml:space="preserve">under the</w:t>
      </w:r>
      <w:r>
        <w:t xml:space="preserve"> </w:t>
      </w:r>
      <w:r>
        <w:t xml:space="preserve">MIT license (software) and CC-BY 4.0 (documentation), with an</w:t>
      </w:r>
      <w:r>
        <w:t xml:space="preserve"> </w:t>
      </w:r>
      <w:r>
        <w:t xml:space="preserve">explicit table-and-figure-to-script artefact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docs/paper_final/ARTIFACT_MAP.md</w:t>
      </w:r>
      <w:r>
        <w:t xml:space="preserve">). Third, honest limitations —</w:t>
      </w:r>
      <w:r>
        <w:t xml:space="preserve"> </w:t>
      </w:r>
      <w:r>
        <w:t xml:space="preserve">validation on NMRShiftDB2-derived HSQC rather than scraped</w:t>
      </w:r>
      <w:r>
        <w:t xml:space="preserve"> </w:t>
      </w:r>
      <w:r>
        <w:t xml:space="preserve">literature peak lists, absolute accuracy below both Jin et al.</w:t>
      </w:r>
      <w:r>
        <w:t xml:space="preserve"> </w:t>
      </w:r>
      <w:r>
        <w:t xml:space="preserve">and NMRNet, and the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false-positive rate against</w:t>
      </w:r>
      <w:r>
        <w:t xml:space="preserve"> </w:t>
      </w:r>
      <w:r>
        <w:t xml:space="preserve">constitutional isomers — are reported up front in the manuscript</w:t>
      </w:r>
      <w:r>
        <w:t xml:space="preserve"> </w:t>
      </w:r>
      <w:r>
        <w:t xml:space="preserve">rather than buried.</w:t>
      </w:r>
    </w:p>
    <w:p>
      <w:pPr>
        <w:pStyle w:val="BodyText"/>
      </w:pPr>
      <w:r>
        <w:t xml:space="preserve">The manuscript has not been published elsewhere and is not under</w:t>
      </w:r>
      <w:r>
        <w:t xml:space="preserve"> </w:t>
      </w:r>
      <w:r>
        <w:t xml:space="preserve">consideration at any other journal. I declare no competing</w:t>
      </w:r>
      <w:r>
        <w:t xml:space="preserve"> </w:t>
      </w:r>
      <w:r>
        <w:t xml:space="preserve">interests and received no external funding. The work involves no</w:t>
      </w:r>
      <w:r>
        <w:t xml:space="preserve"> </w:t>
      </w:r>
      <w:r>
        <w:t xml:space="preserve">human or animal subjects. Code and drafts were developed with AI</w:t>
      </w:r>
      <w:r>
        <w:t xml:space="preserve"> </w:t>
      </w:r>
      <w:r>
        <w:t xml:space="preserve">assistance (Anthropic Claude Opus 4.6) under my direction; each</w:t>
      </w:r>
      <w:r>
        <w:t xml:space="preserve"> </w:t>
      </w:r>
      <w:r>
        <w:t xml:space="preserve">headline number in the paper is traceable through the artefact</w:t>
      </w:r>
      <w:r>
        <w:t xml:space="preserve"> </w:t>
      </w:r>
      <w:r>
        <w:t xml:space="preserve">map to a specific script, seed, and result JSON at the</w:t>
      </w:r>
      <w:r>
        <w:t xml:space="preserve"> </w:t>
      </w:r>
      <w:r>
        <w:t xml:space="preserve">submission-frozen git tag.</w:t>
      </w:r>
    </w:p>
    <w:p>
      <w:pPr>
        <w:pStyle w:val="BodyText"/>
      </w:pPr>
      <w:r>
        <w:t xml:space="preserve">Thank you for considering this submission.</w:t>
      </w:r>
    </w:p>
    <w:p>
      <w:pPr>
        <w:pStyle w:val="BodyText"/>
      </w:pPr>
      <w:r>
        <w:t xml:space="preserve">Sincerely,\</w:t>
      </w:r>
      <w:r>
        <w:t xml:space="preserve"> </w:t>
      </w:r>
      <w:r>
        <w:t xml:space="preserve">Zhaohe Dong</w:t>
      </w:r>
      <w:r>
        <w:t xml:space="preserve"> 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2026-04-14T15:23:37Z</dcterms:created>
  <dcterms:modified xsi:type="dcterms:W3CDTF">2026-04-14T15:23:37Z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margin=0.85in</vt:lpwstr>
  </property>
  <property fmtid="{D5CDD505-2E9C-101B-9397-08002B2CF9AE}" pid="4" name="header-includes">
    <vt:lpwstr/>
  </property>
  <property fmtid="{D5CDD505-2E9C-101B-9397-08002B2CF9AE}" pid="5" name="linestretch">
    <vt:lpwstr>1</vt:lpwstr>
  </property>
</Properties>
</file>