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项目提案（中文版）</w:t>
      </w:r>
    </w:p>
    <w:p>
      <w:pPr>
        <w:pStyle w:val="Heading2"/>
      </w:pPr>
      <w:r>
        <w:t>项目标题</w:t>
      </w:r>
    </w:p>
    <w:p>
      <w:r>
        <w:t>自对弈 Mini-Chess 上的深度Q学习：DQN 与 Double DQN 的稳定性比较（5×5 完整棋子）</w:t>
      </w:r>
    </w:p>
    <w:p>
      <w:pPr>
        <w:pStyle w:val="Heading2"/>
      </w:pPr>
      <w:r>
        <w:t>成员</w:t>
      </w:r>
    </w:p>
    <w:p>
      <w:r>
        <w:t>1 人（独立完成）</w:t>
      </w:r>
    </w:p>
    <w:p>
      <w:pPr>
        <w:pStyle w:val="Heading2"/>
      </w:pPr>
      <w:r>
        <w:t>1. Problem Description</w:t>
      </w:r>
    </w:p>
    <w:p>
      <w:r>
        <w:t>本项目在 5×5 Gardner Mini-Chess（每方 10 个棋子：K/Q/R/B/N/5P）上训练自对弈智能体，并系统比较 DQN 与 Double DQN 在对抗环境中的收敛行为与稳定性。完整 8×8 国际象棋通常需要大规模自对弈与搜索（如 MCTS）以及更高算力支持。考虑到本项目为单人完成且硬件资源有限（RTX 4060 Laptop GPU），选用 5×5 Mini-Chess 作为规模可控但仍保留博弈结构的实验平台。</w:t>
      </w:r>
    </w:p>
    <w:p>
      <w:r>
        <w:t>该问题可形式化为双人零和、回合制、确定性 episodic 博弈。从学习者视角看，自对弈带来非平稳训练分布。</w:t>
      </w:r>
    </w:p>
    <w:p>
      <w:r>
        <w:t>状态表示采用 12 通道 one-hot 平面编码（我方/对方 × {K,Q,R,B,N,P}），尺寸为 5×5。动作空间固定为 625（from-square × to-square），并使用合法动作 mask 屏蔽非法走法。奖励仅包含终局奖励（胜 +1，负 −1，和 0），不使用吃子 shaping；设置最大步数（如 80/100）以避免循环。</w:t>
      </w:r>
    </w:p>
    <w:p>
      <w:r>
        <w:t>Gardner 5×5 已被弱求解（博弈值为和棋），但存在先手优势。为减轻偏置，训练与评估阶段均交替执先，并分别报告双方胜率。本项目关注算法训练行为差异，而非追求最优博弈解。</w:t>
      </w:r>
    </w:p>
    <w:p>
      <w:pPr>
        <w:pStyle w:val="Heading2"/>
      </w:pPr>
      <w:r>
        <w:t>2. Algorithms</w:t>
      </w:r>
    </w:p>
    <w:p>
      <w:r>
        <w:t>本项目比较两种算法，均由本人基于 PyTorch 实现（使用 GPU 加速）：</w:t>
      </w:r>
    </w:p>
    <w:p>
      <w:r>
        <w:t>1) DQN：使用经验回放（replay buffer）、目标网络（target network）与 ε-greedy 探索。在动作选择与 max 运算中应用合法动作 mask。自对弈采用冻结对手机制：对手网络每 K 局从当前网络复制一次，在此期间保持不变。</w:t>
      </w:r>
    </w:p>
    <w:p>
      <w:r>
        <w:t>2) Double DQN：在 DQN 框架基础上，将 TD target 中的动作选择与动作评估分离，以缓解过估计偏差，提高训练稳定性。</w:t>
      </w:r>
    </w:p>
    <w:p>
      <w:r>
        <w:t>两种方法除 target 计算外保持完全一致，构成控制变量实验。</w:t>
      </w:r>
    </w:p>
    <w:p>
      <w:pPr>
        <w:pStyle w:val="Heading2"/>
      </w:pPr>
      <w:r>
        <w:t>3. Results</w:t>
      </w:r>
    </w:p>
    <w:p>
      <w:r>
        <w:t>预期 Double DQN 在学习曲线稳定性与不同随机种子下的收敛一致性方面优于 DQN。DQN 可能出现更明显的 Q 值过估计与训练震荡。</w:t>
      </w:r>
    </w:p>
    <w:p>
      <w:r>
        <w:t>比较指标包括：（1）胜率随训练步数变化；（2）平均回报曲线；（3）不同随机种子下的方差；（4）对随机与固定启发式对手的胜率。</w:t>
      </w:r>
    </w:p>
    <w:p>
      <w:r>
        <w:t>潜在风险包括终局奖励稀疏与自对弈非平稳性导致收敛缓慢。若完整 5×5 难以获得稳定结果，将退回方案A（K+R+3P）或缩小至 4×4 棋盘，以保证能展示 DQN 与 Double DQN 的稳定性差异。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