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项目提案</w:t>
      </w:r>
    </w:p>
    <w:p>
      <w:pPr>
        <w:pStyle w:val="Heading2"/>
      </w:pPr>
      <w:r>
        <w:t>标题</w:t>
      </w:r>
    </w:p>
    <w:p>
      <w:r>
        <w:t>Mini-Chess中DQN、Double DQN与MCTS比较</w:t>
      </w:r>
    </w:p>
    <w:p>
      <w:pPr>
        <w:pStyle w:val="Heading2"/>
      </w:pPr>
      <w:r>
        <w:t>1. 问题描述</w:t>
      </w:r>
    </w:p>
    <w:p>
      <w:r>
        <w:t>使用5×5 Mini-Chess，one-hot状态，625动作，终局奖励，自对弈训练。</w:t>
      </w:r>
    </w:p>
    <w:p>
      <w:pPr>
        <w:pStyle w:val="Heading2"/>
      </w:pPr>
      <w:r>
        <w:t>2. 算法</w:t>
      </w:r>
    </w:p>
    <w:p>
      <w:r>
        <w:t>DQN为baseline，Double DQN为改进。</w:t>
      </w:r>
    </w:p>
    <w:p>
      <w:r>
        <w:t>加入plain MCTS（random rollout）作为规划方法，不需要训练。</w:t>
      </w:r>
    </w:p>
    <w:p>
      <w:pPr>
        <w:pStyle w:val="Heading2"/>
      </w:pPr>
      <w:r>
        <w:t>3. 结果</w:t>
      </w:r>
    </w:p>
    <w:p>
      <w:r>
        <w:t>比较三种方法在胜率、回报和稳定性上的表现。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