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</w:t>
      </w:r>
    </w:p>
    <w:p>
      <w:pPr>
        <w:pStyle w:val="Heading2"/>
      </w:pPr>
      <w:r>
        <w:t>Title</w:t>
      </w:r>
    </w:p>
    <w:p>
      <w:r>
        <w:t>Deep Q-Learning and Planning in Self-Play Mini-Chess: A Comparison between DQN, Double DQN, and MCTS</w:t>
      </w:r>
    </w:p>
    <w:p>
      <w:pPr>
        <w:pStyle w:val="Heading2"/>
      </w:pPr>
      <w:r>
        <w:t>Team (1 person)</w:t>
      </w:r>
    </w:p>
    <w:p>
      <w:r>
        <w:t>Zhenkang Dong</w:t>
      </w:r>
    </w:p>
    <w:p>
      <w:pPr>
        <w:pStyle w:val="Heading2"/>
      </w:pPr>
      <w:r>
        <w:t>1. Problem Description</w:t>
      </w:r>
    </w:p>
    <w:p>
      <w:r>
        <w:t>This project trains a self-play agent in 5×5 Gardner Mini-Chess and compares DQN and Double DQN. The environment uses an open-source rule engine. States are 12-channel one-hot, actions are 625 with masking, and rewards are terminal only. Alternating starting sides mitigates bias.</w:t>
      </w:r>
    </w:p>
    <w:p>
      <w:pPr>
        <w:pStyle w:val="Heading2"/>
      </w:pPr>
      <w:r>
        <w:t>2. Algorithms</w:t>
      </w:r>
    </w:p>
    <w:p>
      <w:r>
        <w:t>DQN serves as the baseline. Double DQN improves stability under identical settings.</w:t>
      </w:r>
    </w:p>
    <w:p>
      <w:r>
        <w:t>In addition, plain MCTS is included as a planning-based baseline. It uses random rollout (random legal moves until termination) to estimate outcomes and does not require training.</w:t>
      </w:r>
    </w:p>
    <w:p>
      <w:pPr>
        <w:pStyle w:val="Heading2"/>
      </w:pPr>
      <w:r>
        <w:t>3. Results</w:t>
      </w:r>
    </w:p>
    <w:p>
      <w:r>
        <w:t>Compare DQN, Double DQN, and MCTS using win rate, return, and variance. Also compare learning vs planning under fixed compute budgets.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