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Proposal (English Version)</w:t>
      </w:r>
    </w:p>
    <w:p>
      <w:pPr>
        <w:pStyle w:val="Heading2"/>
      </w:pPr>
      <w:r>
        <w:t>Title</w:t>
      </w:r>
    </w:p>
    <w:p>
      <w:r>
        <w:t>Deep Q-Learning in Self-Play Mini-Chess: A Stability Comparison between DQN and Double DQN (5×5, Full Pieces)</w:t>
      </w:r>
    </w:p>
    <w:p>
      <w:pPr>
        <w:pStyle w:val="Heading2"/>
      </w:pPr>
      <w:r>
        <w:t>Team</w:t>
      </w:r>
    </w:p>
    <w:p>
      <w:r>
        <w:t>1 student (solo project)</w:t>
      </w:r>
    </w:p>
    <w:p>
      <w:pPr>
        <w:pStyle w:val="Heading2"/>
      </w:pPr>
      <w:r>
        <w:t>1. Problem Description</w:t>
      </w:r>
    </w:p>
    <w:p>
      <w:r>
        <w:t>This project trains a self-play agent in 5×5 Gardner Mini-Chess (10 pieces per side) and compares DQN and Double DQN in terms of convergence behavior and stability. Full 8×8 chess requires significantly higher computational resources; therefore, Mini-Chess is selected as a computationally feasible yet strategically rich domain.</w:t>
      </w:r>
    </w:p>
    <w:p>
      <w:r>
        <w:t>States are encoded as 12-channel one-hot planes. The action space is fixed to 625 actions (from-square × to-square) with legal-action masking. Rewards are terminal only (+1 win, −1 loss, 0 draw), with a move limit to prevent infinite games.</w:t>
      </w:r>
    </w:p>
    <w:p>
      <w:r>
        <w:t>Gardner 5×5 has been weakly solved (game-theoretic value: draw), though first-move advantage exists. Training and evaluation alternate starting sides and report win rates separately.</w:t>
      </w:r>
    </w:p>
    <w:p>
      <w:pPr>
        <w:pStyle w:val="Heading2"/>
      </w:pPr>
      <w:r>
        <w:t>2. Algorithms</w:t>
      </w:r>
    </w:p>
    <w:p>
      <w:r>
        <w:t>Two algorithms implemented from scratch in PyTorch with GPU acceleration:</w:t>
      </w:r>
    </w:p>
    <w:p>
      <w:r>
        <w:t>1) DQN: replay buffer, target network, ε-greedy exploration, frozen opponent self-play.</w:t>
      </w:r>
    </w:p>
    <w:p>
      <w:r>
        <w:t>2) Double DQN: decoupled action selection and evaluation to reduce overestimation bias.</w:t>
      </w:r>
    </w:p>
    <w:p>
      <w:r>
        <w:t>Both methods share identical architectures and training budgets; only the target computation differs.</w:t>
      </w:r>
    </w:p>
    <w:p>
      <w:pPr>
        <w:pStyle w:val="Heading2"/>
      </w:pPr>
      <w:r>
        <w:t>3. Results</w:t>
      </w:r>
    </w:p>
    <w:p>
      <w:r>
        <w:t>Double DQN is expected to demonstrate improved stability and lower variance across seeds. Comparisons include win-rate curves, average return, and robustness analysis.</w:t>
      </w:r>
    </w:p>
    <w:p>
      <w:r>
        <w:t>If convergence is insufficient, the project will fall back to a reduced piece configuration (K+R+3P) or a 4×4 board setting.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