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8C219">
      <w:pPr>
        <w:pStyle w:val="3"/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ascii="Times New Roman" w:eastAsia="微软雅黑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项目建议书</w:t>
      </w:r>
    </w:p>
    <w:p w14:paraId="364C3B42">
      <w:pPr>
        <w:pStyle w:val="4"/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ajorHAnsi" w:cstheme="majorBidi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标题</w:t>
      </w:r>
    </w:p>
    <w:p w14:paraId="3BA44E03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自玩迷你象棋中的深度Q学习： DQN 与双 DQN 的稳定性比较</w:t>
      </w:r>
    </w:p>
    <w:p w14:paraId="637DB3B6">
      <w:pPr>
        <w:pStyle w:val="4"/>
        <w:rPr>
          <w:rFonts w:hint="default" w:eastAsia="宋体"/>
          <w:lang w:val="en-US" w:eastAsia="zh-CN"/>
        </w:rPr>
      </w:pPr>
      <w:r>
        <w:rPr>
          <w:rFonts w:hint="eastAsia" w:ascii="Times New Roman" w:eastAsia="微软雅黑" w:hAnsiTheme="majorHAnsi" w:cstheme="majorBidi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团队（1人）</w:t>
      </w:r>
    </w:p>
    <w:p w14:paraId="1C8F6DEE">
      <w:pPr>
        <w:rPr>
          <w:rFonts w:hint="default" w:eastAsia="宋体"/>
          <w:lang w:val="en-US"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东振康</w:t>
      </w:r>
    </w:p>
    <w:p w14:paraId="36666A03">
      <w:pPr>
        <w:pStyle w:val="4"/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ajorHAnsi" w:cstheme="majorBidi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1. 问题描述</w:t>
      </w:r>
    </w:p>
    <w:p w14:paraId="6CC2C12F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本项目训练一个在5×5加德纳迷你国际象棋（每方10枚棋子：K/Q/R/B/N/5P）中进行自走棋的智能体，并在收敛行为和稳定性方面对 DQN 与双 DQN 进行对照研究。完整的8×8国际象棋通常需要大规模的自走棋和搜索（如 MCTS），这需要大量计算资源。鉴于硬件资源有限（RTX 4060笔记本电脑GPU）且项目规模较小，选择5×5迷你国际象棋作为计算量可控且策略丰富的研究领域。</w:t>
      </w:r>
    </w:p>
    <w:p w14:paraId="41F05747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该问题被表述为一个双人、零和、确定性的情景博弈。从学习者的视角来看，自玩机制引入了非平稳的训练动态。</w:t>
      </w:r>
    </w:p>
    <w:p w14:paraId="7A6FDB2C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各状态以5×5的12通道独热编码平面表示（己方/对手×{K，Q，R，B，N，P}）。动作空间包含625个合法动作（从方格×到方格），并采用合法动作屏蔽机制。奖励仅限终局状态（+1胜、-1负、0和），不涉及物质形态变化。通过设置移动次数上限（如80/100）防止无限循环。</w:t>
      </w:r>
    </w:p>
    <w:p w14:paraId="1E14C9B1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尽管存在先手优势，但Gardner 5×5棋局的博弈论解法仍不明确（解法：和棋）。为消除偏倚，训练与评估过程中交替使用不同开局，且各开局的胜率分别报告。本研究旨在比较学习行为而非实现最优解法。</w:t>
      </w:r>
    </w:p>
    <w:p w14:paraId="08685D23">
      <w:pPr>
        <w:pStyle w:val="4"/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ajorHAnsi" w:cstheme="majorBidi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2. 算法</w:t>
      </w:r>
    </w:p>
    <w:p w14:paraId="2F7EE1EF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在PyTorch中从头开始实现了两种算法，并采用GPU加速：</w:t>
      </w:r>
    </w:p>
    <w:p w14:paraId="76E10213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1) DQN ：回放缓冲区、目标网络、 ε 贪婪探索和冻结对手自玩。在动作选择和目标计算过程中应用合法动作掩码。</w:t>
      </w:r>
    </w:p>
    <w:p w14:paraId="6D545C4A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2)双重 DQN ：采用相同框架，但在TD目标计算中解耦动作选择与评估，以减少高估偏差并提升稳定性。</w:t>
      </w:r>
    </w:p>
    <w:p w14:paraId="04254D1B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该比较在相同架构和训练预算条件下，分离出目标估计的影响。</w:t>
      </w:r>
    </w:p>
    <w:p w14:paraId="033975F5">
      <w:pPr>
        <w:pStyle w:val="4"/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ajorHAnsi" w:cstheme="majorBidi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3. 结果</w:t>
      </w:r>
    </w:p>
    <w:p w14:paraId="61E5B413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双 DQN 预计能产生更稳定的学习曲线，并降低随机种子间的方差。 DQN 可能表现出更强的高估倾向和振荡行为。</w:t>
      </w:r>
    </w:p>
    <w:p w14:paraId="5C5696BA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评估指标包括训练期间的胜率曲线、平均回报率、种子差异度，以及与随机对手和启发式对手的对比评估。</w:t>
      </w:r>
    </w:p>
    <w:p w14:paraId="58D8396F">
      <w:pPr>
        <w:rPr>
          <w:rFonts w:hint="eastAsia" w:eastAsia="宋体"/>
          <w:lang w:eastAsia="zh-CN"/>
        </w:rPr>
      </w:pPr>
      <w:r>
        <w:rPr>
          <w:rFonts w:hint="eastAsia" w:ascii="Times New Roman" w:eastAsia="微软雅黑" w:hAnsiTheme="minorHAnsi" w:cstheme="minorBidi"/>
          <w:sz w:val="22"/>
          <w:szCs w:val="22"/>
          <w:lang w:val="en-US" w:eastAsia="zh-CN" w:bidi="ar-SA"/>
        </w:rPr>
        <w:t>风险包括终端奖励稀疏及自玩导致的不稳定性。若收敛性不足，项目将退回到简化棋子配置（K+R+3P）或4×4棋盘，以确保算法差异的可验证性。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documentProtection w:edit="readOnly"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413BFB"/>
    <w:rsid w:val="6868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358</Words>
  <Characters>2224</Characters>
  <Lines>0</Lines>
  <Paragraphs>0</Paragraphs>
  <TotalTime>1</TotalTime>
  <ScaleCrop>false</ScaleCrop>
  <LinksUpToDate>false</LinksUpToDate>
  <CharactersWithSpaces>2563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WPS_1765068494</cp:lastModifiedBy>
  <dcterms:modified xsi:type="dcterms:W3CDTF">2026-02-25T01:55:58Z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eyJoZGlkIjoiM2E1ZDk3OTY4OTJmODcwNjRmZGI5YTljNjkxNTVkM2UiLCJ1c2VySWQiOiIxNzc5NTQyNTE3In0=</vt:lpwstr>
  </property>
  <property fmtid="{D5CDD505-2E9C-101B-9397-08002B2CF9AE}" pid="3" name="KSOProductBuildVer">
    <vt:lpwstr>2052-12.1.0.25225</vt:lpwstr>
  </property>
  <property fmtid="{D5CDD505-2E9C-101B-9397-08002B2CF9AE}" pid="4" name="ICV">
    <vt:lpwstr>D9175AA09C244E348BFFDDC01B99045A_12</vt:lpwstr>
  </property>
</Properties>
</file>