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E3FC3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吸收促进剂的虚拟筛选与活性预测</w:t>
      </w:r>
    </w:p>
    <w:p w14:paraId="6C899AF2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解决难度：</w:t>
      </w: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★★☆☆☆</w:t>
      </w:r>
    </w:p>
    <w:p w14:paraId="481BEF6B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核心理由：小分子虚拟筛选是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药物研发的传统强项，技术成熟度极高。</w:t>
      </w:r>
    </w:p>
    <w:p w14:paraId="753CDFF4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问题本质：从数百万个小分子中筛选出能可逆打开紧密连接、与司美格鲁肽形成稳定复合物且毒性低的吸收促进剂。</w:t>
      </w:r>
    </w:p>
    <w:p w14:paraId="0085B453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能做什么：</w:t>
      </w:r>
    </w:p>
    <w:p w14:paraId="68871A99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基于结构的虚拟筛选：用分子对接和分子动力学模拟预测小分子与紧密连接蛋白（</w:t>
      </w:r>
      <w:r>
        <w:rPr>
          <w:rFonts w:ascii="Helvetica" w:hAnsi="Helvetica"/>
          <w:sz w:val="32"/>
          <w:szCs w:val="32"/>
          <w:rtl w:val="0"/>
          <w:lang w:val="en-US"/>
        </w:rPr>
        <w:t>occludin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、</w:t>
      </w:r>
      <w:r>
        <w:rPr>
          <w:rFonts w:ascii="Helvetica" w:hAnsi="Helvetica"/>
          <w:sz w:val="32"/>
          <w:szCs w:val="32"/>
          <w:rtl w:val="0"/>
          <w:lang w:val="it-IT"/>
        </w:rPr>
        <w:t>claudin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）的结合能力</w:t>
      </w:r>
    </w:p>
    <w:p w14:paraId="32AB2406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基于配体的虚拟筛选：用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QSAR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模型和生成</w:t>
      </w:r>
      <w:bookmarkStart w:id="0" w:name="_GoBack"/>
      <w:bookmarkEnd w:id="0"/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式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设计新型吸收促进剂，优化其脂溶性、</w:t>
      </w:r>
      <w:r>
        <w:rPr>
          <w:rFonts w:ascii="Helvetica" w:hAnsi="Helvetica"/>
          <w:sz w:val="32"/>
          <w:szCs w:val="32"/>
          <w:rtl w:val="0"/>
        </w:rPr>
        <w:t xml:space="preserve">pKa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和毒性</w:t>
      </w:r>
    </w:p>
    <w:p w14:paraId="521A66D1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预测吸收促进剂与司美格鲁肽的复合物稳定性，筛选比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更高效的替代物</w:t>
      </w:r>
    </w:p>
    <w:p w14:paraId="496DBCFF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现有基础：已有大量吸收促进剂的实验数据可用于训练模型；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AlphaFold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已解析了绝大多数紧密连接蛋白的三维结构</w:t>
      </w:r>
    </w:p>
    <w:p w14:paraId="62B23265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决定做这个方向。</w:t>
      </w:r>
    </w:p>
    <w:p w14:paraId="1CCD8242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主流方向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</w:t>
      </w:r>
    </w:p>
    <w:p w14:paraId="0C38D662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</w:rPr>
        <w:t xml:space="preserve">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衍生物与结构类似物的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优化（仿制药企业首选）</w:t>
      </w:r>
    </w:p>
    <w:p w14:paraId="01545450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研究地位：当前绝对主流方向，全球</w:t>
      </w:r>
      <w:r>
        <w:rPr>
          <w:rFonts w:ascii="Helvetica" w:hAnsi="Helvetica"/>
          <w:sz w:val="32"/>
          <w:szCs w:val="32"/>
          <w:rtl w:val="0"/>
        </w:rPr>
        <w:t xml:space="preserve"> 90%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以上的司美格鲁肽仿制药企业都在做。原研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专利已过期（</w:t>
      </w:r>
      <w:r>
        <w:rPr>
          <w:rFonts w:ascii="Helvetica" w:hAnsi="Helvetica"/>
          <w:sz w:val="32"/>
          <w:szCs w:val="32"/>
          <w:rtl w:val="0"/>
        </w:rPr>
        <w:t xml:space="preserve">2025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年），且其作用机制已被</w:t>
      </w:r>
      <w:r>
        <w:rPr>
          <w:rFonts w:ascii="Helvetica" w:hAnsi="Helvetica"/>
          <w:sz w:val="32"/>
          <w:szCs w:val="32"/>
          <w:rtl w:val="0"/>
        </w:rPr>
        <w:t xml:space="preserve"> 2025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年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fr-FR"/>
        </w:rPr>
        <w:t xml:space="preserve">Nature Communications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论文完全解析。</w:t>
      </w:r>
    </w:p>
    <w:p w14:paraId="1044A406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核心解决的胃吸收难点：</w:t>
      </w:r>
    </w:p>
    <w:p w14:paraId="2C726004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</w:rPr>
        <w:t xml:space="preserve">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用量过大（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300mg /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片）导致的胃肠道副作用</w:t>
      </w:r>
    </w:p>
    <w:p w14:paraId="548033E1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</w:rPr>
        <w:t xml:space="preserve">SNAC -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司美格鲁肽复合物稳定性差</w:t>
      </w:r>
    </w:p>
    <w:p w14:paraId="67232AAB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局部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pH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微环境维持时间短（仅</w:t>
      </w:r>
      <w:r>
        <w:rPr>
          <w:rFonts w:ascii="Helvetica" w:hAnsi="Helvetica"/>
          <w:sz w:val="32"/>
          <w:szCs w:val="32"/>
          <w:rtl w:val="0"/>
        </w:rPr>
        <w:t xml:space="preserve"> 15-30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分钟）</w:t>
      </w:r>
    </w:p>
    <w:p w14:paraId="5FC1F92A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极强的食物效应</w:t>
      </w:r>
    </w:p>
    <w:p w14:paraId="6FBE4C1E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技术路线：</w:t>
      </w:r>
    </w:p>
    <w:p w14:paraId="000D5E93">
      <w:pPr>
        <w:pStyle w:val="6"/>
        <w:framePr w:hRule="auto" w:wrap="auto" w:vAnchor="margin" w:hAnchor="text" w:yAlign="inline"/>
        <w:numPr>
          <w:ilvl w:val="0"/>
          <w:numId w:val="2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基于配体的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QSAR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模型：训练已发表的</w:t>
      </w:r>
      <w:r>
        <w:rPr>
          <w:rFonts w:ascii="Helvetica" w:hAnsi="Helvetica"/>
          <w:sz w:val="32"/>
          <w:szCs w:val="32"/>
          <w:rtl w:val="0"/>
        </w:rPr>
        <w:t xml:space="preserve"> 100 +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类似物的活性数据，建立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ru-RU"/>
        </w:rPr>
        <w:t>"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结构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-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促渗活性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-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毒性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"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预测模型</w:t>
      </w:r>
    </w:p>
    <w:p w14:paraId="0C4173DE">
      <w:pPr>
        <w:pStyle w:val="6"/>
        <w:framePr w:hRule="auto" w:wrap="auto" w:vAnchor="margin" w:hAnchor="text" w:yAlign="inline"/>
        <w:numPr>
          <w:ilvl w:val="0"/>
          <w:numId w:val="2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ja-JP" w:eastAsia="ja-JP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生成式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分子设计：以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为母核，定向改造三个关键结构域：</w:t>
      </w:r>
    </w:p>
    <w:p w14:paraId="2339D214">
      <w:pPr>
        <w:pStyle w:val="6"/>
        <w:framePr w:hRule="auto" w:wrap="auto" w:vAnchor="margin" w:hAnchor="text" w:yAlign="inline"/>
        <w:numPr>
          <w:ilvl w:val="1"/>
          <w:numId w:val="3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烷基链长度（原研为</w:t>
      </w:r>
      <w:r>
        <w:rPr>
          <w:rFonts w:ascii="Helvetica" w:hAnsi="Helvetica"/>
          <w:sz w:val="32"/>
          <w:szCs w:val="32"/>
          <w:rtl w:val="0"/>
        </w:rPr>
        <w:t xml:space="preserve"> C8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，优化范围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>C6-C12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）</w:t>
      </w:r>
    </w:p>
    <w:p w14:paraId="5714DFA3">
      <w:pPr>
        <w:pStyle w:val="6"/>
        <w:framePr w:hRule="auto" w:wrap="auto" w:vAnchor="margin" w:hAnchor="text" w:yAlign="inline"/>
        <w:numPr>
          <w:ilvl w:val="1"/>
          <w:numId w:val="3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TW" w:eastAsia="zh-TW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苯环取代基（羟基、甲氧基、卤素等）</w:t>
      </w:r>
    </w:p>
    <w:p w14:paraId="301E3EC1">
      <w:pPr>
        <w:pStyle w:val="6"/>
        <w:framePr w:hRule="auto" w:wrap="auto" w:vAnchor="margin" w:hAnchor="text" w:yAlign="inline"/>
        <w:numPr>
          <w:ilvl w:val="1"/>
          <w:numId w:val="3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酰胺键连接方式</w:t>
      </w:r>
    </w:p>
    <w:p w14:paraId="499A0DB1">
      <w:pPr>
        <w:pStyle w:val="6"/>
        <w:framePr w:hRule="auto" w:wrap="auto" w:vAnchor="margin" w:hAnchor="text" w:yAlign="inline"/>
        <w:numPr>
          <w:ilvl w:val="0"/>
          <w:numId w:val="4"/>
        </w:numPr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42B430D8">
      <w:pPr>
        <w:pStyle w:val="6"/>
        <w:framePr w:hRule="auto" w:wrap="auto" w:vAnchor="margin" w:hAnchor="text" w:yAlign="inline"/>
        <w:numPr>
          <w:ilvl w:val="0"/>
          <w:numId w:val="2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分子动力学模拟：预测衍生物与司美格鲁肽的结合亲和力、复合物在</w:t>
      </w:r>
      <w:r>
        <w:rPr>
          <w:rFonts w:ascii="Helvetica" w:hAnsi="Helvetica"/>
          <w:sz w:val="32"/>
          <w:szCs w:val="32"/>
          <w:rtl w:val="0"/>
        </w:rPr>
        <w:t xml:space="preserve"> pH 6.0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条件下的稳定性，以及在细胞膜中的插入能力</w:t>
      </w:r>
    </w:p>
    <w:p w14:paraId="498CE85A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最新突破：</w:t>
      </w:r>
      <w:r>
        <w:rPr>
          <w:rFonts w:ascii="Helvetica" w:hAnsi="Helvetica"/>
          <w:sz w:val="32"/>
          <w:szCs w:val="32"/>
          <w:rtl w:val="0"/>
        </w:rPr>
        <w:t xml:space="preserve">2026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年</w:t>
      </w:r>
      <w:r>
        <w:rPr>
          <w:rFonts w:ascii="Helvetica" w:hAnsi="Helvetica"/>
          <w:sz w:val="32"/>
          <w:szCs w:val="32"/>
          <w:rtl w:val="0"/>
        </w:rPr>
        <w:t xml:space="preserve"> 5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月最新研究显示，将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的</w:t>
      </w:r>
      <w:r>
        <w:rPr>
          <w:rFonts w:ascii="Helvetica" w:hAnsi="Helvetica"/>
          <w:sz w:val="32"/>
          <w:szCs w:val="32"/>
          <w:rtl w:val="0"/>
        </w:rPr>
        <w:t xml:space="preserve"> C8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烷基链改为</w:t>
      </w:r>
      <w:r>
        <w:rPr>
          <w:rFonts w:ascii="Helvetica" w:hAnsi="Helvetica"/>
          <w:sz w:val="32"/>
          <w:szCs w:val="32"/>
          <w:rtl w:val="0"/>
        </w:rPr>
        <w:t xml:space="preserve"> C10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并在苯环对位引入氟原子，可使促渗活性提高</w:t>
      </w:r>
      <w:r>
        <w:rPr>
          <w:rFonts w:ascii="Helvetica" w:hAnsi="Helvetica"/>
          <w:sz w:val="32"/>
          <w:szCs w:val="32"/>
          <w:rtl w:val="0"/>
        </w:rPr>
        <w:t xml:space="preserve"> 2.3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倍，用量降至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100mg /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片，同时食物效应降低</w:t>
      </w:r>
      <w:r>
        <w:rPr>
          <w:rFonts w:ascii="Helvetica" w:hAnsi="Helvetica"/>
          <w:sz w:val="32"/>
          <w:szCs w:val="32"/>
          <w:rtl w:val="0"/>
        </w:rPr>
        <w:t xml:space="preserve"> 40%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。</w:t>
      </w:r>
    </w:p>
    <w:p w14:paraId="2DAD068E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优势：风险最低，数据最丰富，可直接沿用原研的临床路径，获批概率最高。</w:t>
      </w:r>
    </w:p>
    <w:p w14:paraId="3DBAF3A4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79FB0231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0BD2B516">
      <w:pPr>
        <w:pStyle w:val="6"/>
        <w:framePr w:hRule="auto" w:wrap="auto" w:vAnchor="margin" w:hAnchor="text" w:yAlign="inline"/>
        <w:suppressAutoHyphens/>
        <w:spacing w:before="0" w:line="240" w:lineRule="auto"/>
        <w:rPr>
          <w:rFonts w:ascii="Helvetica" w:hAnsi="Helvetica" w:eastAsia="Helvetica" w:cs="Helvetica"/>
          <w:outline w:val="0"/>
          <w:color w:val="000000"/>
          <w:sz w:val="32"/>
          <w:szCs w:val="32"/>
          <w:shd w:val="clear" w:color="auto" w:fill="000000"/>
          <w14:textFill>
            <w14:solidFill>
              <w14:srgbClr w14:val="000000">
                <w14:alpha w14:val="14901"/>
              </w14:srgbClr>
            </w14:solidFill>
          </w14:textFill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32"/>
          <w:szCs w:val="32"/>
          <w:shd w:val="clear" w:color="auto" w:fill="000000"/>
          <w:rtl w:val="0"/>
          <w:lang w:val="zh-CN" w:eastAsia="zh-CN"/>
          <w14:textFill>
            <w14:solidFill>
              <w14:srgbClr w14:val="000000">
                <w14:alpha w14:val="14901"/>
              </w14:srgbClr>
            </w14:solidFill>
          </w14:textFill>
        </w:rPr>
        <w:t>用什么实现：</w:t>
      </w:r>
    </w:p>
    <w:p w14:paraId="1B07EF4A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一、基于配体的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QSAR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模型：结构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-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促渗活性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ru-RU"/>
        </w:rPr>
        <w:t xml:space="preserve">-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毒性预测</w:t>
      </w:r>
    </w:p>
    <w:p w14:paraId="02CC2D33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核心目标</w:t>
      </w:r>
    </w:p>
    <w:p w14:paraId="5C3F80CF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建立可定量预测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衍生物体外促渗活性（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Caco-2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细胞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TEER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下降值</w:t>
      </w:r>
      <w:r>
        <w:rPr>
          <w:rFonts w:ascii="Helvetica" w:hAnsi="Helvetica"/>
          <w:sz w:val="32"/>
          <w:szCs w:val="32"/>
          <w:rtl w:val="0"/>
        </w:rPr>
        <w:t xml:space="preserve"> /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司美格鲁肽渗透系数）和细胞毒性（</w:t>
      </w:r>
      <w:r>
        <w:rPr>
          <w:rFonts w:ascii="Helvetica" w:hAnsi="Helvetica"/>
          <w:sz w:val="32"/>
          <w:szCs w:val="32"/>
          <w:rtl w:val="0"/>
        </w:rPr>
        <w:t>CC50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）的机器学习模型，快速筛选百万级化合物库。</w:t>
      </w:r>
    </w:p>
    <w:p w14:paraId="63300FC5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50F0C072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</w:rPr>
        <w:t xml:space="preserve">1.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工具栈（全部开源）</w:t>
      </w:r>
    </w:p>
    <w:p w14:paraId="2770FCB3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表格</w:t>
      </w:r>
    </w:p>
    <w:p w14:paraId="6B1346A9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47120EA8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0BEDC477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tbl>
      <w:tblPr>
        <w:tblStyle w:val="2"/>
        <w:tblW w:w="9638" w:type="dxa"/>
        <w:tblInd w:w="10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2028"/>
        <w:gridCol w:w="2281"/>
        <w:gridCol w:w="3549"/>
      </w:tblGrid>
      <w:tr w14:paraId="57675E11">
        <w:trPr>
          <w:trHeight w:val="447" w:hRule="atLeast"/>
        </w:trPr>
        <w:tc>
          <w:tcPr>
            <w:tcW w:w="17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24A7F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b/>
                <w:bCs/>
                <w:sz w:val="32"/>
                <w:szCs w:val="32"/>
                <w:rtl w:val="0"/>
              </w:rPr>
              <w:t>环节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71FC7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b/>
                <w:bCs/>
                <w:sz w:val="32"/>
                <w:szCs w:val="32"/>
                <w:rtl w:val="0"/>
              </w:rPr>
              <w:t>首选工具</w:t>
            </w:r>
          </w:p>
        </w:tc>
        <w:tc>
          <w:tcPr>
            <w:tcW w:w="22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DC078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b/>
                <w:bCs/>
                <w:sz w:val="32"/>
                <w:szCs w:val="32"/>
                <w:rtl w:val="0"/>
              </w:rPr>
              <w:t>备选工具</w:t>
            </w:r>
          </w:p>
        </w:tc>
        <w:tc>
          <w:tcPr>
            <w:tcW w:w="35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30E1C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b/>
                <w:bCs/>
                <w:sz w:val="32"/>
                <w:szCs w:val="32"/>
                <w:rtl w:val="0"/>
              </w:rPr>
              <w:t>优势说明</w:t>
            </w:r>
          </w:p>
        </w:tc>
      </w:tr>
      <w:tr w14:paraId="20EA052F">
        <w:trPr>
          <w:trHeight w:val="887" w:hRule="atLeast"/>
        </w:trPr>
        <w:tc>
          <w:tcPr>
            <w:tcW w:w="17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0EF7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分子处理与描述符计算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F4D4F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RDKit 2024.03+</w:t>
            </w:r>
          </w:p>
        </w:tc>
        <w:tc>
          <w:tcPr>
            <w:tcW w:w="22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4ACBF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OpenBabel, Mordred</w:t>
            </w:r>
          </w:p>
        </w:tc>
        <w:tc>
          <w:tcPr>
            <w:tcW w:w="35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80FFC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工业界标准，支持所有常用分子描述符和指纹</w:t>
            </w:r>
          </w:p>
        </w:tc>
      </w:tr>
      <w:tr w14:paraId="3B0065CA">
        <w:trPr>
          <w:trHeight w:val="887" w:hRule="atLeast"/>
        </w:trPr>
        <w:tc>
          <w:tcPr>
            <w:tcW w:w="17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B496A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数据集构建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CC8AD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ChEMBL 34, PubChem</w:t>
            </w:r>
          </w:p>
        </w:tc>
        <w:tc>
          <w:tcPr>
            <w:tcW w:w="22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F64FA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ChemSpider, ZINC15</w:t>
            </w:r>
          </w:p>
        </w:tc>
        <w:tc>
          <w:tcPr>
            <w:tcW w:w="35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2C3E4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 xml:space="preserve">包含已发表的 </w:t>
            </w:r>
            <w:r>
              <w:rPr>
                <w:rFonts w:ascii="Helvetica" w:hAnsi="Helvetica"/>
                <w:sz w:val="32"/>
                <w:szCs w:val="32"/>
                <w:rtl w:val="0"/>
              </w:rPr>
              <w:t xml:space="preserve">127 </w:t>
            </w:r>
            <w:r>
              <w:rPr>
                <w:rFonts w:hint="eastAsia" w:eastAsia="Helvetica"/>
                <w:sz w:val="32"/>
                <w:szCs w:val="32"/>
                <w:rtl w:val="0"/>
              </w:rPr>
              <w:t xml:space="preserve">个 </w:t>
            </w:r>
            <w:r>
              <w:rPr>
                <w:rFonts w:ascii="Helvetica" w:hAnsi="Helvetica"/>
                <w:sz w:val="32"/>
                <w:szCs w:val="32"/>
                <w:rtl w:val="0"/>
              </w:rPr>
              <w:t xml:space="preserve">SNAC </w:t>
            </w:r>
            <w:r>
              <w:rPr>
                <w:rFonts w:hint="eastAsia" w:eastAsia="Helvetica"/>
                <w:sz w:val="32"/>
                <w:szCs w:val="32"/>
                <w:rtl w:val="0"/>
              </w:rPr>
              <w:t>类似物活性数据</w:t>
            </w:r>
          </w:p>
        </w:tc>
      </w:tr>
      <w:tr w14:paraId="4C89B69D">
        <w:trPr>
          <w:trHeight w:val="767" w:hRule="atLeast"/>
        </w:trPr>
        <w:tc>
          <w:tcPr>
            <w:tcW w:w="17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AE36F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机器学习模型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0ADD5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XGBoost 2.0+, LightGBM</w:t>
            </w:r>
          </w:p>
        </w:tc>
        <w:tc>
          <w:tcPr>
            <w:tcW w:w="22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0279F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Random Forest, GraphSAGE</w:t>
            </w:r>
          </w:p>
        </w:tc>
        <w:tc>
          <w:tcPr>
            <w:tcW w:w="35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D7564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小数据集下表现最优，可解释性强</w:t>
            </w:r>
          </w:p>
        </w:tc>
      </w:tr>
      <w:tr w14:paraId="061D4A44">
        <w:trPr>
          <w:trHeight w:val="887" w:hRule="atLeast"/>
        </w:trPr>
        <w:tc>
          <w:tcPr>
            <w:tcW w:w="17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2988F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模型验证与可视化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A0B9A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Scikit-learn, SHAP</w:t>
            </w:r>
          </w:p>
        </w:tc>
        <w:tc>
          <w:tcPr>
            <w:tcW w:w="22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C82EE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Matplotlib, Seaborn</w:t>
            </w:r>
          </w:p>
        </w:tc>
        <w:tc>
          <w:tcPr>
            <w:tcW w:w="35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3DB98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提供特征重要性分析，指导后续分子改造</w:t>
            </w:r>
          </w:p>
        </w:tc>
      </w:tr>
      <w:tr w14:paraId="4032FF84">
        <w:trPr>
          <w:trHeight w:val="447" w:hRule="atLeast"/>
        </w:trPr>
        <w:tc>
          <w:tcPr>
            <w:tcW w:w="17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B87DD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代码框架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67FB5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Python 3.10+</w:t>
            </w:r>
          </w:p>
        </w:tc>
        <w:tc>
          <w:tcPr>
            <w:tcW w:w="22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BDBAA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PyTorch 2.2+</w:t>
            </w:r>
          </w:p>
        </w:tc>
        <w:tc>
          <w:tcPr>
            <w:tcW w:w="35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91524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 xml:space="preserve">生态最完善，易于集成后续生成式 </w:t>
            </w:r>
            <w:r>
              <w:rPr>
                <w:rFonts w:ascii="Helvetica" w:hAnsi="Helvetica"/>
                <w:sz w:val="32"/>
                <w:szCs w:val="32"/>
                <w:rtl w:val="0"/>
              </w:rPr>
              <w:t>AI</w:t>
            </w:r>
          </w:p>
        </w:tc>
      </w:tr>
    </w:tbl>
    <w:p w14:paraId="6696345A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7482497D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647A4D1F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</w:rPr>
        <w:t xml:space="preserve">2.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详细实现步骤</w:t>
      </w:r>
    </w:p>
    <w:p w14:paraId="7DFAC8D4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步骤</w:t>
      </w:r>
      <w:r>
        <w:rPr>
          <w:rFonts w:ascii="Helvetica" w:hAnsi="Helvetica"/>
          <w:sz w:val="32"/>
          <w:szCs w:val="32"/>
          <w:rtl w:val="0"/>
        </w:rPr>
        <w:t xml:space="preserve"> 1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：构建高质量训练数据集（最关键环节）</w:t>
      </w:r>
    </w:p>
    <w:p w14:paraId="19EB0815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核心数据源：</w:t>
      </w:r>
    </w:p>
    <w:p w14:paraId="1F1003B4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直接提取已发表论文中的</w:t>
      </w:r>
      <w:r>
        <w:rPr>
          <w:rFonts w:ascii="Helvetica" w:hAnsi="Helvetica"/>
          <w:sz w:val="32"/>
          <w:szCs w:val="32"/>
          <w:rtl w:val="0"/>
        </w:rPr>
        <w:t xml:space="preserve"> 127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类似物：重点收集</w:t>
      </w:r>
      <w:r>
        <w:rPr>
          <w:rFonts w:ascii="Helvetica" w:hAnsi="Helvetica"/>
          <w:sz w:val="32"/>
          <w:szCs w:val="32"/>
          <w:rtl w:val="0"/>
        </w:rPr>
        <w:t xml:space="preserve"> 2023-2026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年《</w:t>
      </w:r>
      <w:r>
        <w:rPr>
          <w:rFonts w:ascii="Helvetica" w:hAnsi="Helvetica"/>
          <w:sz w:val="32"/>
          <w:szCs w:val="32"/>
          <w:rtl w:val="0"/>
          <w:lang w:val="en-US"/>
        </w:rPr>
        <w:t>European Journal of Pharmaceutical Sciences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》《</w:t>
      </w:r>
      <w:r>
        <w:rPr>
          <w:rFonts w:ascii="Helvetica" w:hAnsi="Helvetica"/>
          <w:sz w:val="32"/>
          <w:szCs w:val="32"/>
          <w:rtl w:val="0"/>
          <w:lang w:val="en-US"/>
        </w:rPr>
        <w:t>Journal of Controlled Release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》上的数据集</w:t>
      </w:r>
    </w:p>
    <w:p w14:paraId="19FA486E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补充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a-DK"/>
        </w:rPr>
        <w:t xml:space="preserve">ChEMBL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中所有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"absorption enhancer"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标签的化合物（约</w:t>
      </w:r>
      <w:r>
        <w:rPr>
          <w:rFonts w:ascii="Helvetica" w:hAnsi="Helvetica"/>
          <w:sz w:val="32"/>
          <w:szCs w:val="32"/>
          <w:rtl w:val="0"/>
        </w:rPr>
        <w:t xml:space="preserve"> 2000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个）作为负样本</w:t>
      </w:r>
    </w:p>
    <w:p w14:paraId="09A63584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手动标注每个化合物的</w:t>
      </w:r>
      <w:r>
        <w:rPr>
          <w:rFonts w:ascii="Helvetica" w:hAnsi="Helvetica"/>
          <w:sz w:val="32"/>
          <w:szCs w:val="32"/>
          <w:rtl w:val="0"/>
        </w:rPr>
        <w:t xml:space="preserve">pKa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值、脂溶性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>logP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和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pH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缓冲能力（这三个是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类促进剂的关键属性）</w:t>
      </w:r>
    </w:p>
    <w:p w14:paraId="19233A19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46D6DD5C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数据清洗标准：</w:t>
      </w:r>
    </w:p>
    <w:p w14:paraId="54043407">
      <w:pPr>
        <w:pStyle w:val="6"/>
        <w:framePr w:hRule="auto" w:wrap="auto" w:vAnchor="margin" w:hAnchor="text" w:yAlign="inline"/>
        <w:numPr>
          <w:ilvl w:val="1"/>
          <w:numId w:val="7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去除重复结构和盐型</w:t>
      </w:r>
    </w:p>
    <w:p w14:paraId="0FA1BA49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统一用</w:t>
      </w:r>
      <w:r>
        <w:rPr>
          <w:rFonts w:ascii="Helvetica" w:hAnsi="Helvetica"/>
          <w:sz w:val="32"/>
          <w:szCs w:val="32"/>
          <w:rtl w:val="0"/>
        </w:rPr>
        <w:t xml:space="preserve"> RDKit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进行分子标准化（去电荷、加氢、生成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3D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构象）</w:t>
      </w:r>
    </w:p>
    <w:p w14:paraId="7E6A177E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剔除活性数据缺失或矛盾的化合物</w:t>
      </w:r>
    </w:p>
    <w:p w14:paraId="7B4BAE8C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40976AD1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最终数据集规模：约</w:t>
      </w:r>
      <w:r>
        <w:rPr>
          <w:rFonts w:ascii="Helvetica" w:hAnsi="Helvetica"/>
          <w:sz w:val="32"/>
          <w:szCs w:val="32"/>
          <w:rtl w:val="0"/>
        </w:rPr>
        <w:t xml:space="preserve"> 150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个有明确促渗活性的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类似物</w:t>
      </w:r>
      <w:r>
        <w:rPr>
          <w:rFonts w:ascii="Helvetica" w:hAnsi="Helvetica"/>
          <w:sz w:val="32"/>
          <w:szCs w:val="32"/>
          <w:rtl w:val="0"/>
        </w:rPr>
        <w:t xml:space="preserve"> + 2000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个阴性对照</w:t>
      </w:r>
    </w:p>
    <w:p w14:paraId="6B3B189F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步骤</w:t>
      </w:r>
      <w:r>
        <w:rPr>
          <w:rFonts w:ascii="Helvetica" w:hAnsi="Helvetica"/>
          <w:sz w:val="32"/>
          <w:szCs w:val="32"/>
          <w:rtl w:val="0"/>
        </w:rPr>
        <w:t xml:space="preserve"> 2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：特征工程（决定模型上限）</w:t>
      </w:r>
    </w:p>
    <w:p w14:paraId="4C648E15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计算以下三类特征，最终保留约</w:t>
      </w:r>
      <w:r>
        <w:rPr>
          <w:rFonts w:ascii="Helvetica" w:hAnsi="Helvetica"/>
          <w:sz w:val="32"/>
          <w:szCs w:val="32"/>
          <w:rtl w:val="0"/>
        </w:rPr>
        <w:t xml:space="preserve"> 200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个核心特征：</w:t>
      </w:r>
    </w:p>
    <w:p w14:paraId="31706993">
      <w:pPr>
        <w:pStyle w:val="6"/>
        <w:framePr w:hRule="auto" w:wrap="auto" w:vAnchor="margin" w:hAnchor="text" w:yAlign="inline"/>
        <w:numPr>
          <w:ilvl w:val="0"/>
          <w:numId w:val="8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基础理化特征（</w:t>
      </w:r>
      <w:r>
        <w:rPr>
          <w:rFonts w:ascii="Helvetica" w:hAnsi="Helvetica"/>
          <w:sz w:val="32"/>
          <w:szCs w:val="32"/>
          <w:rtl w:val="0"/>
        </w:rPr>
        <w:t xml:space="preserve">15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个）：分子量、</w:t>
      </w:r>
      <w:r>
        <w:rPr>
          <w:rFonts w:ascii="Helvetica" w:hAnsi="Helvetica"/>
          <w:sz w:val="32"/>
          <w:szCs w:val="32"/>
          <w:rtl w:val="0"/>
          <w:lang w:val="de-DE"/>
        </w:rPr>
        <w:t>logP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、</w:t>
      </w:r>
      <w:r>
        <w:rPr>
          <w:rFonts w:ascii="Helvetica" w:hAnsi="Helvetica"/>
          <w:sz w:val="32"/>
          <w:szCs w:val="32"/>
          <w:rtl w:val="0"/>
        </w:rPr>
        <w:t>pKa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、氢键供体</w:t>
      </w:r>
      <w:r>
        <w:rPr>
          <w:rFonts w:ascii="Helvetica" w:hAnsi="Helvetica"/>
          <w:sz w:val="32"/>
          <w:szCs w:val="32"/>
          <w:rtl w:val="0"/>
        </w:rPr>
        <w:t xml:space="preserve"> /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受体数、拓扑极性表面积（</w:t>
      </w:r>
      <w:r>
        <w:rPr>
          <w:rFonts w:ascii="Helvetica" w:hAnsi="Helvetica"/>
          <w:sz w:val="32"/>
          <w:szCs w:val="32"/>
          <w:rtl w:val="0"/>
        </w:rPr>
        <w:t>TPSA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）、可旋转键数</w:t>
      </w:r>
    </w:p>
    <w:p w14:paraId="7D77BF9D">
      <w:pPr>
        <w:pStyle w:val="6"/>
        <w:framePr w:hRule="auto" w:wrap="auto" w:vAnchor="margin" w:hAnchor="text" w:yAlign="inline"/>
        <w:numPr>
          <w:ilvl w:val="0"/>
          <w:numId w:val="8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分子指纹（</w:t>
      </w:r>
      <w:r>
        <w:rPr>
          <w:rFonts w:ascii="Helvetica" w:hAnsi="Helvetica"/>
          <w:sz w:val="32"/>
          <w:szCs w:val="32"/>
          <w:rtl w:val="0"/>
        </w:rPr>
        <w:t xml:space="preserve">128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位）：</w:t>
      </w:r>
      <w:r>
        <w:rPr>
          <w:rFonts w:ascii="Helvetica" w:hAnsi="Helvetica"/>
          <w:sz w:val="32"/>
          <w:szCs w:val="32"/>
          <w:rtl w:val="0"/>
          <w:lang w:val="fr-FR"/>
        </w:rPr>
        <w:t xml:space="preserve">ECFP4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指纹（半径</w:t>
      </w:r>
      <w:r>
        <w:rPr>
          <w:rFonts w:ascii="Helvetica" w:hAnsi="Helvetica"/>
          <w:sz w:val="32"/>
          <w:szCs w:val="32"/>
          <w:rtl w:val="0"/>
        </w:rPr>
        <w:t xml:space="preserve"> 2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，长度</w:t>
      </w:r>
      <w:r>
        <w:rPr>
          <w:rFonts w:ascii="Helvetica" w:hAnsi="Helvetica"/>
          <w:sz w:val="32"/>
          <w:szCs w:val="32"/>
          <w:rtl w:val="0"/>
        </w:rPr>
        <w:t xml:space="preserve"> 128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），最适合结构相似性预测</w:t>
      </w:r>
    </w:p>
    <w:p w14:paraId="342BB1C0">
      <w:pPr>
        <w:pStyle w:val="6"/>
        <w:framePr w:hRule="auto" w:wrap="auto" w:vAnchor="margin" w:hAnchor="text" w:yAlign="inline"/>
        <w:numPr>
          <w:ilvl w:val="0"/>
          <w:numId w:val="8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定制化特征（</w:t>
      </w:r>
      <w:r>
        <w:rPr>
          <w:rFonts w:ascii="Helvetica" w:hAnsi="Helvetica"/>
          <w:sz w:val="32"/>
          <w:szCs w:val="32"/>
          <w:rtl w:val="0"/>
        </w:rPr>
        <w:t xml:space="preserve">20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个）：针对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类分子设计的专属特征</w:t>
      </w:r>
    </w:p>
    <w:p w14:paraId="4C2F4636">
      <w:pPr>
        <w:pStyle w:val="6"/>
        <w:framePr w:hRule="auto" w:wrap="auto" w:vAnchor="margin" w:hAnchor="text" w:yAlign="inline"/>
        <w:numPr>
          <w:ilvl w:val="1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烷基链碳原子数</w:t>
      </w:r>
    </w:p>
    <w:p w14:paraId="32369FD3">
      <w:pPr>
        <w:pStyle w:val="6"/>
        <w:framePr w:hRule="auto" w:wrap="auto" w:vAnchor="margin" w:hAnchor="text" w:yAlign="inline"/>
        <w:numPr>
          <w:ilvl w:val="1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苯环取代基数量和位置</w:t>
      </w:r>
    </w:p>
    <w:p w14:paraId="61ACA6D6">
      <w:pPr>
        <w:pStyle w:val="6"/>
        <w:framePr w:hRule="auto" w:wrap="auto" w:vAnchor="margin" w:hAnchor="text" w:yAlign="inline"/>
        <w:numPr>
          <w:ilvl w:val="1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酰胺键的电子云密度</w:t>
      </w:r>
    </w:p>
    <w:p w14:paraId="4B57BF81">
      <w:pPr>
        <w:pStyle w:val="6"/>
        <w:framePr w:hRule="auto" w:wrap="auto" w:vAnchor="margin" w:hAnchor="text" w:yAlign="inline"/>
        <w:numPr>
          <w:ilvl w:val="1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分子偶极矩</w:t>
      </w:r>
    </w:p>
    <w:p w14:paraId="51A09D58">
      <w:pPr>
        <w:pStyle w:val="6"/>
        <w:framePr w:hRule="auto" w:wrap="auto" w:vAnchor="margin" w:hAnchor="text" w:yAlign="inline"/>
        <w:numPr>
          <w:ilvl w:val="0"/>
          <w:numId w:val="9"/>
        </w:numPr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2C8FE4D8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步骤</w:t>
      </w:r>
      <w:r>
        <w:rPr>
          <w:rFonts w:ascii="Helvetica" w:hAnsi="Helvetica"/>
          <w:sz w:val="32"/>
          <w:szCs w:val="32"/>
          <w:rtl w:val="0"/>
        </w:rPr>
        <w:t xml:space="preserve"> 3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：模型训练与验证</w:t>
      </w:r>
    </w:p>
    <w:p w14:paraId="2B7054DA">
      <w:pPr>
        <w:pStyle w:val="6"/>
        <w:framePr w:hRule="auto" w:wrap="auto" w:vAnchor="margin" w:hAnchor="text" w:yAlign="inline"/>
        <w:suppressAutoHyphens/>
        <w:spacing w:before="0" w:line="240" w:lineRule="auto"/>
        <w:jc w:val="center"/>
        <w:rPr>
          <w:rFonts w:ascii="Helvetica" w:hAnsi="Helvetica" w:eastAsia="Helvetica" w:cs="Helvetica"/>
          <w:sz w:val="28"/>
          <w:szCs w:val="28"/>
        </w:rPr>
      </w:pPr>
    </w:p>
    <w:p w14:paraId="3C9B852C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hint="eastAsia" w:ascii="Helvetica" w:hAnsi="Helvetica" w:eastAsia="宋体" w:cs="Helvetica"/>
          <w:sz w:val="32"/>
          <w:szCs w:val="32"/>
          <w:lang w:eastAsia="zh-CN"/>
        </w:rPr>
      </w:pPr>
    </w:p>
    <w:p w14:paraId="5075719D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模型性能要求：促渗活性预测</w:t>
      </w:r>
      <w:r>
        <w:rPr>
          <w:rFonts w:ascii="Helvetica" w:hAnsi="Helvetica"/>
          <w:sz w:val="32"/>
          <w:szCs w:val="32"/>
          <w:rtl w:val="0"/>
        </w:rPr>
        <w:t xml:space="preserve"> R</w:t>
      </w:r>
      <w:r>
        <w:rPr>
          <w:rFonts w:hint="default" w:ascii="Helvetica" w:hAnsi="Helvetica"/>
          <w:sz w:val="32"/>
          <w:szCs w:val="32"/>
          <w:rtl w:val="0"/>
        </w:rPr>
        <w:t>²≥</w:t>
      </w:r>
      <w:r>
        <w:rPr>
          <w:rFonts w:ascii="Helvetica" w:hAnsi="Helvetica"/>
          <w:sz w:val="32"/>
          <w:szCs w:val="32"/>
          <w:rtl w:val="0"/>
        </w:rPr>
        <w:t>0.85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，毒性预测</w:t>
      </w:r>
      <w:r>
        <w:rPr>
          <w:rFonts w:ascii="Helvetica" w:hAnsi="Helvetica"/>
          <w:sz w:val="32"/>
          <w:szCs w:val="32"/>
          <w:rtl w:val="0"/>
        </w:rPr>
        <w:t xml:space="preserve"> R</w:t>
      </w:r>
      <w:r>
        <w:rPr>
          <w:rFonts w:hint="default" w:ascii="Helvetica" w:hAnsi="Helvetica"/>
          <w:sz w:val="32"/>
          <w:szCs w:val="32"/>
          <w:rtl w:val="0"/>
        </w:rPr>
        <w:t>²≥</w:t>
      </w:r>
      <w:r>
        <w:rPr>
          <w:rFonts w:ascii="Helvetica" w:hAnsi="Helvetica"/>
          <w:sz w:val="32"/>
          <w:szCs w:val="32"/>
          <w:rtl w:val="0"/>
        </w:rPr>
        <w:t>0.80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，达到工业级应用标准</w:t>
      </w:r>
    </w:p>
    <w:p w14:paraId="0161FDF5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验证方法：</w:t>
      </w:r>
      <w:r>
        <w:rPr>
          <w:rFonts w:ascii="Helvetica" w:hAnsi="Helvetica"/>
          <w:sz w:val="32"/>
          <w:szCs w:val="32"/>
          <w:rtl w:val="0"/>
        </w:rPr>
        <w:t xml:space="preserve">5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折交叉验证</w:t>
      </w:r>
      <w:r>
        <w:rPr>
          <w:rFonts w:ascii="Helvetica" w:hAnsi="Helvetica"/>
          <w:sz w:val="32"/>
          <w:szCs w:val="32"/>
          <w:rtl w:val="0"/>
        </w:rPr>
        <w:t xml:space="preserve"> +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外部测试集验证（预留</w:t>
      </w:r>
      <w:r>
        <w:rPr>
          <w:rFonts w:ascii="Helvetica" w:hAnsi="Helvetica"/>
          <w:sz w:val="32"/>
          <w:szCs w:val="32"/>
          <w:rtl w:val="0"/>
        </w:rPr>
        <w:t xml:space="preserve"> 20%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未参与训练的已知活性化合物）</w:t>
      </w:r>
    </w:p>
    <w:p w14:paraId="11D5A151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步骤</w:t>
      </w:r>
      <w:r>
        <w:rPr>
          <w:rFonts w:ascii="Helvetica" w:hAnsi="Helvetica"/>
          <w:sz w:val="32"/>
          <w:szCs w:val="32"/>
          <w:rtl w:val="0"/>
        </w:rPr>
        <w:t xml:space="preserve"> 4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：大规模虚拟筛选</w:t>
      </w:r>
    </w:p>
    <w:p w14:paraId="21A9E669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用训练好的模型对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ZINC15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数据库中</w:t>
      </w:r>
      <w:r>
        <w:rPr>
          <w:rFonts w:ascii="Helvetica" w:hAnsi="Helvetica"/>
          <w:sz w:val="32"/>
          <w:szCs w:val="32"/>
          <w:rtl w:val="0"/>
        </w:rPr>
        <w:t xml:space="preserve">1000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万</w:t>
      </w:r>
      <w:r>
        <w:rPr>
          <w:rFonts w:ascii="Helvetica" w:hAnsi="Helvetica"/>
          <w:sz w:val="32"/>
          <w:szCs w:val="32"/>
          <w:rtl w:val="0"/>
        </w:rPr>
        <w:t xml:space="preserve"> +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类药小分子进行批量预测</w:t>
      </w:r>
    </w:p>
    <w:p w14:paraId="63DF9C36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筛选标准：</w:t>
      </w:r>
    </w:p>
    <w:p w14:paraId="532549E6">
      <w:pPr>
        <w:pStyle w:val="6"/>
        <w:framePr w:hRule="auto" w:wrap="auto" w:vAnchor="margin" w:hAnchor="text" w:yAlign="inline"/>
        <w:numPr>
          <w:ilvl w:val="1"/>
          <w:numId w:val="10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促渗活性预测值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&gt;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原研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的</w:t>
      </w:r>
      <w:r>
        <w:rPr>
          <w:rFonts w:ascii="Helvetica" w:hAnsi="Helvetica"/>
          <w:sz w:val="32"/>
          <w:szCs w:val="32"/>
          <w:rtl w:val="0"/>
        </w:rPr>
        <w:t xml:space="preserve"> 1.5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倍</w:t>
      </w:r>
    </w:p>
    <w:p w14:paraId="77938922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细胞毒性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CC50 &gt; 1000 </w:t>
      </w:r>
      <w:r>
        <w:rPr>
          <w:rFonts w:hint="default" w:ascii="Helvetica" w:hAnsi="Helvetica"/>
          <w:sz w:val="32"/>
          <w:szCs w:val="32"/>
          <w:rtl w:val="0"/>
        </w:rPr>
        <w:t>μ</w:t>
      </w:r>
      <w:r>
        <w:rPr>
          <w:rFonts w:ascii="Helvetica" w:hAnsi="Helvetica"/>
          <w:sz w:val="32"/>
          <w:szCs w:val="32"/>
          <w:rtl w:val="0"/>
        </w:rPr>
        <w:t>M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（比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更安全）</w:t>
      </w:r>
    </w:p>
    <w:p w14:paraId="1C727276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</w:rPr>
        <w:t xml:space="preserve">pKa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值在</w:t>
      </w:r>
      <w:r>
        <w:rPr>
          <w:rFonts w:ascii="Helvetica" w:hAnsi="Helvetica"/>
          <w:sz w:val="32"/>
          <w:szCs w:val="32"/>
          <w:rtl w:val="0"/>
        </w:rPr>
        <w:t xml:space="preserve"> 5.5-7.0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之间（适合胃内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pH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微环境）</w:t>
      </w:r>
    </w:p>
    <w:p w14:paraId="7318452D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ascii="Helvetica" w:hAnsi="Helvetica"/>
          <w:sz w:val="32"/>
          <w:szCs w:val="32"/>
          <w:lang w:val="de-DE"/>
        </w:rPr>
      </w:pPr>
      <w:r>
        <w:rPr>
          <w:rFonts w:ascii="Helvetica" w:hAnsi="Helvetica"/>
          <w:sz w:val="32"/>
          <w:szCs w:val="32"/>
          <w:rtl w:val="0"/>
          <w:lang w:val="de-DE"/>
        </w:rPr>
        <w:t xml:space="preserve">logP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值在</w:t>
      </w:r>
      <w:r>
        <w:rPr>
          <w:rFonts w:ascii="Helvetica" w:hAnsi="Helvetica"/>
          <w:sz w:val="32"/>
          <w:szCs w:val="32"/>
          <w:rtl w:val="0"/>
        </w:rPr>
        <w:t xml:space="preserve"> 1.0-3.0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之间（兼顾水溶性和膜通透性）</w:t>
      </w:r>
    </w:p>
    <w:p w14:paraId="78B3FB4E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7935C9E2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筛选效率：单张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RTX 4090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显卡可在</w:t>
      </w:r>
      <w:r>
        <w:rPr>
          <w:rFonts w:ascii="Helvetica" w:hAnsi="Helvetica"/>
          <w:sz w:val="32"/>
          <w:szCs w:val="32"/>
          <w:rtl w:val="0"/>
        </w:rPr>
        <w:t xml:space="preserve"> 24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小时内完成</w:t>
      </w:r>
      <w:r>
        <w:rPr>
          <w:rFonts w:ascii="Helvetica" w:hAnsi="Helvetica"/>
          <w:sz w:val="32"/>
          <w:szCs w:val="32"/>
          <w:rtl w:val="0"/>
        </w:rPr>
        <w:t xml:space="preserve"> 1000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万化合物的预测</w:t>
      </w:r>
    </w:p>
    <w:p w14:paraId="67AC7774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06917A10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二、生成式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分子设计：</w:t>
      </w:r>
      <w:r>
        <w:rPr>
          <w:rFonts w:ascii="Helvetica" w:hAnsi="Helvetica"/>
          <w:sz w:val="32"/>
          <w:szCs w:val="32"/>
          <w:rtl w:val="0"/>
        </w:rPr>
        <w:t xml:space="preserve">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母核定向改造</w:t>
      </w:r>
    </w:p>
    <w:p w14:paraId="76BE4E70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核心目标</w:t>
      </w:r>
    </w:p>
    <w:p w14:paraId="7AAE2E73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以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为母核，定向改造三个关键结构域（烷基链、苯环取代基、酰胺键），生成满足多目标优化条件的新型衍生物。</w:t>
      </w:r>
    </w:p>
    <w:p w14:paraId="3A134B8F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7F5D3B3D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</w:rPr>
        <w:t xml:space="preserve">1.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工具栈（全部开源）</w:t>
      </w:r>
    </w:p>
    <w:p w14:paraId="42E3FD9B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表格</w:t>
      </w:r>
    </w:p>
    <w:p w14:paraId="4042A161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02439128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197C27B8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tbl>
      <w:tblPr>
        <w:tblStyle w:val="2"/>
        <w:tblW w:w="9638" w:type="dxa"/>
        <w:tblInd w:w="10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3"/>
        <w:gridCol w:w="1337"/>
        <w:gridCol w:w="2643"/>
        <w:gridCol w:w="3645"/>
      </w:tblGrid>
      <w:tr w14:paraId="79906DD5">
        <w:trPr>
          <w:trHeight w:val="447" w:hRule="atLeast"/>
        </w:trPr>
        <w:tc>
          <w:tcPr>
            <w:tcW w:w="20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E5468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b/>
                <w:bCs/>
                <w:sz w:val="32"/>
                <w:szCs w:val="32"/>
                <w:rtl w:val="0"/>
              </w:rPr>
              <w:t>技术路线</w:t>
            </w:r>
          </w:p>
        </w:tc>
        <w:tc>
          <w:tcPr>
            <w:tcW w:w="13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EFB52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b/>
                <w:bCs/>
                <w:sz w:val="32"/>
                <w:szCs w:val="32"/>
                <w:rtl w:val="0"/>
              </w:rPr>
              <w:t>首选工具</w:t>
            </w:r>
          </w:p>
        </w:tc>
        <w:tc>
          <w:tcPr>
            <w:tcW w:w="26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37BA6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b/>
                <w:bCs/>
                <w:sz w:val="32"/>
                <w:szCs w:val="32"/>
                <w:rtl w:val="0"/>
              </w:rPr>
              <w:t>备选工具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1FB82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b/>
                <w:bCs/>
                <w:sz w:val="32"/>
                <w:szCs w:val="32"/>
                <w:rtl w:val="0"/>
              </w:rPr>
              <w:t>优势说明</w:t>
            </w:r>
          </w:p>
        </w:tc>
      </w:tr>
      <w:tr w14:paraId="4D16BAB6">
        <w:trPr>
          <w:trHeight w:val="887" w:hRule="atLeast"/>
        </w:trPr>
        <w:tc>
          <w:tcPr>
            <w:tcW w:w="20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F9BAA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 xml:space="preserve">基于 </w:t>
            </w:r>
            <w:r>
              <w:rPr>
                <w:rFonts w:ascii="Helvetica" w:hAnsi="Helvetica"/>
                <w:sz w:val="32"/>
                <w:szCs w:val="32"/>
                <w:rtl w:val="0"/>
              </w:rPr>
              <w:t xml:space="preserve">SMILES </w:t>
            </w:r>
            <w:r>
              <w:rPr>
                <w:rFonts w:hint="eastAsia" w:eastAsia="Helvetica"/>
                <w:sz w:val="32"/>
                <w:szCs w:val="32"/>
                <w:rtl w:val="0"/>
              </w:rPr>
              <w:t>的条件生成</w:t>
            </w:r>
          </w:p>
        </w:tc>
        <w:tc>
          <w:tcPr>
            <w:tcW w:w="13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D6FE8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ChemBERTa 2.0</w:t>
            </w:r>
          </w:p>
        </w:tc>
        <w:tc>
          <w:tcPr>
            <w:tcW w:w="26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30274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MolBERT, GPT-4 Chem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37A1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预训练模型大，微调简单，适合局部结构改造</w:t>
            </w:r>
          </w:p>
        </w:tc>
      </w:tr>
      <w:tr w14:paraId="1307A803">
        <w:trPr>
          <w:trHeight w:val="887" w:hRule="atLeast"/>
        </w:trPr>
        <w:tc>
          <w:tcPr>
            <w:tcW w:w="20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6893C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基于图的生成模型</w:t>
            </w:r>
          </w:p>
        </w:tc>
        <w:tc>
          <w:tcPr>
            <w:tcW w:w="13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4B3A0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GraphINVENT</w:t>
            </w:r>
          </w:p>
        </w:tc>
        <w:tc>
          <w:tcPr>
            <w:tcW w:w="26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8958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JT-VAE, MoFlow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DD128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生成分子结构更合理，可精确控制局部改造</w:t>
            </w:r>
          </w:p>
        </w:tc>
      </w:tr>
      <w:tr w14:paraId="74196B0D">
        <w:trPr>
          <w:trHeight w:val="767" w:hRule="atLeast"/>
        </w:trPr>
        <w:tc>
          <w:tcPr>
            <w:tcW w:w="20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94BC6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多目标优化</w:t>
            </w:r>
          </w:p>
        </w:tc>
        <w:tc>
          <w:tcPr>
            <w:tcW w:w="13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16D7D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 xml:space="preserve">NSGA-II </w:t>
            </w:r>
            <w:r>
              <w:rPr>
                <w:rFonts w:hint="eastAsia" w:eastAsia="Helvetica"/>
                <w:sz w:val="32"/>
                <w:szCs w:val="32"/>
                <w:rtl w:val="0"/>
              </w:rPr>
              <w:t>算法</w:t>
            </w:r>
          </w:p>
        </w:tc>
        <w:tc>
          <w:tcPr>
            <w:tcW w:w="26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47040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MOEA/D, Bayesian Optimization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9E700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同时优化活性、毒性、</w:t>
            </w:r>
            <w:r>
              <w:rPr>
                <w:rFonts w:ascii="Helvetica" w:hAnsi="Helvetica"/>
                <w:sz w:val="32"/>
                <w:szCs w:val="32"/>
                <w:rtl w:val="0"/>
              </w:rPr>
              <w:t xml:space="preserve">pKa </w:t>
            </w:r>
            <w:r>
              <w:rPr>
                <w:rFonts w:hint="eastAsia" w:eastAsia="Helvetica"/>
                <w:sz w:val="32"/>
                <w:szCs w:val="32"/>
                <w:rtl w:val="0"/>
              </w:rPr>
              <w:t>等多个目标</w:t>
            </w:r>
          </w:p>
        </w:tc>
      </w:tr>
      <w:tr w14:paraId="5C0BEC84">
        <w:trPr>
          <w:trHeight w:val="767" w:hRule="atLeast"/>
        </w:trPr>
        <w:tc>
          <w:tcPr>
            <w:tcW w:w="20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CC1E5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分子质量评估</w:t>
            </w:r>
          </w:p>
        </w:tc>
        <w:tc>
          <w:tcPr>
            <w:tcW w:w="13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1B027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RDKit, MolSkill</w:t>
            </w:r>
          </w:p>
        </w:tc>
        <w:tc>
          <w:tcPr>
            <w:tcW w:w="26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B9E01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ascii="Helvetica" w:hAnsi="Helvetica"/>
                <w:sz w:val="32"/>
                <w:szCs w:val="32"/>
                <w:rtl w:val="0"/>
              </w:rPr>
              <w:t>QED, SA Score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B1ACB">
            <w:pPr>
              <w:pStyle w:val="7"/>
              <w:framePr w:hRule="auto" w:wrap="auto" w:vAnchor="margin" w:hAnchor="text" w:yAlign="inline"/>
              <w:suppressAutoHyphens/>
              <w:jc w:val="left"/>
            </w:pPr>
            <w:r>
              <w:rPr>
                <w:rFonts w:hint="eastAsia" w:eastAsia="Helvetica"/>
                <w:sz w:val="32"/>
                <w:szCs w:val="32"/>
                <w:rtl w:val="0"/>
              </w:rPr>
              <w:t>自动过滤合成难度高的分子</w:t>
            </w:r>
          </w:p>
        </w:tc>
      </w:tr>
    </w:tbl>
    <w:p w14:paraId="4B943C2D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40DD6E3A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64BA43DF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/>
          <w:sz w:val="32"/>
          <w:szCs w:val="32"/>
          <w:rtl w:val="0"/>
        </w:rPr>
        <w:t xml:space="preserve">2.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详细实现步骤</w:t>
      </w:r>
    </w:p>
    <w:p w14:paraId="77019B71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步骤</w:t>
      </w:r>
      <w:r>
        <w:rPr>
          <w:rFonts w:ascii="Helvetica" w:hAnsi="Helvetica"/>
          <w:sz w:val="32"/>
          <w:szCs w:val="32"/>
          <w:rtl w:val="0"/>
        </w:rPr>
        <w:t xml:space="preserve"> 1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：准备微调数据集</w:t>
      </w:r>
    </w:p>
    <w:p w14:paraId="43504BC9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从第一步的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QSAR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数据集中提取活性前</w:t>
      </w:r>
      <w:r>
        <w:rPr>
          <w:rFonts w:ascii="Helvetica" w:hAnsi="Helvetica"/>
          <w:sz w:val="32"/>
          <w:szCs w:val="32"/>
          <w:rtl w:val="0"/>
        </w:rPr>
        <w:t xml:space="preserve"> 50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名的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类似物</w:t>
      </w:r>
    </w:p>
    <w:p w14:paraId="3B262554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用</w:t>
      </w:r>
      <w:r>
        <w:rPr>
          <w:rFonts w:ascii="Helvetica" w:hAnsi="Helvetica"/>
          <w:sz w:val="32"/>
          <w:szCs w:val="32"/>
          <w:rtl w:val="0"/>
        </w:rPr>
        <w:t xml:space="preserve"> RDKit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对每个分子进行结构拆分，标记三个关键结构域：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fr-FR"/>
        </w:rPr>
        <w:t>plaintext</w:t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24"/>
          <w:szCs w:val="24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28"/>
          <w:szCs w:val="28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28"/>
          <w:szCs w:val="28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28"/>
          <w:szCs w:val="28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Monaco" w:hAnsi="Monaco"/>
          <w:sz w:val="32"/>
          <w:szCs w:val="32"/>
          <w:rtl w:val="0"/>
        </w:rPr>
        <w:t>SNAC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母核结构：苯环</w:t>
      </w:r>
      <w:r>
        <w:rPr>
          <w:rFonts w:ascii="Monaco" w:hAnsi="Monaco"/>
          <w:sz w:val="32"/>
          <w:szCs w:val="32"/>
          <w:rtl w:val="0"/>
        </w:rPr>
        <w:t>-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酰胺键</w:t>
      </w:r>
      <w:r>
        <w:rPr>
          <w:rFonts w:ascii="Monaco" w:hAnsi="Monaco"/>
          <w:sz w:val="32"/>
          <w:szCs w:val="32"/>
          <w:rtl w:val="0"/>
        </w:rPr>
        <w:t>-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烷基链</w:t>
      </w:r>
      <w:r>
        <w:rPr>
          <w:rFonts w:ascii="Monaco" w:hAnsi="Monaco"/>
          <w:sz w:val="32"/>
          <w:szCs w:val="32"/>
          <w:rtl w:val="0"/>
        </w:rPr>
        <w:t>-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羧基</w:t>
      </w:r>
    </w:p>
    <w:p w14:paraId="03438BF5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Monaco"/>
          <w:sz w:val="32"/>
          <w:szCs w:val="32"/>
          <w:lang w:val="ja-JP" w:eastAsia="ja-JP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改造位点：</w:t>
      </w:r>
    </w:p>
    <w:p w14:paraId="17069784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ascii="Monaco" w:hAnsi="Monaco"/>
          <w:sz w:val="32"/>
          <w:szCs w:val="32"/>
        </w:rPr>
      </w:pPr>
      <w:r>
        <w:rPr>
          <w:rFonts w:ascii="Monaco" w:hAnsi="Monaco"/>
          <w:sz w:val="32"/>
          <w:szCs w:val="32"/>
          <w:rtl w:val="0"/>
        </w:rPr>
        <w:t xml:space="preserve">1.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苯环的</w:t>
      </w:r>
      <w:r>
        <w:rPr>
          <w:rFonts w:ascii="Monaco" w:hAnsi="Monaco"/>
          <w:sz w:val="32"/>
          <w:szCs w:val="32"/>
          <w:rtl w:val="0"/>
        </w:rPr>
        <w:t>2,3,4,5,6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位取代基</w:t>
      </w:r>
    </w:p>
    <w:p w14:paraId="3BD7A90E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ascii="Monaco" w:hAnsi="Monaco"/>
          <w:sz w:val="32"/>
          <w:szCs w:val="32"/>
        </w:rPr>
      </w:pPr>
      <w:r>
        <w:rPr>
          <w:rFonts w:ascii="Monaco" w:hAnsi="Monaco"/>
          <w:sz w:val="32"/>
          <w:szCs w:val="32"/>
          <w:rtl w:val="0"/>
        </w:rPr>
        <w:t xml:space="preserve">2.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酰胺键的</w:t>
      </w:r>
      <w:r>
        <w:rPr>
          <w:rFonts w:ascii="Monaco" w:hAnsi="Monaco"/>
          <w:sz w:val="32"/>
          <w:szCs w:val="32"/>
          <w:rtl w:val="0"/>
        </w:rPr>
        <w:t>N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原子取代基</w:t>
      </w:r>
    </w:p>
    <w:p w14:paraId="2E093C10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ascii="Monaco" w:hAnsi="Monaco"/>
          <w:sz w:val="32"/>
          <w:szCs w:val="32"/>
        </w:rPr>
      </w:pPr>
      <w:r>
        <w:rPr>
          <w:rFonts w:ascii="Monaco" w:hAnsi="Monaco"/>
          <w:sz w:val="32"/>
          <w:szCs w:val="32"/>
          <w:rtl w:val="0"/>
        </w:rPr>
        <w:t xml:space="preserve">3.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烷基链的长度（</w:t>
      </w:r>
      <w:r>
        <w:rPr>
          <w:rFonts w:ascii="Monaco" w:hAnsi="Monaco"/>
          <w:sz w:val="32"/>
          <w:szCs w:val="32"/>
          <w:rtl w:val="0"/>
          <w:lang w:val="de-DE"/>
        </w:rPr>
        <w:t>C6-C12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）和分支</w:t>
      </w:r>
    </w:p>
    <w:p w14:paraId="03D8B928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  <w:r>
        <w:rPr>
          <w:rFonts w:ascii="Helvetica" w:hAnsi="Helvetica" w:eastAsia="Helvetica" w:cs="Helvetica"/>
          <w:sz w:val="32"/>
          <w:szCs w:val="32"/>
        </w:rPr>
        <w:br w:type="textWrapping"/>
      </w:r>
    </w:p>
    <w:p w14:paraId="2821E584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生成包含结构域标签的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fr-FR"/>
        </w:rPr>
        <w:t xml:space="preserve">SMILES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数据集，用于条件生成模型的微调</w:t>
      </w:r>
    </w:p>
    <w:p w14:paraId="7718D1B0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步骤</w:t>
      </w:r>
      <w:r>
        <w:rPr>
          <w:rFonts w:ascii="Helvetica" w:hAnsi="Helvetica"/>
          <w:sz w:val="32"/>
          <w:szCs w:val="32"/>
          <w:rtl w:val="0"/>
        </w:rPr>
        <w:t xml:space="preserve"> 2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：微调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ChemBERTa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进行定向局部改造</w:t>
      </w:r>
    </w:p>
    <w:p w14:paraId="6A9E353E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这是最高效、最可控的生成方式，避免从头生成无关结构。</w:t>
      </w:r>
    </w:p>
    <w:p w14:paraId="162B9368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69F95B2C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TW" w:eastAsia="zh-TW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定向改造策略：</w:t>
      </w:r>
    </w:p>
    <w:p w14:paraId="7A92570A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固定两个结构域，只改造第三个（如固定烷基链为</w:t>
      </w:r>
      <w:r>
        <w:rPr>
          <w:rFonts w:ascii="Helvetica" w:hAnsi="Helvetica"/>
          <w:sz w:val="32"/>
          <w:szCs w:val="32"/>
          <w:rtl w:val="0"/>
        </w:rPr>
        <w:t xml:space="preserve"> C10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，只改造苯环取代基）</w:t>
      </w:r>
    </w:p>
    <w:p w14:paraId="43A5D4AA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依次改造三个结构域，组合生成最优结构</w:t>
      </w:r>
    </w:p>
    <w:p w14:paraId="35A96712">
      <w:pPr>
        <w:pStyle w:val="6"/>
        <w:framePr w:hRule="auto" w:wrap="auto" w:vAnchor="margin" w:hAnchor="text" w:yAlign="inline"/>
        <w:numPr>
          <w:ilvl w:val="1"/>
          <w:numId w:val="6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TW" w:eastAsia="zh-TW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限制生成分子的分子量在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150-300 Da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之间（避免过大）</w:t>
      </w:r>
    </w:p>
    <w:p w14:paraId="0E19DB07">
      <w:pPr>
        <w:pStyle w:val="6"/>
        <w:framePr w:hRule="auto" w:wrap="auto" w:vAnchor="margin" w:hAnchor="text" w:yAlign="inline"/>
        <w:numPr>
          <w:ilvl w:val="0"/>
          <w:numId w:val="5"/>
        </w:numPr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</w:p>
    <w:p w14:paraId="3576F73E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步骤</w:t>
      </w:r>
      <w:r>
        <w:rPr>
          <w:rFonts w:ascii="Helvetica" w:hAnsi="Helvetica"/>
          <w:sz w:val="32"/>
          <w:szCs w:val="32"/>
          <w:rtl w:val="0"/>
        </w:rPr>
        <w:t xml:space="preserve"> 3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：多目标优化筛选</w:t>
      </w:r>
    </w:p>
    <w:p w14:paraId="1B2260AA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用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NSGA-II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算法对生成的</w:t>
      </w:r>
      <w:r>
        <w:rPr>
          <w:rFonts w:ascii="Helvetica" w:hAnsi="Helvetica"/>
          <w:sz w:val="32"/>
          <w:szCs w:val="32"/>
          <w:rtl w:val="0"/>
        </w:rPr>
        <w:t xml:space="preserve"> 10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万</w:t>
      </w:r>
      <w:r>
        <w:rPr>
          <w:rFonts w:ascii="Helvetica" w:hAnsi="Helvetica"/>
          <w:sz w:val="32"/>
          <w:szCs w:val="32"/>
          <w:rtl w:val="0"/>
        </w:rPr>
        <w:t xml:space="preserve"> +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分子进行多目标优化，同时最大化以下三个目标：</w:t>
      </w:r>
    </w:p>
    <w:p w14:paraId="6C20D9B9">
      <w:pPr>
        <w:pStyle w:val="6"/>
        <w:framePr w:hRule="auto" w:wrap="auto" w:vAnchor="margin" w:hAnchor="text" w:yAlign="inline"/>
        <w:numPr>
          <w:ilvl w:val="0"/>
          <w:numId w:val="11"/>
        </w:numPr>
        <w:suppressAutoHyphens/>
        <w:spacing w:before="0" w:line="240" w:lineRule="auto"/>
        <w:jc w:val="left"/>
        <w:rPr>
          <w:rFonts w:ascii="Helvetica" w:hAnsi="Helvetica"/>
          <w:sz w:val="32"/>
          <w:szCs w:val="32"/>
          <w:lang w:val="de-DE"/>
        </w:rPr>
      </w:pPr>
      <w:r>
        <w:rPr>
          <w:rFonts w:ascii="Helvetica" w:hAnsi="Helvetica"/>
          <w:sz w:val="32"/>
          <w:szCs w:val="32"/>
          <w:rtl w:val="0"/>
          <w:lang w:val="de-DE"/>
        </w:rPr>
        <w:t xml:space="preserve">QSAR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模型预测的促渗活性</w:t>
      </w:r>
    </w:p>
    <w:p w14:paraId="29DB7AD5">
      <w:pPr>
        <w:pStyle w:val="6"/>
        <w:framePr w:hRule="auto" w:wrap="auto" w:vAnchor="margin" w:hAnchor="text" w:yAlign="inline"/>
        <w:numPr>
          <w:ilvl w:val="0"/>
          <w:numId w:val="1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细胞毒性</w:t>
      </w:r>
      <w:r>
        <w:rPr>
          <w:rFonts w:ascii="Helvetica" w:hAnsi="Helvetica"/>
          <w:sz w:val="32"/>
          <w:szCs w:val="32"/>
          <w:rtl w:val="0"/>
        </w:rPr>
        <w:t xml:space="preserve"> CC50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（越大越安全）</w:t>
      </w:r>
    </w:p>
    <w:p w14:paraId="426C1988">
      <w:pPr>
        <w:pStyle w:val="6"/>
        <w:framePr w:hRule="auto" w:wrap="auto" w:vAnchor="margin" w:hAnchor="text" w:yAlign="inline"/>
        <w:numPr>
          <w:ilvl w:val="0"/>
          <w:numId w:val="1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合成可行性评分（</w:t>
      </w:r>
      <w:r>
        <w:rPr>
          <w:rFonts w:ascii="Helvetica" w:hAnsi="Helvetica"/>
          <w:sz w:val="32"/>
          <w:szCs w:val="32"/>
          <w:rtl w:val="0"/>
        </w:rPr>
        <w:t>SA Score &lt; 3.0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）</w:t>
      </w:r>
    </w:p>
    <w:p w14:paraId="2BDEF1A8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输出结果：生成帕累托前沿上的前</w:t>
      </w:r>
      <w:r>
        <w:rPr>
          <w:rFonts w:ascii="Helvetica" w:hAnsi="Helvetica"/>
          <w:sz w:val="32"/>
          <w:szCs w:val="32"/>
          <w:rtl w:val="0"/>
        </w:rPr>
        <w:t xml:space="preserve"> 100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个最优分子，供后续分子动力学模拟验证</w:t>
      </w:r>
    </w:p>
    <w:p w14:paraId="1AAEF54D">
      <w:pPr>
        <w:pStyle w:val="6"/>
        <w:framePr w:hRule="auto"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发表目标：</w:t>
      </w:r>
    </w:p>
    <w:p w14:paraId="1F3D9321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发表范围：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JCR Q1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区，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IF 6-12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</w:rPr>
        <w:t>分</w:t>
      </w:r>
    </w:p>
    <w:p w14:paraId="6027BD44">
      <w:pPr>
        <w:pStyle w:val="6"/>
        <w:framePr w:hRule="auto" w:wrap="auto" w:vAnchor="margin" w:hAnchor="text" w:yAlign="inline"/>
        <w:suppressAutoHyphens/>
        <w:spacing w:before="0" w:line="240" w:lineRule="auto"/>
        <w:jc w:val="left"/>
        <w:rPr>
          <w:rFonts w:ascii="Helvetica" w:hAnsi="Helvetica" w:eastAsia="Helvetica" w:cs="Helvetica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对应研究内容：完整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流程</w:t>
      </w:r>
      <w:r>
        <w:rPr>
          <w:rFonts w:ascii="Helvetica" w:hAnsi="Helvetica"/>
          <w:sz w:val="32"/>
          <w:szCs w:val="32"/>
          <w:rtl w:val="0"/>
        </w:rPr>
        <w:t xml:space="preserve"> +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系统体外验证</w:t>
      </w:r>
      <w:r>
        <w:rPr>
          <w:rFonts w:ascii="Helvetica" w:hAnsi="Helvetica"/>
          <w:sz w:val="32"/>
          <w:szCs w:val="32"/>
          <w:rtl w:val="0"/>
        </w:rPr>
        <w:t xml:space="preserve"> +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明确的性能优势</w:t>
      </w:r>
    </w:p>
    <w:p w14:paraId="4D66183C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筛选出的化合物促渗活性是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的</w:t>
      </w:r>
      <w:r>
        <w:rPr>
          <w:rFonts w:ascii="Helvetica" w:hAnsi="Helvetica"/>
          <w:sz w:val="32"/>
          <w:szCs w:val="32"/>
          <w:rtl w:val="0"/>
        </w:rPr>
        <w:t xml:space="preserve"> 1.5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倍以上，且毒性相当或更低</w:t>
      </w:r>
    </w:p>
    <w:p w14:paraId="0191F98D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揭示了</w:t>
      </w:r>
      <w:r>
        <w:rPr>
          <w:rFonts w:ascii="Helvetica" w:hAnsi="Helvetica"/>
          <w:sz w:val="32"/>
          <w:szCs w:val="32"/>
          <w:rtl w:val="0"/>
        </w:rPr>
        <w:t xml:space="preserve"> SNAC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衍生物的构效关系（</w:t>
      </w:r>
      <w:r>
        <w:rPr>
          <w:rFonts w:ascii="Helvetica" w:hAnsi="Helvetica"/>
          <w:sz w:val="32"/>
          <w:szCs w:val="32"/>
          <w:rtl w:val="0"/>
        </w:rPr>
        <w:t>SAR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），明确了三个结构域对活性的贡献</w:t>
      </w:r>
    </w:p>
    <w:p w14:paraId="69BBC45C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补充了转运机制研究（如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TEER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动态变化、紧密连接蛋白表达检测）</w:t>
      </w:r>
    </w:p>
    <w:p w14:paraId="73A5B022">
      <w:pPr>
        <w:pStyle w:val="6"/>
        <w:framePr w:hRule="auto" w:wrap="auto" w:vAnchor="margin" w:hAnchor="text" w:yAlign="inline"/>
        <w:numPr>
          <w:ilvl w:val="0"/>
          <w:numId w:val="1"/>
        </w:numPr>
        <w:suppressAutoHyphens/>
        <w:spacing w:before="0" w:line="240" w:lineRule="auto"/>
        <w:jc w:val="left"/>
        <w:rPr>
          <w:rFonts w:hint="eastAsia" w:eastAsia="Helvetica"/>
          <w:sz w:val="32"/>
          <w:szCs w:val="32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证明了化合物在模拟胃液中的稳定性优于原研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roman"/>
    <w:pitch w:val="default"/>
    <w:sig w:usb0="E00002FF" w:usb1="5000785B" w:usb2="00000000" w:usb3="00000000" w:csb0="2000019F" w:csb1="4F010000"/>
  </w:font>
  <w:font w:name="TimesNewRomanPSMT">
    <w:panose1 w:val="02020503050405090304"/>
    <w:charset w:val="00"/>
    <w:family w:val="roman"/>
    <w:pitch w:val="default"/>
    <w:sig w:usb0="E0000AFF" w:usb1="00007843" w:usb2="00000001" w:usb3="00000000" w:csb0="400001BF" w:csb1="DFF70000"/>
  </w:font>
  <w:font w:name="Monaco">
    <w:panose1 w:val="00000000000000000000"/>
    <w:charset w:val="00"/>
    <w:family w:val="roman"/>
    <w:pitch w:val="default"/>
    <w:sig w:usb0="A00002FF" w:usb1="500039FB" w:usb2="00000000" w:usb3="00000000" w:csb0="20000197" w:csb1="4F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4707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AE84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F4DE4"/>
    <w:multiLevelType w:val="multilevel"/>
    <w:tmpl w:val="BEEF4DE4"/>
    <w:lvl w:ilvl="0" w:tentative="0">
      <w:start w:val="1"/>
      <w:numFmt w:val="decimal"/>
      <w:lvlText w:val="%1."/>
      <w:lvlJc w:val="left"/>
      <w:pPr>
        <w:ind w:left="7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12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19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6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3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410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48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55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62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C2A50DEE"/>
    <w:multiLevelType w:val="multilevel"/>
    <w:tmpl w:val="C2A50DEE"/>
    <w:lvl w:ilvl="0" w:tentative="0">
      <w:start w:val="1"/>
      <w:numFmt w:val="decimal"/>
      <w:lvlText w:val="%1."/>
      <w:lvlJc w:val="left"/>
      <w:pPr>
        <w:ind w:left="7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12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19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6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3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410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48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55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62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</w:abstractNum>
  <w:abstractNum w:abstractNumId="2">
    <w:nsid w:val="FE7BDB62"/>
    <w:multiLevelType w:val="multilevel"/>
    <w:tmpl w:val="FE7BDB62"/>
    <w:lvl w:ilvl="0" w:tentative="0">
      <w:start w:val="1"/>
      <w:numFmt w:val="bullet"/>
      <w:lvlText w:val="•"/>
      <w:lvlJc w:val="left"/>
      <w:pPr>
        <w:ind w:left="7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•"/>
      <w:lvlJc w:val="left"/>
      <w:pPr>
        <w:ind w:left="12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•"/>
      <w:lvlJc w:val="left"/>
      <w:pPr>
        <w:ind w:left="19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6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•"/>
      <w:lvlJc w:val="left"/>
      <w:pPr>
        <w:ind w:left="33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•"/>
      <w:lvlJc w:val="left"/>
      <w:pPr>
        <w:ind w:left="410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48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•"/>
      <w:lvlJc w:val="left"/>
      <w:pPr>
        <w:ind w:left="55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•"/>
      <w:lvlJc w:val="left"/>
      <w:pPr>
        <w:ind w:left="62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FEE66166"/>
    <w:multiLevelType w:val="multilevel"/>
    <w:tmpl w:val="FEE66166"/>
    <w:lvl w:ilvl="0" w:tentative="0">
      <w:start w:val="1"/>
      <w:numFmt w:val="bullet"/>
      <w:lvlText w:val="-"/>
      <w:lvlJc w:val="left"/>
      <w:pPr>
        <w:ind w:left="34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1" w:tentative="0">
      <w:start w:val="1"/>
      <w:numFmt w:val="bullet"/>
      <w:lvlText w:val="◦"/>
      <w:lvlJc w:val="left"/>
      <w:pPr>
        <w:ind w:left="14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2" w:tentative="0">
      <w:start w:val="1"/>
      <w:numFmt w:val="bullet"/>
      <w:lvlText w:val="◦"/>
      <w:lvlJc w:val="left"/>
      <w:pPr>
        <w:ind w:left="21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3" w:tentative="0">
      <w:start w:val="1"/>
      <w:numFmt w:val="bullet"/>
      <w:lvlText w:val="◦"/>
      <w:lvlJc w:val="left"/>
      <w:pPr>
        <w:ind w:left="28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4" w:tentative="0">
      <w:start w:val="1"/>
      <w:numFmt w:val="bullet"/>
      <w:lvlText w:val="◦"/>
      <w:lvlJc w:val="left"/>
      <w:pPr>
        <w:ind w:left="360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5" w:tentative="0">
      <w:start w:val="1"/>
      <w:numFmt w:val="bullet"/>
      <w:lvlText w:val="◦"/>
      <w:lvlJc w:val="left"/>
      <w:pPr>
        <w:ind w:left="43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6" w:tentative="0">
      <w:start w:val="1"/>
      <w:numFmt w:val="bullet"/>
      <w:lvlText w:val="◦"/>
      <w:lvlJc w:val="left"/>
      <w:pPr>
        <w:ind w:left="50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7" w:tentative="0">
      <w:start w:val="1"/>
      <w:numFmt w:val="bullet"/>
      <w:lvlText w:val="◦"/>
      <w:lvlJc w:val="left"/>
      <w:pPr>
        <w:ind w:left="57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8" w:tentative="0">
      <w:start w:val="1"/>
      <w:numFmt w:val="bullet"/>
      <w:lvlText w:val="◦"/>
      <w:lvlJc w:val="left"/>
      <w:pPr>
        <w:ind w:left="64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</w:abstractNum>
  <w:abstractNum w:abstractNumId="4">
    <w:nsid w:val="FEF7D1B2"/>
    <w:multiLevelType w:val="multilevel"/>
    <w:tmpl w:val="FEF7D1B2"/>
    <w:lvl w:ilvl="0" w:tentative="0">
      <w:start w:val="1"/>
      <w:numFmt w:val="bullet"/>
      <w:lvlText w:val="•"/>
      <w:lvlJc w:val="left"/>
      <w:pPr>
        <w:ind w:left="7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◦"/>
      <w:lvlJc w:val="left"/>
      <w:pPr>
        <w:ind w:left="14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entative="0">
      <w:start w:val="1"/>
      <w:numFmt w:val="bullet"/>
      <w:lvlText w:val="◦"/>
      <w:lvlJc w:val="left"/>
      <w:pPr>
        <w:ind w:left="21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entative="0">
      <w:start w:val="1"/>
      <w:numFmt w:val="bullet"/>
      <w:lvlText w:val="◦"/>
      <w:lvlJc w:val="left"/>
      <w:pPr>
        <w:ind w:left="28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entative="0">
      <w:start w:val="1"/>
      <w:numFmt w:val="bullet"/>
      <w:lvlText w:val="◦"/>
      <w:lvlJc w:val="left"/>
      <w:pPr>
        <w:ind w:left="360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entative="0">
      <w:start w:val="1"/>
      <w:numFmt w:val="bullet"/>
      <w:lvlText w:val="◦"/>
      <w:lvlJc w:val="left"/>
      <w:pPr>
        <w:ind w:left="43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entative="0">
      <w:start w:val="1"/>
      <w:numFmt w:val="bullet"/>
      <w:lvlText w:val="◦"/>
      <w:lvlJc w:val="left"/>
      <w:pPr>
        <w:ind w:left="50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entative="0">
      <w:start w:val="1"/>
      <w:numFmt w:val="bullet"/>
      <w:lvlText w:val="◦"/>
      <w:lvlJc w:val="left"/>
      <w:pPr>
        <w:ind w:left="57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entative="0">
      <w:start w:val="1"/>
      <w:numFmt w:val="bullet"/>
      <w:lvlText w:val="◦"/>
      <w:lvlJc w:val="left"/>
      <w:pPr>
        <w:ind w:left="64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>
    <w:nsid w:val="57FFE52D"/>
    <w:multiLevelType w:val="multilevel"/>
    <w:tmpl w:val="57FFE52D"/>
    <w:lvl w:ilvl="0" w:tentative="0">
      <w:start w:val="1"/>
      <w:numFmt w:val="decimal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14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21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60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43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57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64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1"/>
    <w:lvlOverride w:ilvl="0">
      <w:startOverride w:val="3"/>
    </w:lvlOverride>
  </w:num>
  <w:num w:numId="5">
    <w:abstractNumId w:val="2"/>
  </w:num>
  <w:num w:numId="6">
    <w:abstractNumId w:val="5"/>
  </w:num>
  <w:num w:numId="7">
    <w:abstractNumId w:val="5"/>
    <w:lvlOverride w:ilvl="1">
      <w:startOverride w:val="1"/>
    </w:lvlOverride>
  </w:num>
  <w:num w:numId="8">
    <w:abstractNumId w:val="0"/>
  </w:num>
  <w:num w:numId="9">
    <w:abstractNumId w:val="0"/>
    <w:lvlOverride w:ilvl="0">
      <w:startOverride w:val="4"/>
    </w:lvlOverride>
  </w:num>
  <w:num w:numId="10">
    <w:abstractNumId w:val="5"/>
    <w:lvlOverride w:ilvl="1">
      <w:startOverride w:val="1"/>
    </w:lvlOverride>
  </w:num>
  <w:num w:numId="11">
    <w:abstractNumId w:val="5"/>
    <w:lvlOverride w:ilvl="0">
      <w:startOverride w:val="1"/>
      <w:lvl w:ilvl="0" w:tentative="1">
        <w:start w:val="1"/>
        <w:numFmt w:val="decimal"/>
        <w:lvlText w:val="%1."/>
        <w:lvlJc w:val="left"/>
        <w:pPr>
          <w:ind w:left="72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94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ind w:left="116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38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decimal"/>
        <w:lvlText w:val="%5."/>
        <w:lvlJc w:val="left"/>
        <w:pPr>
          <w:ind w:left="160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decimal"/>
        <w:lvlText w:val="%6."/>
        <w:lvlJc w:val="left"/>
        <w:pPr>
          <w:ind w:left="182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04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decimal"/>
        <w:lvlText w:val="%8."/>
        <w:lvlJc w:val="left"/>
        <w:pPr>
          <w:ind w:left="226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decimal"/>
        <w:lvlText w:val="%9."/>
        <w:lvlJc w:val="left"/>
        <w:pPr>
          <w:ind w:left="248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D2C24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zh-CN" w:eastAsia="zh-CN"/>
    </w:rPr>
  </w:style>
  <w:style w:type="paragraph" w:customStyle="1" w:styleId="7">
    <w:name w:val="表格样式 2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0"/>
      <w:szCs w:val="20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2026-06-13T17:13:39Z</dcterms:created>
  <dc:creator>Data</dc:creator>
  <cp:lastModifiedBy>WPS_1780061064</cp:lastModifiedBy>
  <dcterms:modified xsi:type="dcterms:W3CDTF">2026-06-13T17:18:43Z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CBF4C4BE91DB9AC473202D6A09918CDB_42</vt:lpwstr>
  </property>
</Properties>
</file>