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July 13, 2026</w:t>
      </w:r>
    </w:p>
    <w:p/>
    <w:p>
      <w:r>
        <w:rPr>
          <w:b/>
        </w:rPr>
        <w:t>To the Editor,</w:t>
      </w:r>
    </w:p>
    <w:p>
      <w:r>
        <w:rPr>
          <w:i/>
        </w:rPr>
        <w:t>BMJ Evidence-Based Medicine</w:t>
      </w:r>
    </w:p>
    <w:p/>
    <w:p>
      <w:r>
        <w:rPr>
          <w:b/>
        </w:rPr>
        <w:t>Dear Editor,</w:t>
      </w:r>
    </w:p>
    <w:p/>
    <w:p>
      <w:pPr>
        <w:spacing w:after="160"/>
      </w:pPr>
      <w:r>
        <w:rPr>
          <w:sz w:val="22"/>
        </w:rPr>
        <w:t>I am writing to submit our manuscript, DeepSeek large language model for automated detection of retracted references in systematic reviews: pipeline development and diagnostic validation, for consideration as an Original Research article in BMJ Evidence-Based Medicine.</w:t>
      </w:r>
    </w:p>
    <w:p>
      <w:pPr>
        <w:spacing w:after="160"/>
      </w:pPr>
      <w:r>
        <w:rPr>
          <w:sz w:val="22"/>
        </w:rPr>
        <w:t>Retracted publications continue to contaminate systematic reviews, meta-analyses, and clinical guidelines—yet no validated automated screening tool exists. Manual checking of reference lists against the Retraction Watch database takes 3–6 hours per review and is rarely performed. We term this unrecognised problem "silent contamination"—retractions that concentrate in mid-to-low tier journals where authors do not routinely monitor for them.</w:t>
      </w:r>
    </w:p>
    <w:p>
      <w:pPr>
        <w:spacing w:after="160"/>
      </w:pPr>
      <w:r>
        <w:rPr>
          <w:sz w:val="22"/>
        </w:rPr>
        <w:t>We developed and systematically validated the first LLM-powered automated pipeline for retracted reference detection. The two-stage approach (Retraction Watch database + DeepSeek chain-of-thought classifier) achieved 89.4% sensitivity (95% CI 86.0–92.2%), 100% specificity, and an F1 score of 94.4% against a 500-reference gold standard. DeepSeek substantially outperformed all five alternative LLMs tested (Kimi K2.5, MiniMax-Text-01, Qwen-turbo, GLM-4-Air, GLM-4-Flash)—demonstrating an F1 gap of 0–82.8% versus 94.4%.</w:t>
      </w:r>
    </w:p>
    <w:p>
      <w:pPr>
        <w:spacing w:after="160"/>
      </w:pPr>
      <w:r>
        <w:rPr>
          <w:sz w:val="22"/>
        </w:rPr>
        <w:t>At this performance level, an author can screen 100 references in approximately 5 minutes at negligible API cost (&lt;$0.01). All 41 false negatives (10.6%) shared a single root cause—absence of PMIDs in PubMed XML data—pointing to a data coverage limitation rather than a model accuracy gap.</w:t>
      </w:r>
    </w:p>
    <w:p>
      <w:pPr>
        <w:spacing w:after="160"/>
      </w:pPr>
      <w:r>
        <w:rPr>
          <w:sz w:val="22"/>
        </w:rPr>
        <w:t>This work directly addresses a practical, clinically relevant problem in evidence synthesis. The study was designed and reported in accordance with the STARD 2015 checklist (completed checklist provided as Supplementary Table S4).</w:t>
      </w:r>
    </w:p>
    <w:p>
      <w:pPr>
        <w:spacing w:after="160"/>
      </w:pPr>
      <w:r>
        <w:rPr>
          <w:sz w:val="22"/>
        </w:rPr>
        <w:t>This manuscript has not been published and is not under consideration elsewhere. Preliminary findings were presented as a conference poster at the 2026 Evidence Synthesis International Conference. All authors meet ICMJE criteria for authorship and have approved the submission. HL has received speaking honoraria from DeepSeek for educational presentations on AI in clinical research; no other competing interests are declared.</w:t>
      </w:r>
    </w:p>
    <w:p/>
    <w:p>
      <w:r>
        <w:rPr>
          <w:b/>
        </w:rPr>
        <w:t>Sincerely,</w:t>
      </w:r>
    </w:p>
    <w:p/>
    <w:p>
      <w:r>
        <w:rPr>
          <w:b/>
        </w:rPr>
        <w:t>Hui Liu, MD, PhD</w:t>
      </w:r>
    </w:p>
    <w:p>
      <w:r>
        <w:t>Third Department of Hepatic Surgery</w:t>
      </w:r>
    </w:p>
    <w:p>
      <w:r>
        <w:t>Eastern Hepatobiliary Surgery Hospital</w:t>
      </w:r>
    </w:p>
    <w:p>
      <w:r>
        <w:t>Naval Medical University, Shanghai, China</w:t>
      </w:r>
    </w:p>
    <w:p>
      <w:r>
        <w:t>Email: liuhuigg@hotmail.com</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