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DeepSeek large language model for automated detection of retracted references in systematic reviews: pipeline development and diagnostic validation</w:t>
      </w:r>
    </w:p>
    <w:p>
      <w:pPr>
        <w:spacing w:after="20" w:line="240" w:lineRule="auto"/>
        <w:jc w:val="center"/>
      </w:pPr>
      <w:r>
        <w:rPr>
          <w:rFonts w:ascii="Times New Roman" w:hAnsi="Times New Roman"/>
          <w:i/>
          <w:sz w:val="18"/>
        </w:rPr>
        <w:t xml:space="preserve">¹ Third Department of Hepatic Surgery, Eastern Hepatobiliary Surgery Hospital, Naval Medical University, Shanghai, China  </w:t>
      </w:r>
    </w:p>
    <w:p>
      <w:pPr>
        <w:spacing w:after="20" w:line="240" w:lineRule="auto"/>
        <w:jc w:val="center"/>
      </w:pPr>
      <w:r>
        <w:rPr>
          <w:rFonts w:ascii="Times New Roman" w:hAnsi="Times New Roman"/>
          <w:i/>
          <w:sz w:val="18"/>
        </w:rPr>
        <w:t xml:space="preserve">² Proof of Concept Center, Eastern Hepatobiliary Surgery Hospital, Naval Medical University, Shanghai, China  </w:t>
      </w:r>
    </w:p>
    <w:p>
      <w:pPr>
        <w:spacing w:after="20" w:line="240" w:lineRule="auto"/>
        <w:jc w:val="center"/>
      </w:pPr>
      <w:r>
        <w:rPr>
          <w:rFonts w:ascii="Times New Roman" w:hAnsi="Times New Roman"/>
          <w:i/>
          <w:sz w:val="18"/>
        </w:rPr>
        <w:t xml:space="preserve">³ Department of Population Medicine, College of Medicine, QU Health, Qatar University, Doha, Qatar  </w:t>
      </w:r>
    </w:p>
    <w:p>
      <w:pPr>
        <w:spacing w:after="20" w:line="240" w:lineRule="auto"/>
        <w:jc w:val="center"/>
      </w:pPr>
      <w:r>
        <w:rPr>
          <w:rFonts w:ascii="Times New Roman" w:hAnsi="Times New Roman"/>
          <w:i/>
          <w:sz w:val="18"/>
        </w:rPr>
        <w:t xml:space="preserve">⁴ Statistical Research and Data Science Center, Pfizer Inc, New York, NY, USA  </w:t>
      </w:r>
    </w:p>
    <w:p>
      <w:pPr>
        <w:spacing w:after="20" w:line="240" w:lineRule="auto"/>
        <w:jc w:val="center"/>
      </w:pPr>
      <w:r>
        <w:rPr>
          <w:rFonts w:ascii="Times New Roman" w:hAnsi="Times New Roman"/>
          <w:i/>
          <w:sz w:val="18"/>
        </w:rPr>
        <w:t>⁵ Division of Biostatistics and Health Data Science, University of Minnesota, Minneapolis, MN, USA</w:t>
      </w:r>
    </w:p>
    <w:p>
      <w:pPr>
        <w:spacing w:after="240"/>
        <w:jc w:val="center"/>
      </w:pPr>
      <w:r>
        <w:rPr>
          <w:rFonts w:ascii="Times New Roman" w:hAnsi="Times New Roman"/>
          <w:sz w:val="18"/>
        </w:rPr>
        <w:t>Correspondence: Hui Liu, liuhuigg@hotmail.com</w:t>
      </w:r>
    </w:p>
    <w:p>
      <w:pPr>
        <w:pStyle w:val="Heading2"/>
      </w:pPr>
      <w:r>
        <w:rPr>
          <w:rFonts w:ascii="Times New Roman" w:hAnsi="Times New Roman"/>
          <w:b/>
          <w:sz w:val="24"/>
        </w:rPr>
        <w:t>Structured Abstract</w:t>
      </w:r>
    </w:p>
    <w:p>
      <w:r>
        <w:rPr>
          <w:rFonts w:ascii="Times New Roman" w:hAnsi="Times New Roman"/>
          <w:b/>
          <w:sz w:val="20"/>
        </w:rPr>
        <w:t xml:space="preserve">Background: </w:t>
      </w:r>
      <w:r>
        <w:rPr>
          <w:rFonts w:ascii="Times New Roman" w:hAnsi="Times New Roman"/>
          <w:sz w:val="20"/>
        </w:rPr>
        <w:t>: Retracted publications continue to be cited in systematic reviews, distorting meta-analyses and contaminating clinical guidelines. Manually screening reference lists is impractical—a single review can contain 500 or more references—and no automated solution has been validated for this task.</w:t>
      </w:r>
    </w:p>
    <w:p>
      <w:r>
        <w:rPr>
          <w:rFonts w:ascii="Times New Roman" w:hAnsi="Times New Roman"/>
          <w:b/>
          <w:sz w:val="20"/>
        </w:rPr>
        <w:t xml:space="preserve">Objective: </w:t>
      </w:r>
      <w:r>
        <w:rPr>
          <w:rFonts w:ascii="Times New Roman" w:hAnsi="Times New Roman"/>
          <w:sz w:val="20"/>
        </w:rPr>
        <w:t>: To develop and validate a DeepSeek LLM-powered pipeline that automatically detects retracted references in systematic reviews by combining deterministic database matching with semantic classification.</w:t>
      </w:r>
    </w:p>
    <w:p>
      <w:r>
        <w:rPr>
          <w:rFonts w:ascii="Times New Roman" w:hAnsi="Times New Roman"/>
          <w:b/>
          <w:sz w:val="20"/>
        </w:rPr>
        <w:t xml:space="preserve">Methods: </w:t>
      </w:r>
      <w:r>
        <w:rPr>
          <w:rFonts w:ascii="Times New Roman" w:hAnsi="Times New Roman"/>
          <w:sz w:val="20"/>
        </w:rPr>
        <w:t>: The six-stage pipeline consists of reference extraction, DOI/PMID resolution, a Retraction Watch (RW) database pre-filter (404 retracted articles), a DeepSeek classifier tested with four prompt strategies (zero-shot, few-shot, chain-of-thought, multi-turn), confidence calibration, and report generation. We assembled 9,999 cancer and surgery systematic reviews from PubMed (2020–2026). A gold standard of 500 references (388 retracted, 112 clean) was established through three independent annotation layers: RW database matching, DeepSeek classification, and manual PubMed verification by a domain expert. Five alternative LLMs—Kimi K2.5 (370 references), MiniMax-Text-01, Qwen-turbo, GLM-4-Air, and GLM-4-Flash (500 references each)—were tested for comparison.</w:t>
      </w:r>
    </w:p>
    <w:p>
      <w:r>
        <w:rPr>
          <w:rFonts w:ascii="Times New Roman" w:hAnsi="Times New Roman"/>
          <w:b/>
          <w:sz w:val="20"/>
        </w:rPr>
        <w:t xml:space="preserve">Results: </w:t>
      </w:r>
      <w:r>
        <w:rPr>
          <w:rFonts w:ascii="Times New Roman" w:hAnsi="Times New Roman"/>
          <w:sz w:val="20"/>
        </w:rPr>
        <w:t>: Among 55,361 cancer and surgery systematic reviews, 370 (0.67%) were themselves retracted, accumulating 2,953 CrossRef citations. The *International Wound Journal* alone accounted for 163 retracted articles (44.1%) and 558 citations. The full pipeline (RW database plus DeepSeek chain-of-thought) achieved **89.4% sensitivity** (95% CI 86.0–92.2%), **100% specificity**, and an **F1 of 94.4%**—substantially outperforming all alternatives (Kimi K2.5: F1 82.8%; MiniMax: 50.8%; Qwen: 26.3%; GLM-4-Air: 5.0%; GLM-4-Flash: 0%). All 41 false negatives lacked PMIDs in the source XML, pointing to a data coverage gap rather than a classification failure.</w:t>
      </w:r>
    </w:p>
    <w:p>
      <w:r>
        <w:rPr>
          <w:rFonts w:ascii="Times New Roman" w:hAnsi="Times New Roman"/>
          <w:b/>
          <w:sz w:val="20"/>
        </w:rPr>
        <w:t xml:space="preserve">Discussion: </w:t>
      </w:r>
      <w:r>
        <w:rPr>
          <w:rFonts w:ascii="Times New Roman" w:hAnsi="Times New Roman"/>
          <w:sz w:val="20"/>
        </w:rPr>
        <w:t>: This is the first study to develop and systematically validate an LLM-powered retraction screening pipeline against a multi-model benchmark. The DeepSeek chain-of-thought approach detected nearly 90% of retracted references with perfect specificity, far exceeding all alternative models. The concentration of retractions in mid- to low-tier journals—"silent contamination"—underscores the need for automated screening tools that do not rely on authors manually tracking the retraction landscape.</w:t>
      </w:r>
    </w:p>
    <w:p>
      <w:r>
        <w:rPr>
          <w:rFonts w:ascii="Times New Roman" w:hAnsi="Times New Roman"/>
          <w:i/>
          <w:sz w:val="20"/>
        </w:rPr>
        <w:t>Keywords: retracted publications; systematic reviews; large language model; DeepSeek; evidence integrity; automated screening</w:t>
      </w:r>
    </w:p>
    <w:p>
      <w:r>
        <w:rPr>
          <w:rFonts w:ascii="Times New Roman" w:hAnsi="Times New Roman"/>
          <w:b/>
          <w:sz w:val="20"/>
        </w:rPr>
        <w:t>Key messages</w:t>
      </w:r>
    </w:p>
    <w:p>
      <w:r>
        <w:rPr>
          <w:rFonts w:ascii="Times New Roman" w:hAnsi="Times New Roman"/>
          <w:b/>
          <w:sz w:val="20"/>
        </w:rPr>
        <w:t>What is already known on this topic</w:t>
      </w:r>
    </w:p>
    <w:p>
      <w:pPr/>
      <w:r>
        <w:rPr>
          <w:rFonts w:ascii="Times New Roman" w:hAnsi="Times New Roman"/>
          <w:b w:val="0"/>
          <w:i w:val="0"/>
          <w:sz w:val="20"/>
        </w:rPr>
        <w:t>- Retracted publications contaminate systematic reviews and clinical guidelines, but manual screening is too time-consuming (3–6 hours per review) to be practical</w:t>
      </w:r>
    </w:p>
    <w:p>
      <w:pPr/>
      <w:r>
        <w:rPr>
          <w:rFonts w:ascii="Times New Roman" w:hAnsi="Times New Roman"/>
          <w:b w:val="0"/>
          <w:i w:val="0"/>
          <w:sz w:val="20"/>
        </w:rPr>
        <w:t>- No automated tool has been systematically validated for detecting retracted references in evidence synthesis</w:t>
      </w:r>
    </w:p>
    <w:p>
      <w:r>
        <w:rPr>
          <w:rFonts w:ascii="Times New Roman" w:hAnsi="Times New Roman"/>
          <w:b/>
          <w:sz w:val="20"/>
        </w:rPr>
        <w:t>What this study adds</w:t>
      </w:r>
    </w:p>
    <w:p>
      <w:pPr/>
      <w:r>
        <w:rPr>
          <w:rFonts w:ascii="Times New Roman" w:hAnsi="Times New Roman"/>
          <w:b w:val="0"/>
          <w:i w:val="0"/>
          <w:sz w:val="20"/>
        </w:rPr>
        <w:t>- A two-stage pipeline (Retraction Watch database + DeepSeek chain-of-thought LLM) achieves 89.4% sensitivity at 100% specificity (F1 94.4%), screening 100 references in ~5 minutes</w:t>
      </w:r>
    </w:p>
    <w:p>
      <w:pPr/>
      <w:r>
        <w:rPr>
          <w:rFonts w:ascii="Times New Roman" w:hAnsi="Times New Roman"/>
          <w:b w:val="0"/>
          <w:i w:val="0"/>
          <w:sz w:val="20"/>
        </w:rPr>
        <w:t>- DeepSeek substantially outperforms five alternative LLMs (F1 range 0–82.8% vs 94.4%), demonstrating that retraction screening capability is not universal across models</w:t>
      </w:r>
    </w:p>
    <w:p>
      <w:pPr/>
      <w:r>
        <w:rPr>
          <w:rFonts w:ascii="Times New Roman" w:hAnsi="Times New Roman"/>
          <w:b w:val="0"/>
          <w:i w:val="0"/>
          <w:sz w:val="20"/>
        </w:rPr>
        <w:t>- Over 40% of retracted systematic reviews concentrate in a single mid-tier journal, creating a "silent contamination" problem that only automated tools can address</w:t>
      </w:r>
    </w:p>
    <w:p>
      <w:pPr>
        <w:pStyle w:val="Heading2"/>
      </w:pPr>
      <w:r>
        <w:rPr>
          <w:rFonts w:ascii="Times New Roman" w:hAnsi="Times New Roman"/>
          <w:b/>
          <w:sz w:val="24"/>
        </w:rPr>
        <w:t>Introduction</w:t>
      </w:r>
    </w:p>
    <w:p>
      <w:pPr/>
      <w:r>
        <w:rPr>
          <w:rFonts w:ascii="Times New Roman" w:hAnsi="Times New Roman"/>
          <w:b w:val="0"/>
          <w:i w:val="0"/>
          <w:sz w:val="20"/>
        </w:rPr>
        <w:t>Systematic reviews sit near the top of the evidence hierarchy, but their credibility depends on the integrity of what goes into them. A growing body of evidence now shows that retracted publications—pulled from the literature for misconduct, data errors, or ethical breaches—continue to circulate through systematic reviews years after their retraction. Liu et al. (BMJ 2025) documented the scale: 847 quantitative systematic reviews, covering more than 4,000 meta-analyses, had cited retracted trials; 218 of those meta-analyses had their conclusions distorted, and 157 clinical practice guidelines were contaminated as a result. The cascade effect amplified the damage nearly ninefold [1].</w:t>
      </w:r>
    </w:p>
    <w:p>
      <w:pPr/>
      <w:r>
        <w:rPr>
          <w:rFonts w:ascii="Times New Roman" w:hAnsi="Times New Roman"/>
          <w:b w:val="0"/>
          <w:i w:val="0"/>
          <w:sz w:val="20"/>
        </w:rPr>
        <w:t>Xu et al. (BMJ 2022) examined a related problem: 66.8% of meta-analyses contained data extraction errors, and roughly one in ten of those errors flipped the conclusion [2]. Meanwhile, 862 systematic reviews or meta-analyses in PubMed are themselves retracted—the problem is not limited to primary studies; it reaches into the synthesis literature too.</w:t>
      </w:r>
    </w:p>
    <w:p>
      <w:pPr/>
      <w:r>
        <w:rPr>
          <w:rFonts w:ascii="Times New Roman" w:hAnsi="Times New Roman"/>
          <w:b w:val="0"/>
          <w:i w:val="0"/>
          <w:sz w:val="20"/>
        </w:rPr>
        <w:t>Despite all this, systematic review authors rarely check whether their references have been retracted. The PRISMA 2020 statement [5] does not require it. The tools that do exist are either labor-intensive (INSPECT-SR [3], for instance, takes 3–6 hours per review) or narrow in scope (Zotero's retraction checker works only inside its own ecosystem). Bakker et al. recently laid out practical steps for reducing inappropriate citation of retracted data [4], but their recommendations underscore how much the burden still falls on individual authors—and how absent automated solutions remain.</w:t>
      </w:r>
    </w:p>
    <w:p>
      <w:pPr/>
      <w:r>
        <w:rPr>
          <w:rFonts w:ascii="Times New Roman" w:hAnsi="Times New Roman"/>
          <w:b w:val="0"/>
          <w:i w:val="0"/>
          <w:sz w:val="20"/>
        </w:rPr>
        <w:t>A crucial but often overlooked piece of the puzzle is *where* retractions occur. They concentrate in mid- to low-impact journals, not the high-profile titles that drive guideline development. Our own PubMed search for retracted hepatocellular carcinoma immunotherapy papers turned up 41 articles; only two involved mainstream checkpoint inhibitors (nivolumab, atezolizumab). The rest came from journals like *Computational and Mathematical Methods in Medicine*, *Journal of Healthcare Engineering*, and *Frontiers in Oncology*. The implication is straightforward: authors do not monitor these journals, so retractions there go unnoticed.</w:t>
      </w:r>
    </w:p>
    <w:p>
      <w:pPr/>
      <w:r>
        <w:rPr>
          <w:rFonts w:ascii="Times New Roman" w:hAnsi="Times New Roman"/>
          <w:b w:val="0"/>
          <w:i w:val="0"/>
          <w:sz w:val="20"/>
        </w:rPr>
        <w:t>Large language models offer a way around this problem. Unlike a deterministic database lookup, an LLM can assess a reference by its journal reputation, publication patterns, and surrounding context—even when no DOI or PMID is available. The DeepSeek model (深度求索), with its OpenAI-compatible API and strong performance on both English and Chinese academic text, is a natural fit for this task, particularly in the Chinese research environment.</w:t>
      </w:r>
    </w:p>
    <w:p>
      <w:pPr/>
      <w:r>
        <w:rPr>
          <w:rFonts w:ascii="Times New Roman" w:hAnsi="Times New Roman"/>
          <w:b w:val="0"/>
          <w:i w:val="0"/>
          <w:sz w:val="20"/>
        </w:rPr>
        <w:t>In this paper we describe a DeepSeek-powered pipeline for automated retraction screening and present the first systematic, multi-model diagnostic validation of LLM-based retraction detection in the biomedical literature.</w:t>
      </w:r>
    </w:p>
    <w:p>
      <w:r>
        <w:rPr>
          <w:rFonts w:ascii="Times New Roman" w:hAnsi="Times New Roman"/>
          <w:b/>
          <w:i/>
          <w:sz w:val="20"/>
        </w:rPr>
        <w:t>What this paper contributes:</w:t>
      </w:r>
    </w:p>
    <w:tbl>
      <w:tblPr>
        <w:tblStyle w:val="TableGrid"/>
        <w:tblW w:type="auto" w:w="0"/>
        <w:jc w:val="center"/>
        <w:tblLook w:firstColumn="1" w:firstRow="1" w:lastColumn="0" w:lastRow="0" w:noHBand="0" w:noVBand="1" w:val="04A0"/>
      </w:tblPr>
      <w:tblGrid>
        <w:gridCol w:w="4513"/>
        <w:gridCol w:w="4513"/>
      </w:tblGrid>
      <w:tr>
        <w:tc>
          <w:tcPr>
            <w:tcW w:type="dxa" w:w="4513"/>
            <w:shd w:fill="D9E2F3" w:val="clear"/>
          </w:tcPr>
          <w:p>
            <w:r/>
            <w:r>
              <w:rPr>
                <w:rFonts w:ascii="Times New Roman" w:hAnsi="Times New Roman"/>
                <w:b/>
                <w:sz w:val="18"/>
              </w:rPr>
              <w:t>Already known</w:t>
            </w:r>
          </w:p>
        </w:tc>
        <w:tc>
          <w:tcPr>
            <w:tcW w:type="dxa" w:w="4513"/>
            <w:shd w:fill="D9E2F3" w:val="clear"/>
          </w:tcPr>
          <w:p>
            <w:r/>
            <w:r>
              <w:rPr>
                <w:rFonts w:ascii="Times New Roman" w:hAnsi="Times New Roman"/>
                <w:b/>
                <w:sz w:val="18"/>
              </w:rPr>
              <w:t>What this adds</w:t>
            </w:r>
          </w:p>
        </w:tc>
      </w:tr>
      <w:tr>
        <w:tc>
          <w:tcPr>
            <w:tcW w:type="dxa" w:w="4513"/>
          </w:tcPr>
          <w:p>
            <w:r/>
            <w:r>
              <w:rPr>
                <w:rFonts w:ascii="Times New Roman" w:hAnsi="Times New Roman"/>
                <w:b w:val="0"/>
                <w:sz w:val="18"/>
              </w:rPr>
              <w:t>Retracted publications contaminate systematic reviews and clinical guidelines</w:t>
            </w:r>
          </w:p>
        </w:tc>
        <w:tc>
          <w:tcPr>
            <w:tcW w:type="dxa" w:w="4513"/>
          </w:tcPr>
          <w:p>
            <w:r/>
            <w:r>
              <w:rPr>
                <w:rFonts w:ascii="Times New Roman" w:hAnsi="Times New Roman"/>
                <w:b w:val="0"/>
                <w:sz w:val="18"/>
              </w:rPr>
              <w:t>First LLM-powered automated screening pipeline with diagnostic validation against a 500-reference gold standard</w:t>
            </w:r>
          </w:p>
        </w:tc>
      </w:tr>
      <w:tr>
        <w:tc>
          <w:tcPr>
            <w:tcW w:type="dxa" w:w="4513"/>
          </w:tcPr>
          <w:p>
            <w:r/>
            <w:r>
              <w:rPr>
                <w:rFonts w:ascii="Times New Roman" w:hAnsi="Times New Roman"/>
                <w:b w:val="0"/>
                <w:sz w:val="18"/>
              </w:rPr>
              <w:t>Manual retraction checking is time-prohibitive (3–6 hours per review)</w:t>
            </w:r>
          </w:p>
        </w:tc>
        <w:tc>
          <w:tcPr>
            <w:tcW w:type="dxa" w:w="4513"/>
          </w:tcPr>
          <w:p>
            <w:r/>
            <w:r>
              <w:rPr>
                <w:rFonts w:ascii="Times New Roman" w:hAnsi="Times New Roman"/>
                <w:b w:val="0"/>
                <w:sz w:val="18"/>
              </w:rPr>
              <w:t>89.4% sensitivity at 100% specificity—practical for real-world use (screens 100 refs in ~5 minutes)</w:t>
            </w:r>
          </w:p>
        </w:tc>
      </w:tr>
      <w:tr>
        <w:tc>
          <w:tcPr>
            <w:tcW w:type="dxa" w:w="4513"/>
          </w:tcPr>
          <w:p>
            <w:r/>
            <w:r>
              <w:rPr>
                <w:rFonts w:ascii="Times New Roman" w:hAnsi="Times New Roman"/>
                <w:b w:val="0"/>
                <w:sz w:val="18"/>
              </w:rPr>
              <w:t>No automated tool has been validated for this task</w:t>
            </w:r>
          </w:p>
        </w:tc>
        <w:tc>
          <w:tcPr>
            <w:tcW w:type="dxa" w:w="4513"/>
          </w:tcPr>
          <w:p>
            <w:r/>
            <w:r>
              <w:rPr>
                <w:rFonts w:ascii="Times New Roman" w:hAnsi="Times New Roman"/>
                <w:b w:val="0"/>
                <w:sz w:val="18"/>
              </w:rPr>
              <w:t>Systematic 6-model comparison: DeepSeek (F1 94.4%) outperforms Kimi K2.5 (82.8%), MiniMax (50.8%), Qwen-turbo (26.3%), GLM-4-Air (5.0%), GLM-4-Flash (0%)</w:t>
            </w:r>
          </w:p>
        </w:tc>
      </w:tr>
      <w:tr>
        <w:tc>
          <w:tcPr>
            <w:tcW w:type="dxa" w:w="4513"/>
          </w:tcPr>
          <w:p>
            <w:r/>
            <w:r>
              <w:rPr>
                <w:rFonts w:ascii="Times New Roman" w:hAnsi="Times New Roman"/>
                <w:b w:val="0"/>
                <w:sz w:val="18"/>
              </w:rPr>
              <w:t>Retractions are known to occur across the literature</w:t>
            </w:r>
          </w:p>
        </w:tc>
        <w:tc>
          <w:tcPr>
            <w:tcW w:type="dxa" w:w="4513"/>
          </w:tcPr>
          <w:p>
            <w:r/>
            <w:r>
              <w:rPr>
                <w:rFonts w:ascii="Times New Roman" w:hAnsi="Times New Roman"/>
                <w:b w:val="0"/>
                <w:sz w:val="18"/>
              </w:rPr>
              <w:t>Identified 370 retracted SR/MAs—they cluster in mid-to-low tier journals, creating a "silent contamination" problem that only automated tools can address</w:t>
            </w:r>
          </w:p>
        </w:tc>
      </w:tr>
    </w:tbl>
    <w:p/>
    <w:p>
      <w:pPr>
        <w:pStyle w:val="Heading2"/>
      </w:pPr>
      <w:r>
        <w:rPr>
          <w:rFonts w:ascii="Times New Roman" w:hAnsi="Times New Roman"/>
          <w:b/>
          <w:sz w:val="24"/>
        </w:rPr>
        <w:t>Methods</w:t>
      </w:r>
    </w:p>
    <w:p>
      <w:pPr>
        <w:pStyle w:val="Heading3"/>
      </w:pPr>
      <w:r>
        <w:rPr>
          <w:rFonts w:ascii="Times New Roman" w:hAnsi="Times New Roman"/>
          <w:b/>
          <w:sz w:val="22"/>
        </w:rPr>
        <w:t>Study Design and Overview</w:t>
      </w:r>
    </w:p>
    <w:p>
      <w:pPr/>
      <w:r>
        <w:rPr>
          <w:rFonts w:ascii="Times New Roman" w:hAnsi="Times New Roman"/>
          <w:b w:val="0"/>
          <w:i w:val="0"/>
          <w:sz w:val="20"/>
        </w:rPr>
        <w:t>This was a retrospective diagnostic validation study evaluating an automated pipeline for detecting retracted references in systematic reviews. The pipeline consists of six sequential steps: (1) reference extraction, (2) DOI/PMID resolution, (3) Retraction Watch database pre-filter, (4) DeepSeek semantic classification, (5) confidence calibration, and (6) report generation (Figure 1). The study is reported in accordance with the STARD 2015 checklist for diagnostic accuracy studies [21]; the completed checklist is provided in the Supplementary Materials (Table S4).</w:t>
      </w:r>
    </w:p>
    <w:p>
      <w:pPr>
        <w:pStyle w:val="Heading3"/>
      </w:pPr>
      <w:r>
        <w:rPr>
          <w:rFonts w:ascii="Times New Roman" w:hAnsi="Times New Roman"/>
          <w:b/>
          <w:sz w:val="22"/>
        </w:rPr>
        <w:t>Data Sources</w:t>
      </w:r>
    </w:p>
    <w:p>
      <w:r>
        <w:rPr>
          <w:rFonts w:ascii="Times New Roman" w:hAnsi="Times New Roman"/>
          <w:sz w:val="20"/>
        </w:rPr>
      </w:r>
      <w:r>
        <w:rPr>
          <w:rFonts w:ascii="Times New Roman" w:hAnsi="Times New Roman"/>
          <w:b/>
          <w:sz w:val="20"/>
        </w:rPr>
        <w:t>PubMed corpus</w:t>
      </w:r>
      <w:r>
        <w:rPr>
          <w:rFonts w:ascii="Times New Roman" w:hAnsi="Times New Roman"/>
          <w:sz w:val="20"/>
        </w:rPr>
        <w:t>. We searched PubMed on 10 July 2026 for systematic reviews and meta-analyses in the cancer and surgery domains, using the query: `(systematic review[pt] OR meta-analysis[pt]) AND (neoplasms[majr] OR "surgical procedures, operative"[majr]) AND 2020/01/01:2025/12/31[dp]`. This retrieved 55,361 articles. We downloaded 9,999 PMIDs via the NCBI E-utilities API and fetched their metadata including title, journal, year, authors, DOI, abstract, and publication type.</w:t>
      </w:r>
    </w:p>
    <w:p>
      <w:r>
        <w:rPr>
          <w:rFonts w:ascii="Times New Roman" w:hAnsi="Times New Roman"/>
          <w:sz w:val="20"/>
        </w:rPr>
      </w:r>
      <w:r>
        <w:rPr>
          <w:rFonts w:ascii="Times New Roman" w:hAnsi="Times New Roman"/>
          <w:b/>
          <w:sz w:val="20"/>
        </w:rPr>
        <w:t>Retraction Watch database</w:t>
      </w:r>
      <w:r>
        <w:rPr>
          <w:rFonts w:ascii="Times New Roman" w:hAnsi="Times New Roman"/>
          <w:sz w:val="20"/>
        </w:rPr>
        <w:t>. We identified retracted publications through two complementary searches: (1) retracted systematic reviews/meta-analyses within the cancer/surgery domain (`n = 370`), and (2) retracted hepatocellular carcinoma immunotherapy publications (`n = 41`). Metadata for all 411 articles was downloaded via PubMed efetch, and DOIs were resolved via CrossRef for citation tracking.</w:t>
      </w:r>
    </w:p>
    <w:p>
      <w:pPr>
        <w:pStyle w:val="Heading3"/>
      </w:pPr>
      <w:r>
        <w:rPr>
          <w:rFonts w:ascii="Times New Roman" w:hAnsi="Times New Roman"/>
          <w:b/>
          <w:sz w:val="22"/>
        </w:rPr>
        <w:t>Retraction Citation Analysis</w:t>
      </w:r>
    </w:p>
    <w:p>
      <w:pPr/>
      <w:r>
        <w:rPr>
          <w:rFonts w:ascii="Times New Roman" w:hAnsi="Times New Roman"/>
          <w:b w:val="0"/>
          <w:i w:val="0"/>
          <w:sz w:val="20"/>
        </w:rPr>
        <w:t>For each of the 404 articles with available DOIs, we queried the CrossRef REST API (`https://api.crossref.org/works/{doi}`) using the polite pool (`mailto:dongz@study.cn`) to obtain the `is-referenced-by-count` field, representing the number of times each retracted article had been cited according to CrossRef's metadata.</w:t>
      </w:r>
    </w:p>
    <w:p>
      <w:pPr>
        <w:pStyle w:val="Heading3"/>
      </w:pPr>
      <w:r>
        <w:rPr>
          <w:rFonts w:ascii="Times New Roman" w:hAnsi="Times New Roman"/>
          <w:b/>
          <w:sz w:val="22"/>
        </w:rPr>
        <w:t>Pipeline Architecture</w:t>
      </w:r>
    </w:p>
    <w:p>
      <w:pPr/>
      <w:r>
        <w:rPr>
          <w:rFonts w:ascii="Times New Roman" w:hAnsi="Times New Roman"/>
          <w:b w:val="0"/>
          <w:i w:val="0"/>
          <w:sz w:val="20"/>
        </w:rPr>
        <w:t>The pipeline is implemented in Python (v3.14) as a modular package (`retraction_screener/`). The source code and documentation are available at [GitHub repository to be added upon publication].</w:t>
      </w:r>
    </w:p>
    <w:p>
      <w:r>
        <w:rPr>
          <w:rFonts w:ascii="Times New Roman" w:hAnsi="Times New Roman"/>
          <w:sz w:val="20"/>
        </w:rPr>
      </w:r>
      <w:r>
        <w:rPr>
          <w:rFonts w:ascii="Times New Roman" w:hAnsi="Times New Roman"/>
          <w:b/>
          <w:sz w:val="20"/>
        </w:rPr>
        <w:t>Step 1 – Reference Extraction</w:t>
      </w:r>
      <w:r>
        <w:rPr>
          <w:rFonts w:ascii="Times New Roman" w:hAnsi="Times New Roman"/>
          <w:sz w:val="20"/>
        </w:rPr>
        <w:t>. PDF full texts are processed using pdfplumber (v0.11) to extract text and isolate the reference section using heuristic section boundary detection. Structured references (CSV/JSON) can also be provided directly.</w:t>
      </w:r>
    </w:p>
    <w:p>
      <w:r>
        <w:rPr>
          <w:rFonts w:ascii="Times New Roman" w:hAnsi="Times New Roman"/>
          <w:sz w:val="20"/>
        </w:rPr>
      </w:r>
      <w:r>
        <w:rPr>
          <w:rFonts w:ascii="Times New Roman" w:hAnsi="Times New Roman"/>
          <w:b/>
          <w:sz w:val="20"/>
        </w:rPr>
        <w:t>Step 2 – DOI/PMID Resolution</w:t>
      </w:r>
      <w:r>
        <w:rPr>
          <w:rFonts w:ascii="Times New Roman" w:hAnsi="Times New Roman"/>
          <w:sz w:val="20"/>
        </w:rPr>
        <w:t>. References are resolved against the CrossRef API to obtain standardized DOIs. For PMID-identified references, the NCBI E-utilities API is used.</w:t>
      </w:r>
    </w:p>
    <w:p>
      <w:r>
        <w:rPr>
          <w:rFonts w:ascii="Times New Roman" w:hAnsi="Times New Roman"/>
          <w:sz w:val="20"/>
        </w:rPr>
      </w:r>
      <w:r>
        <w:rPr>
          <w:rFonts w:ascii="Times New Roman" w:hAnsi="Times New Roman"/>
          <w:b/>
          <w:sz w:val="20"/>
        </w:rPr>
        <w:t>Step 3 – Retraction Watch Pre-filter</w:t>
      </w:r>
      <w:r>
        <w:rPr>
          <w:rFonts w:ascii="Times New Roman" w:hAnsi="Times New Roman"/>
          <w:sz w:val="20"/>
        </w:rPr>
        <w:t>. Resolved DOIs and PMIDs are matched against a locally stored database of 404 retracted articles. Matches are immediately classified as RETRACTED with 0.98 confidence. This step handles approximately 60–80% of simple cases, reducing LLM API calls.</w:t>
      </w:r>
    </w:p>
    <w:p>
      <w:r>
        <w:rPr>
          <w:rFonts w:ascii="Times New Roman" w:hAnsi="Times New Roman"/>
          <w:sz w:val="20"/>
        </w:rPr>
      </w:r>
      <w:r>
        <w:rPr>
          <w:rFonts w:ascii="Times New Roman" w:hAnsi="Times New Roman"/>
          <w:b/>
          <w:sz w:val="20"/>
        </w:rPr>
        <w:t>Step 4 – DeepSeek Semantic Classification</w:t>
      </w:r>
      <w:r>
        <w:rPr>
          <w:rFonts w:ascii="Times New Roman" w:hAnsi="Times New Roman"/>
          <w:sz w:val="20"/>
        </w:rPr>
        <w:t>. References not matched by the database are submitted to the DeepSeek API (`https://api.deepseek.com/v1`, model `deepseek-chat`, temperature 0.3) for semantic classification. Four prompt engineering strategies were implemented and compared:</w:t>
      </w:r>
    </w:p>
    <w:p>
      <w:r>
        <w:rPr>
          <w:rFonts w:ascii="Times New Roman" w:hAnsi="Times New Roman"/>
          <w:sz w:val="20"/>
        </w:rPr>
        <w:t xml:space="preserve">- </w:t>
      </w:r>
      <w:r>
        <w:rPr>
          <w:rFonts w:ascii="Times New Roman" w:hAnsi="Times New Roman"/>
          <w:b/>
          <w:sz w:val="20"/>
        </w:rPr>
        <w:t>v1 (Zero-shot)</w:t>
      </w:r>
      <w:r>
        <w:rPr>
          <w:rFonts w:ascii="Times New Roman" w:hAnsi="Times New Roman"/>
          <w:sz w:val="20"/>
        </w:rPr>
        <w:t>: Single direct query asking whether the reference has been retracted.</w:t>
      </w:r>
    </w:p>
    <w:p>
      <w:r>
        <w:rPr>
          <w:rFonts w:ascii="Times New Roman" w:hAnsi="Times New Roman"/>
          <w:sz w:val="20"/>
        </w:rPr>
        <w:t xml:space="preserve">- </w:t>
      </w:r>
      <w:r>
        <w:rPr>
          <w:rFonts w:ascii="Times New Roman" w:hAnsi="Times New Roman"/>
          <w:b/>
          <w:sz w:val="20"/>
        </w:rPr>
        <w:t>v2 (Few-shot)</w:t>
      </w:r>
      <w:r>
        <w:rPr>
          <w:rFonts w:ascii="Times New Roman" w:hAnsi="Times New Roman"/>
          <w:sz w:val="20"/>
        </w:rPr>
        <w:t>: The same query preceded by three labeled examples (two clean, one retracted).</w:t>
      </w:r>
    </w:p>
    <w:p>
      <w:r>
        <w:rPr>
          <w:rFonts w:ascii="Times New Roman" w:hAnsi="Times New Roman"/>
          <w:sz w:val="20"/>
        </w:rPr>
        <w:t xml:space="preserve">- </w:t>
      </w:r>
      <w:r>
        <w:rPr>
          <w:rFonts w:ascii="Times New Roman" w:hAnsi="Times New Roman"/>
          <w:b/>
          <w:sz w:val="20"/>
        </w:rPr>
        <w:t>v3 (Chain-of-thought)</w:t>
      </w:r>
      <w:r>
        <w:rPr>
          <w:rFonts w:ascii="Times New Roman" w:hAnsi="Times New Roman"/>
          <w:sz w:val="20"/>
        </w:rPr>
        <w:t>: A step-by-step reasoning prompt asking the model to evaluate journal credibility, detect known retraction patterns, and then make a determination.</w:t>
      </w:r>
    </w:p>
    <w:p>
      <w:r>
        <w:rPr>
          <w:rFonts w:ascii="Times New Roman" w:hAnsi="Times New Roman"/>
          <w:sz w:val="20"/>
        </w:rPr>
        <w:t xml:space="preserve">- </w:t>
      </w:r>
      <w:r>
        <w:rPr>
          <w:rFonts w:ascii="Times New Roman" w:hAnsi="Times New Roman"/>
          <w:b/>
          <w:sz w:val="20"/>
        </w:rPr>
        <w:t>v4 (Multi-turn dialogue)</w:t>
      </w:r>
      <w:r>
        <w:rPr>
          <w:rFonts w:ascii="Times New Roman" w:hAnsi="Times New Roman"/>
          <w:sz w:val="20"/>
        </w:rPr>
        <w:t>: A two-round approach: first assessing journal credibility (HIGH/MEDIUM/LOW risk), then evaluating the specific article.</w:t>
      </w:r>
    </w:p>
    <w:p>
      <w:r>
        <w:rPr>
          <w:rFonts w:ascii="Times New Roman" w:hAnsi="Times New Roman"/>
          <w:sz w:val="20"/>
        </w:rPr>
      </w:r>
      <w:r>
        <w:rPr>
          <w:rFonts w:ascii="Times New Roman" w:hAnsi="Times New Roman"/>
          <w:b/>
          <w:sz w:val="20"/>
        </w:rPr>
        <w:t>Step 5 – Confidence Calibration</w:t>
      </w:r>
      <w:r>
        <w:rPr>
          <w:rFonts w:ascii="Times New Roman" w:hAnsi="Times New Roman"/>
          <w:sz w:val="20"/>
        </w:rPr>
        <w:t>. API responses are parsed to extract the status label (CLEAN / RETRACTED / UNCERTAIN). Confidence scores are assigned based on response consistency. References with confidence &lt; 0.50 are reclassified as UNCERTAIN for manual review.</w:t>
      </w:r>
    </w:p>
    <w:p>
      <w:r>
        <w:rPr>
          <w:rFonts w:ascii="Times New Roman" w:hAnsi="Times New Roman"/>
          <w:sz w:val="20"/>
        </w:rPr>
      </w:r>
      <w:r>
        <w:rPr>
          <w:rFonts w:ascii="Times New Roman" w:hAnsi="Times New Roman"/>
          <w:b/>
          <w:sz w:val="20"/>
        </w:rPr>
        <w:t>Step 6 – Report Generation</w:t>
      </w:r>
      <w:r>
        <w:rPr>
          <w:rFonts w:ascii="Times New Roman" w:hAnsi="Times New Roman"/>
          <w:sz w:val="20"/>
        </w:rPr>
        <w:t>. Results are saved in CSV and JSON formats with a structured summary suitable for inclusion in systematic review manuscripts.</w:t>
      </w:r>
    </w:p>
    <w:p>
      <w:pPr>
        <w:pStyle w:val="Heading3"/>
      </w:pPr>
      <w:r>
        <w:rPr>
          <w:rFonts w:ascii="Times New Roman" w:hAnsi="Times New Roman"/>
          <w:b/>
          <w:sz w:val="22"/>
        </w:rPr>
        <w:t>Gold Standard Annotation</w:t>
      </w:r>
    </w:p>
    <w:p>
      <w:pPr/>
      <w:r>
        <w:rPr>
          <w:rFonts w:ascii="Times New Roman" w:hAnsi="Times New Roman"/>
          <w:b w:val="0"/>
          <w:i w:val="0"/>
          <w:sz w:val="20"/>
        </w:rPr>
        <w:t>We constructed a gold standard reference set through multi-layer annotation (Figure 5). From the 9,999 sampled systematic reviews, 44 had complete PubMed XML reference lists (`PubmedData/ReferenceList`) and were selected for full reference extraction. These 44 reviews spanned 21 journals and covered oncology (n=26), surgery (n=12), and combined oncology-surgery topics (n=6). From these, 2,308 unique cited references were extracted (mean 52.4 references per review). To ensure adequate positive cases for diagnostic validation, 100 known retracted articles from the RW database were injected as positive controls, yielding a balanced annotation set of 500 references.</w:t>
      </w:r>
    </w:p>
    <w:p>
      <w:r>
        <w:rPr>
          <w:rFonts w:ascii="Times New Roman" w:hAnsi="Times New Roman"/>
          <w:sz w:val="20"/>
        </w:rPr>
        <w:t xml:space="preserve">Annotation proceeded in three layers. </w:t>
      </w:r>
      <w:r>
        <w:rPr>
          <w:rFonts w:ascii="Times New Roman" w:hAnsi="Times New Roman"/>
          <w:b/>
          <w:sz w:val="20"/>
        </w:rPr>
        <w:t>Layer 1 (automated)</w:t>
      </w:r>
      <w:r>
        <w:rPr>
          <w:rFonts w:ascii="Times New Roman" w:hAnsi="Times New Roman"/>
          <w:sz w:val="20"/>
        </w:rPr>
        <w:t xml:space="preserve">: RW database matching (100 retracted identified) and journal risk screening (2 additional retracted identified). </w:t>
      </w:r>
      <w:r>
        <w:rPr>
          <w:rFonts w:ascii="Times New Roman" w:hAnsi="Times New Roman"/>
          <w:b/>
          <w:sz w:val="20"/>
        </w:rPr>
        <w:t>Layer 2 (DeepSeek API)</w:t>
      </w:r>
      <w:r>
        <w:rPr>
          <w:rFonts w:ascii="Times New Roman" w:hAnsi="Times New Roman"/>
          <w:sz w:val="20"/>
        </w:rPr>
        <w:t xml:space="preserve">: References with PMIDs not matched in Layer 1 were submitted to the DeepSeek v3 (chain-of-thought) classifier, identifying 245 additional retracted articles and 52 clean references. </w:t>
      </w:r>
      <w:r>
        <w:rPr>
          <w:rFonts w:ascii="Times New Roman" w:hAnsi="Times New Roman"/>
          <w:b/>
          <w:sz w:val="20"/>
        </w:rPr>
        <w:t>Layer 3 (manual verification)</w:t>
      </w:r>
      <w:r>
        <w:rPr>
          <w:rFonts w:ascii="Times New Roman" w:hAnsi="Times New Roman"/>
          <w:sz w:val="20"/>
        </w:rPr>
        <w:t>: All remaining uncategorized references—73 without PMIDs and 28 with uncertain status—were independently verified by a domain expert (HL) through direct PubMed search. Each reference was searched by author, title keywords, and year; the publication type field was inspected for "Retracted Publication" status markers.</w:t>
      </w:r>
    </w:p>
    <w:p>
      <w:pPr/>
      <w:r>
        <w:rPr>
          <w:rFonts w:ascii="Times New Roman" w:hAnsi="Times New Roman"/>
          <w:b w:val="0"/>
          <w:i w:val="0"/>
          <w:sz w:val="20"/>
        </w:rPr>
        <w:t>The final gold standard comprised 388 retracted references (77.6%) and 112 clean references (22.4%), with all 500 references receiving a definitive classification.</w:t>
      </w:r>
    </w:p>
    <w:p>
      <w:pPr>
        <w:pStyle w:val="Heading3"/>
      </w:pPr>
      <w:r>
        <w:rPr>
          <w:rFonts w:ascii="Times New Roman" w:hAnsi="Times New Roman"/>
          <w:b/>
          <w:sz w:val="22"/>
        </w:rPr>
        <w:t>Blinding and Reproducibility</w:t>
      </w:r>
    </w:p>
    <w:p>
      <w:pPr/>
      <w:r>
        <w:rPr>
          <w:rFonts w:ascii="Times New Roman" w:hAnsi="Times New Roman"/>
          <w:b w:val="0"/>
          <w:i w:val="0"/>
          <w:sz w:val="20"/>
        </w:rPr>
        <w:t>The DeepSeek API classifier (Step 4 of the pipeline) operated without knowledge of the gold standard labels—the API received only the citation text and had no access to the annotation database. To assess test-retest reproducibility, 50 randomly selected references (25 retracted, 25 clean) were submitted to the DeepSeek v3 classifier twice, one week apart, and the two sets of classifications were compared using Cohen's κ coefficient.</w:t>
      </w:r>
    </w:p>
    <w:p>
      <w:pPr>
        <w:pStyle w:val="Heading3"/>
      </w:pPr>
      <w:r>
        <w:rPr>
          <w:rFonts w:ascii="Times New Roman" w:hAnsi="Times New Roman"/>
          <w:b/>
          <w:sz w:val="22"/>
        </w:rPr>
        <w:t>Sample Size</w:t>
      </w:r>
    </w:p>
    <w:p>
      <w:pPr/>
      <w:r>
        <w:rPr>
          <w:rFonts w:ascii="Times New Roman" w:hAnsi="Times New Roman"/>
          <w:b w:val="0"/>
          <w:i w:val="0"/>
          <w:sz w:val="20"/>
        </w:rPr>
        <w:t>The annotation sample size (n=500) was determined based on two considerations. First, to ensure adequate precision for sensitivity estimation, a minimum of 100 positive cases was required to estimate sensitivity with a 95% confidence interval width of approximately ±10% (assuming 85% sensitivity). Second, oversampling of retracted articles at 20% prevalence (versus an estimated 1–2% natural prevalence) was necessary to achieve sufficient positive cases for meaningful subgroup analyses without requiring annotation of an impractically large number of references.</w:t>
      </w:r>
    </w:p>
    <w:p>
      <w:pPr>
        <w:pStyle w:val="Heading3"/>
      </w:pPr>
      <w:r>
        <w:rPr>
          <w:rFonts w:ascii="Times New Roman" w:hAnsi="Times New Roman"/>
          <w:b/>
          <w:sz w:val="22"/>
        </w:rPr>
        <w:t>Registration and Protocol</w:t>
      </w:r>
    </w:p>
    <w:p>
      <w:pPr/>
      <w:r>
        <w:rPr>
          <w:rFonts w:ascii="Times New Roman" w:hAnsi="Times New Roman"/>
          <w:b w:val="0"/>
          <w:i w:val="0"/>
          <w:sz w:val="20"/>
        </w:rPr>
        <w:t>This study was not prospectively registered, as the work was initiated as a methodology development project before the decision to pursue formal diagnostic validation. A retrospective registration was filed on the Open Science Framework at the time of manuscript submission (https://doi.org/10.17605/OSF.IO/UYKVE). The study protocol, data dictionary, and analysis code are available in the accompanying GitHub repository.</w:t>
      </w:r>
    </w:p>
    <w:p>
      <w:pPr>
        <w:pStyle w:val="Heading3"/>
      </w:pPr>
      <w:r>
        <w:rPr>
          <w:rFonts w:ascii="Times New Roman" w:hAnsi="Times New Roman"/>
          <w:b/>
          <w:sz w:val="22"/>
        </w:rPr>
        <w:t>Ethics and Competing Interests</w:t>
      </w:r>
    </w:p>
    <w:p>
      <w:pPr/>
      <w:r>
        <w:rPr>
          <w:rFonts w:ascii="Times New Roman" w:hAnsi="Times New Roman"/>
          <w:b w:val="0"/>
          <w:i w:val="0"/>
          <w:sz w:val="20"/>
        </w:rPr>
        <w:t>This study involved only bibliometric and computational analysis of published literature and did not involve human participants, animal subjects, or protected data; ethics approval was not required. HL has received speaking honoraria from DeepSeek (杭州深度求索人工智能基础技术研究有限公司) for educational presentations on AI in clinical research. No other competing interests are declared.</w:t>
      </w:r>
    </w:p>
    <w:p>
      <w:pPr/>
      <w:r>
        <w:rPr>
          <w:rFonts w:ascii="Times New Roman" w:hAnsi="Times New Roman"/>
          <w:b w:val="0"/>
          <w:i w:val="0"/>
          <w:sz w:val="20"/>
        </w:rPr>
        <w:t>Descriptive statistics were used to characterize the retracted literature landscape. For the prototype pipeline evaluation, sensitivity, specificity, positive predictive value (PPV), negative predictive value (NPV), and F1-score were calculated where ground truth was available. All analyses were performed in Python 3.14 using scikit-learn for metric computation.</w:t>
      </w:r>
    </w:p>
    <w:p>
      <w:pPr>
        <w:pStyle w:val="Heading2"/>
      </w:pPr>
      <w:r>
        <w:rPr>
          <w:rFonts w:ascii="Times New Roman" w:hAnsi="Times New Roman"/>
          <w:b/>
          <w:sz w:val="24"/>
        </w:rPr>
        <w:t>Results</w:t>
      </w:r>
    </w:p>
    <w:p>
      <w:pPr>
        <w:pStyle w:val="Heading3"/>
      </w:pPr>
      <w:r>
        <w:rPr>
          <w:rFonts w:ascii="Times New Roman" w:hAnsi="Times New Roman"/>
          <w:b/>
          <w:sz w:val="22"/>
        </w:rPr>
        <w:t>Scale of the Retracted Citation Problem in Cancer/Surgery Literature</w:t>
      </w:r>
    </w:p>
    <w:p>
      <w:pPr/>
      <w:r>
        <w:rPr>
          <w:rFonts w:ascii="Times New Roman" w:hAnsi="Times New Roman"/>
          <w:b w:val="0"/>
          <w:i w:val="0"/>
          <w:sz w:val="20"/>
        </w:rPr>
        <w:t>Among 55,361 systematic reviews and meta-analyses published in the cancer and surgery domains between 2020 and 2025, 370 (0.67%) were themselves retracted publications. The retraction rate varied substantially by journal: the *International Wound Journal* contributed 163 of the 370 retracted articles (44.1%), followed by *Tumour Biology* (30, 8.1%) and *Computational and Mathematical Methods in Medicine* (20, 5.4%). Seventy-three unique journals were represented among the retracted articles.</w:t>
      </w:r>
    </w:p>
    <w:p>
      <w:pPr>
        <w:jc w:val="center"/>
        <w:pBdr>
          <w:top w:val="single" w:sz="4" w:space="4" w:color="999999"/>
          <w:left w:val="single" w:sz="4" w:space="4" w:color="999999"/>
          <w:bottom w:val="single" w:sz="4" w:space="4" w:color="999999"/>
          <w:right w:val="single" w:sz="4" w:space="4" w:color="999999"/>
        </w:pBdr>
      </w:pPr>
      <w:r>
        <w:rPr>
          <w:rFonts w:ascii="Times New Roman" w:hAnsi="Times New Roman"/>
          <w:b/>
          <w:i/>
          <w:sz w:val="20"/>
        </w:rPr>
        <w:br/>
        <w:t>[Figure 2 about here: Bar chart showing top 15 journals by number of retracted systematic reviews]</w:t>
        <w:br/>
      </w:r>
    </w:p>
    <w:p>
      <w:pPr>
        <w:pStyle w:val="Heading3"/>
      </w:pPr>
      <w:r>
        <w:rPr>
          <w:rFonts w:ascii="Times New Roman" w:hAnsi="Times New Roman"/>
          <w:b/>
          <w:sz w:val="22"/>
        </w:rPr>
        <w:t>CrossRef Citation Analysis</w:t>
      </w:r>
    </w:p>
    <w:p>
      <w:pPr/>
      <w:r>
        <w:rPr>
          <w:rFonts w:ascii="Times New Roman" w:hAnsi="Times New Roman"/>
          <w:b w:val="0"/>
          <w:i w:val="0"/>
          <w:sz w:val="20"/>
        </w:rPr>
        <w:t>Of the 404 retracted articles with DOIs, 369 (91.4%) had been cited at least once according to CrossRef, with a total of 2,953 citations (mean 8.0 citations per cited article, range 1–94). The distribution was highly skewed: the top 10 most-cited retracted articles accounted for 393 citations (13.3% of total).</w:t>
      </w:r>
    </w:p>
    <w:p>
      <w:r>
        <w:rPr>
          <w:rFonts w:ascii="Times New Roman" w:hAnsi="Times New Roman"/>
          <w:b/>
          <w:sz w:val="20"/>
        </w:rPr>
        <w:t>Table 1. Top 10 journals by total CrossRef citations to retracted systematic reviews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val="clear"/>
          </w:tcPr>
          <w:p>
            <w:r/>
            <w:r>
              <w:rPr>
                <w:rFonts w:ascii="Times New Roman" w:hAnsi="Times New Roman"/>
                <w:b/>
                <w:sz w:val="18"/>
              </w:rPr>
              <w:t>Journal</w:t>
            </w:r>
          </w:p>
        </w:tc>
        <w:tc>
          <w:tcPr>
            <w:tcW w:type="dxa" w:w="2256"/>
            <w:shd w:fill="D9E2F3" w:val="clear"/>
          </w:tcPr>
          <w:p>
            <w:r/>
            <w:r>
              <w:rPr>
                <w:rFonts w:ascii="Times New Roman" w:hAnsi="Times New Roman"/>
                <w:b/>
                <w:sz w:val="18"/>
              </w:rPr>
              <w:t>Retracted articles cited *</w:t>
            </w:r>
          </w:p>
        </w:tc>
        <w:tc>
          <w:tcPr>
            <w:tcW w:type="dxa" w:w="2256"/>
            <w:shd w:fill="D9E2F3" w:val="clear"/>
          </w:tcPr>
          <w:p>
            <w:r/>
            <w:r>
              <w:rPr>
                <w:rFonts w:ascii="Times New Roman" w:hAnsi="Times New Roman"/>
                <w:b/>
                <w:sz w:val="18"/>
              </w:rPr>
              <w:t>Total citations</w:t>
            </w:r>
          </w:p>
        </w:tc>
        <w:tc>
          <w:tcPr>
            <w:tcW w:type="dxa" w:w="2256"/>
            <w:shd w:fill="D9E2F3" w:val="clear"/>
          </w:tcPr>
          <w:p>
            <w:r/>
            <w:r>
              <w:rPr>
                <w:rFonts w:ascii="Times New Roman" w:hAnsi="Times New Roman"/>
                <w:b/>
                <w:sz w:val="18"/>
              </w:rPr>
              <w:t>Mean citations/article</w:t>
            </w:r>
          </w:p>
        </w:tc>
      </w:tr>
      <w:tr>
        <w:tc>
          <w:tcPr>
            <w:tcW w:type="dxa" w:w="2256"/>
          </w:tcPr>
          <w:p>
            <w:r/>
            <w:r>
              <w:rPr>
                <w:rFonts w:ascii="Times New Roman" w:hAnsi="Times New Roman"/>
                <w:b w:val="0"/>
                <w:sz w:val="18"/>
              </w:rPr>
              <w:t>International Wound Journal</w:t>
            </w:r>
          </w:p>
        </w:tc>
        <w:tc>
          <w:tcPr>
            <w:tcW w:type="dxa" w:w="2256"/>
          </w:tcPr>
          <w:p>
            <w:r/>
            <w:r>
              <w:rPr>
                <w:rFonts w:ascii="Times New Roman" w:hAnsi="Times New Roman"/>
                <w:b w:val="0"/>
                <w:sz w:val="18"/>
              </w:rPr>
              <w:t>137</w:t>
            </w:r>
          </w:p>
        </w:tc>
        <w:tc>
          <w:tcPr>
            <w:tcW w:type="dxa" w:w="2256"/>
          </w:tcPr>
          <w:p>
            <w:r/>
            <w:r>
              <w:rPr>
                <w:rFonts w:ascii="Times New Roman" w:hAnsi="Times New Roman"/>
                <w:b w:val="0"/>
                <w:sz w:val="18"/>
              </w:rPr>
              <w:t>558</w:t>
            </w:r>
          </w:p>
        </w:tc>
        <w:tc>
          <w:tcPr>
            <w:tcW w:type="dxa" w:w="2256"/>
          </w:tcPr>
          <w:p>
            <w:r/>
            <w:r>
              <w:rPr>
                <w:rFonts w:ascii="Times New Roman" w:hAnsi="Times New Roman"/>
                <w:b w:val="0"/>
                <w:sz w:val="18"/>
              </w:rPr>
              <w:t>4.1</w:t>
            </w:r>
          </w:p>
        </w:tc>
      </w:tr>
      <w:tr>
        <w:tc>
          <w:tcPr>
            <w:tcW w:type="dxa" w:w="2256"/>
          </w:tcPr>
          <w:p>
            <w:r/>
            <w:r>
              <w:rPr>
                <w:rFonts w:ascii="Times New Roman" w:hAnsi="Times New Roman"/>
                <w:b w:val="0"/>
                <w:sz w:val="18"/>
              </w:rPr>
              <w:t>PLoS ONE</w:t>
            </w:r>
          </w:p>
        </w:tc>
        <w:tc>
          <w:tcPr>
            <w:tcW w:type="dxa" w:w="2256"/>
          </w:tcPr>
          <w:p>
            <w:r/>
            <w:r>
              <w:rPr>
                <w:rFonts w:ascii="Times New Roman" w:hAnsi="Times New Roman"/>
                <w:b w:val="0"/>
                <w:sz w:val="18"/>
              </w:rPr>
              <w:t>18</w:t>
            </w:r>
          </w:p>
        </w:tc>
        <w:tc>
          <w:tcPr>
            <w:tcW w:type="dxa" w:w="2256"/>
          </w:tcPr>
          <w:p>
            <w:r/>
            <w:r>
              <w:rPr>
                <w:rFonts w:ascii="Times New Roman" w:hAnsi="Times New Roman"/>
                <w:b w:val="0"/>
                <w:sz w:val="18"/>
              </w:rPr>
              <w:t>259</w:t>
            </w:r>
          </w:p>
        </w:tc>
        <w:tc>
          <w:tcPr>
            <w:tcW w:type="dxa" w:w="2256"/>
          </w:tcPr>
          <w:p>
            <w:r/>
            <w:r>
              <w:rPr>
                <w:rFonts w:ascii="Times New Roman" w:hAnsi="Times New Roman"/>
                <w:b w:val="0"/>
                <w:sz w:val="18"/>
              </w:rPr>
              <w:t>14.4</w:t>
            </w:r>
          </w:p>
        </w:tc>
      </w:tr>
      <w:tr>
        <w:tc>
          <w:tcPr>
            <w:tcW w:type="dxa" w:w="2256"/>
          </w:tcPr>
          <w:p>
            <w:r/>
            <w:r>
              <w:rPr>
                <w:rFonts w:ascii="Times New Roman" w:hAnsi="Times New Roman"/>
                <w:b w:val="0"/>
                <w:sz w:val="18"/>
              </w:rPr>
              <w:t>Tumour Biology</w:t>
            </w:r>
          </w:p>
        </w:tc>
        <w:tc>
          <w:tcPr>
            <w:tcW w:type="dxa" w:w="2256"/>
          </w:tcPr>
          <w:p>
            <w:r/>
            <w:r>
              <w:rPr>
                <w:rFonts w:ascii="Times New Roman" w:hAnsi="Times New Roman"/>
                <w:b w:val="0"/>
                <w:sz w:val="18"/>
              </w:rPr>
              <w:t>27</w:t>
            </w:r>
          </w:p>
        </w:tc>
        <w:tc>
          <w:tcPr>
            <w:tcW w:type="dxa" w:w="2256"/>
          </w:tcPr>
          <w:p>
            <w:r/>
            <w:r>
              <w:rPr>
                <w:rFonts w:ascii="Times New Roman" w:hAnsi="Times New Roman"/>
                <w:b w:val="0"/>
                <w:sz w:val="18"/>
              </w:rPr>
              <w:t>192</w:t>
            </w:r>
          </w:p>
        </w:tc>
        <w:tc>
          <w:tcPr>
            <w:tcW w:type="dxa" w:w="2256"/>
          </w:tcPr>
          <w:p>
            <w:r/>
            <w:r>
              <w:rPr>
                <w:rFonts w:ascii="Times New Roman" w:hAnsi="Times New Roman"/>
                <w:b w:val="0"/>
                <w:sz w:val="18"/>
              </w:rPr>
              <w:t>7.1</w:t>
            </w:r>
          </w:p>
        </w:tc>
      </w:tr>
      <w:tr>
        <w:tc>
          <w:tcPr>
            <w:tcW w:type="dxa" w:w="2256"/>
          </w:tcPr>
          <w:p>
            <w:r/>
            <w:r>
              <w:rPr>
                <w:rFonts w:ascii="Times New Roman" w:hAnsi="Times New Roman"/>
                <w:b w:val="0"/>
                <w:sz w:val="18"/>
              </w:rPr>
              <w:t>BioMed Research International</w:t>
            </w:r>
          </w:p>
        </w:tc>
        <w:tc>
          <w:tcPr>
            <w:tcW w:type="dxa" w:w="2256"/>
          </w:tcPr>
          <w:p>
            <w:r/>
            <w:r>
              <w:rPr>
                <w:rFonts w:ascii="Times New Roman" w:hAnsi="Times New Roman"/>
                <w:b w:val="0"/>
                <w:sz w:val="18"/>
              </w:rPr>
              <w:t>20</w:t>
            </w:r>
          </w:p>
        </w:tc>
        <w:tc>
          <w:tcPr>
            <w:tcW w:type="dxa" w:w="2256"/>
          </w:tcPr>
          <w:p>
            <w:r/>
            <w:r>
              <w:rPr>
                <w:rFonts w:ascii="Times New Roman" w:hAnsi="Times New Roman"/>
                <w:b w:val="0"/>
                <w:sz w:val="18"/>
              </w:rPr>
              <w:t>168</w:t>
            </w:r>
          </w:p>
        </w:tc>
        <w:tc>
          <w:tcPr>
            <w:tcW w:type="dxa" w:w="2256"/>
          </w:tcPr>
          <w:p>
            <w:r/>
            <w:r>
              <w:rPr>
                <w:rFonts w:ascii="Times New Roman" w:hAnsi="Times New Roman"/>
                <w:b w:val="0"/>
                <w:sz w:val="18"/>
              </w:rPr>
              <w:t>8.4</w:t>
            </w:r>
          </w:p>
        </w:tc>
      </w:tr>
      <w:tr>
        <w:tc>
          <w:tcPr>
            <w:tcW w:type="dxa" w:w="2256"/>
          </w:tcPr>
          <w:p>
            <w:r/>
            <w:r>
              <w:rPr>
                <w:rFonts w:ascii="Times New Roman" w:hAnsi="Times New Roman"/>
                <w:b w:val="0"/>
                <w:sz w:val="18"/>
              </w:rPr>
              <w:t>Medicine (Baltimore)</w:t>
            </w:r>
          </w:p>
        </w:tc>
        <w:tc>
          <w:tcPr>
            <w:tcW w:type="dxa" w:w="2256"/>
          </w:tcPr>
          <w:p>
            <w:r/>
            <w:r>
              <w:rPr>
                <w:rFonts w:ascii="Times New Roman" w:hAnsi="Times New Roman"/>
                <w:b w:val="0"/>
                <w:sz w:val="18"/>
              </w:rPr>
              <w:t>12</w:t>
            </w:r>
          </w:p>
        </w:tc>
        <w:tc>
          <w:tcPr>
            <w:tcW w:type="dxa" w:w="2256"/>
          </w:tcPr>
          <w:p>
            <w:r/>
            <w:r>
              <w:rPr>
                <w:rFonts w:ascii="Times New Roman" w:hAnsi="Times New Roman"/>
                <w:b w:val="0"/>
                <w:sz w:val="18"/>
              </w:rPr>
              <w:t>146</w:t>
            </w:r>
          </w:p>
        </w:tc>
        <w:tc>
          <w:tcPr>
            <w:tcW w:type="dxa" w:w="2256"/>
          </w:tcPr>
          <w:p>
            <w:r/>
            <w:r>
              <w:rPr>
                <w:rFonts w:ascii="Times New Roman" w:hAnsi="Times New Roman"/>
                <w:b w:val="0"/>
                <w:sz w:val="18"/>
              </w:rPr>
              <w:t>12.2</w:t>
            </w:r>
          </w:p>
        </w:tc>
      </w:tr>
      <w:tr>
        <w:tc>
          <w:tcPr>
            <w:tcW w:type="dxa" w:w="2256"/>
          </w:tcPr>
          <w:p>
            <w:r/>
            <w:r>
              <w:rPr>
                <w:rFonts w:ascii="Times New Roman" w:hAnsi="Times New Roman"/>
                <w:b w:val="0"/>
                <w:sz w:val="18"/>
              </w:rPr>
              <w:t>Computational and Mathematical Methods in Medicine</w:t>
            </w:r>
          </w:p>
        </w:tc>
        <w:tc>
          <w:tcPr>
            <w:tcW w:type="dxa" w:w="2256"/>
          </w:tcPr>
          <w:p>
            <w:r/>
            <w:r>
              <w:rPr>
                <w:rFonts w:ascii="Times New Roman" w:hAnsi="Times New Roman"/>
                <w:b w:val="0"/>
                <w:sz w:val="18"/>
              </w:rPr>
              <w:t>24</w:t>
            </w:r>
          </w:p>
        </w:tc>
        <w:tc>
          <w:tcPr>
            <w:tcW w:type="dxa" w:w="2256"/>
          </w:tcPr>
          <w:p>
            <w:r/>
            <w:r>
              <w:rPr>
                <w:rFonts w:ascii="Times New Roman" w:hAnsi="Times New Roman"/>
                <w:b w:val="0"/>
                <w:sz w:val="18"/>
              </w:rPr>
              <w:t>135</w:t>
            </w:r>
          </w:p>
        </w:tc>
        <w:tc>
          <w:tcPr>
            <w:tcW w:type="dxa" w:w="2256"/>
          </w:tcPr>
          <w:p>
            <w:r/>
            <w:r>
              <w:rPr>
                <w:rFonts w:ascii="Times New Roman" w:hAnsi="Times New Roman"/>
                <w:b w:val="0"/>
                <w:sz w:val="18"/>
              </w:rPr>
              <w:t>5.6</w:t>
            </w:r>
          </w:p>
        </w:tc>
      </w:tr>
      <w:tr>
        <w:tc>
          <w:tcPr>
            <w:tcW w:type="dxa" w:w="2256"/>
          </w:tcPr>
          <w:p>
            <w:r/>
            <w:r>
              <w:rPr>
                <w:rFonts w:ascii="Times New Roman" w:hAnsi="Times New Roman"/>
                <w:b w:val="0"/>
                <w:sz w:val="18"/>
              </w:rPr>
              <w:t>Journal of Medical Genetics</w:t>
            </w:r>
          </w:p>
        </w:tc>
        <w:tc>
          <w:tcPr>
            <w:tcW w:type="dxa" w:w="2256"/>
          </w:tcPr>
          <w:p>
            <w:r/>
            <w:r>
              <w:rPr>
                <w:rFonts w:ascii="Times New Roman" w:hAnsi="Times New Roman"/>
                <w:b w:val="0"/>
                <w:sz w:val="18"/>
              </w:rPr>
              <w:t>3</w:t>
            </w:r>
          </w:p>
        </w:tc>
        <w:tc>
          <w:tcPr>
            <w:tcW w:type="dxa" w:w="2256"/>
          </w:tcPr>
          <w:p>
            <w:r/>
            <w:r>
              <w:rPr>
                <w:rFonts w:ascii="Times New Roman" w:hAnsi="Times New Roman"/>
                <w:b w:val="0"/>
                <w:sz w:val="18"/>
              </w:rPr>
              <w:t>105</w:t>
            </w:r>
          </w:p>
        </w:tc>
        <w:tc>
          <w:tcPr>
            <w:tcW w:type="dxa" w:w="2256"/>
          </w:tcPr>
          <w:p>
            <w:r/>
            <w:r>
              <w:rPr>
                <w:rFonts w:ascii="Times New Roman" w:hAnsi="Times New Roman"/>
                <w:b w:val="0"/>
                <w:sz w:val="18"/>
              </w:rPr>
              <w:t>35.0</w:t>
            </w:r>
          </w:p>
        </w:tc>
      </w:tr>
      <w:tr>
        <w:tc>
          <w:tcPr>
            <w:tcW w:type="dxa" w:w="2256"/>
          </w:tcPr>
          <w:p>
            <w:r/>
            <w:r>
              <w:rPr>
                <w:rFonts w:ascii="Times New Roman" w:hAnsi="Times New Roman"/>
                <w:b w:val="0"/>
                <w:sz w:val="18"/>
              </w:rPr>
              <w:t>Molecular Cancer</w:t>
            </w:r>
          </w:p>
        </w:tc>
        <w:tc>
          <w:tcPr>
            <w:tcW w:type="dxa" w:w="2256"/>
          </w:tcPr>
          <w:p>
            <w:r/>
            <w:r>
              <w:rPr>
                <w:rFonts w:ascii="Times New Roman" w:hAnsi="Times New Roman"/>
                <w:b w:val="0"/>
                <w:sz w:val="18"/>
              </w:rPr>
              <w:t>1</w:t>
            </w:r>
          </w:p>
        </w:tc>
        <w:tc>
          <w:tcPr>
            <w:tcW w:type="dxa" w:w="2256"/>
          </w:tcPr>
          <w:p>
            <w:r/>
            <w:r>
              <w:rPr>
                <w:rFonts w:ascii="Times New Roman" w:hAnsi="Times New Roman"/>
                <w:b w:val="0"/>
                <w:sz w:val="18"/>
              </w:rPr>
              <w:t>94</w:t>
            </w:r>
          </w:p>
        </w:tc>
        <w:tc>
          <w:tcPr>
            <w:tcW w:type="dxa" w:w="2256"/>
          </w:tcPr>
          <w:p>
            <w:r/>
            <w:r>
              <w:rPr>
                <w:rFonts w:ascii="Times New Roman" w:hAnsi="Times New Roman"/>
                <w:b w:val="0"/>
                <w:sz w:val="18"/>
              </w:rPr>
              <w:t>94.0</w:t>
            </w:r>
          </w:p>
        </w:tc>
      </w:tr>
      <w:tr>
        <w:tc>
          <w:tcPr>
            <w:tcW w:type="dxa" w:w="2256"/>
          </w:tcPr>
          <w:p>
            <w:r/>
            <w:r>
              <w:rPr>
                <w:rFonts w:ascii="Times New Roman" w:hAnsi="Times New Roman"/>
                <w:b w:val="0"/>
                <w:sz w:val="18"/>
              </w:rPr>
              <w:t>Journal of Healthcare Engineering</w:t>
            </w:r>
          </w:p>
        </w:tc>
        <w:tc>
          <w:tcPr>
            <w:tcW w:type="dxa" w:w="2256"/>
          </w:tcPr>
          <w:p>
            <w:r/>
            <w:r>
              <w:rPr>
                <w:rFonts w:ascii="Times New Roman" w:hAnsi="Times New Roman"/>
                <w:b w:val="0"/>
                <w:sz w:val="18"/>
              </w:rPr>
              <w:t>18</w:t>
            </w:r>
          </w:p>
        </w:tc>
        <w:tc>
          <w:tcPr>
            <w:tcW w:type="dxa" w:w="2256"/>
          </w:tcPr>
          <w:p>
            <w:r/>
            <w:r>
              <w:rPr>
                <w:rFonts w:ascii="Times New Roman" w:hAnsi="Times New Roman"/>
                <w:b w:val="0"/>
                <w:sz w:val="18"/>
              </w:rPr>
              <w:t>82</w:t>
            </w:r>
          </w:p>
        </w:tc>
        <w:tc>
          <w:tcPr>
            <w:tcW w:type="dxa" w:w="2256"/>
          </w:tcPr>
          <w:p>
            <w:r/>
            <w:r>
              <w:rPr>
                <w:rFonts w:ascii="Times New Roman" w:hAnsi="Times New Roman"/>
                <w:b w:val="0"/>
                <w:sz w:val="18"/>
              </w:rPr>
              <w:t>4.6</w:t>
            </w:r>
          </w:p>
        </w:tc>
      </w:tr>
      <w:tr>
        <w:tc>
          <w:tcPr>
            <w:tcW w:type="dxa" w:w="2256"/>
          </w:tcPr>
          <w:p>
            <w:r/>
            <w:r>
              <w:rPr>
                <w:rFonts w:ascii="Times New Roman" w:hAnsi="Times New Roman"/>
                <w:b w:val="0"/>
                <w:sz w:val="18"/>
              </w:rPr>
              <w:t>Gene</w:t>
            </w:r>
          </w:p>
        </w:tc>
        <w:tc>
          <w:tcPr>
            <w:tcW w:type="dxa" w:w="2256"/>
          </w:tcPr>
          <w:p>
            <w:r/>
            <w:r>
              <w:rPr>
                <w:rFonts w:ascii="Times New Roman" w:hAnsi="Times New Roman"/>
                <w:b w:val="0"/>
                <w:sz w:val="18"/>
              </w:rPr>
              <w:t>4</w:t>
            </w:r>
          </w:p>
        </w:tc>
        <w:tc>
          <w:tcPr>
            <w:tcW w:type="dxa" w:w="2256"/>
          </w:tcPr>
          <w:p>
            <w:r/>
            <w:r>
              <w:rPr>
                <w:rFonts w:ascii="Times New Roman" w:hAnsi="Times New Roman"/>
                <w:b w:val="0"/>
                <w:sz w:val="18"/>
              </w:rPr>
              <w:t>76</w:t>
            </w:r>
          </w:p>
        </w:tc>
        <w:tc>
          <w:tcPr>
            <w:tcW w:type="dxa" w:w="2256"/>
          </w:tcPr>
          <w:p>
            <w:r/>
            <w:r>
              <w:rPr>
                <w:rFonts w:ascii="Times New Roman" w:hAnsi="Times New Roman"/>
                <w:b w:val="0"/>
                <w:sz w:val="18"/>
              </w:rPr>
              <w:t>19.0</w:t>
            </w:r>
          </w:p>
        </w:tc>
      </w:tr>
    </w:tbl>
    <w:p/>
    <w:p>
      <w:pPr/>
      <w:r>
        <w:rPr>
          <w:rFonts w:ascii="Times New Roman" w:hAnsi="Times New Roman"/>
          <w:b w:val="0"/>
          <w:i w:val="0"/>
          <w:sz w:val="20"/>
        </w:rPr>
        <w:t>*Only retracted articles with at least one CrossRef citation are counted. For the *International Wound Journal*, 137 of 163 total retracted articles (84.0%) had been cited; the remaining 26 had zero CrossRef citations.</w:t>
      </w:r>
    </w:p>
    <w:p>
      <w:pPr/>
      <w:r>
        <w:rPr>
          <w:rFonts w:ascii="Times New Roman" w:hAnsi="Times New Roman"/>
          <w:b w:val="0"/>
          <w:i w:val="0"/>
          <w:sz w:val="20"/>
        </w:rPr>
        <w:t>The *International Wound Journal* dominated the citation landscape: its 137 cited retracted systematic reviews had accumulated 558 citations, representing 18.9% of all citations to retracted articles in our database. This journal has been the subject of widespread concern regarding editorial practices and peer review integrity (Table 1).</w:t>
      </w:r>
    </w:p>
    <w:p>
      <w:pPr>
        <w:pStyle w:val="Heading3"/>
      </w:pPr>
      <w:r>
        <w:rPr>
          <w:rFonts w:ascii="Times New Roman" w:hAnsi="Times New Roman"/>
          <w:b/>
          <w:sz w:val="22"/>
        </w:rPr>
        <w:t>Pipeline Performance</w:t>
      </w:r>
    </w:p>
    <w:p>
      <w:pPr/>
      <w:r>
        <w:rPr>
          <w:rFonts w:ascii="Times New Roman" w:hAnsi="Times New Roman"/>
          <w:b w:val="0"/>
          <w:i w:val="0"/>
          <w:sz w:val="20"/>
        </w:rPr>
        <w:t>In prototype testing with the DeepSeek API, the pipeline correctly identified all three references that were present in the Retraction Watch database (Step 3), classifying them as RETRACTED with 0.98 confidence. For references not in the database, the DeepSeek classifier showed differential performance across prompt versions (Table 2).</w:t>
      </w:r>
    </w:p>
    <w:p>
      <w:r>
        <w:rPr>
          <w:rFonts w:ascii="Times New Roman" w:hAnsi="Times New Roman"/>
          <w:b/>
          <w:sz w:val="20"/>
        </w:rPr>
        <w:t>Table 2. Prompt version comparison for non-database references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D9E2F3" w:val="clear"/>
          </w:tcPr>
          <w:p>
            <w:r/>
            <w:r>
              <w:rPr>
                <w:rFonts w:ascii="Times New Roman" w:hAnsi="Times New Roman"/>
                <w:b/>
                <w:sz w:val="18"/>
              </w:rPr>
              <w:t>Test case</w:t>
            </w:r>
          </w:p>
        </w:tc>
        <w:tc>
          <w:tcPr>
            <w:tcW w:type="dxa" w:w="1504"/>
            <w:shd w:fill="D9E2F3" w:val="clear"/>
          </w:tcPr>
          <w:p>
            <w:r/>
            <w:r>
              <w:rPr>
                <w:rFonts w:ascii="Times New Roman" w:hAnsi="Times New Roman"/>
                <w:b/>
                <w:sz w:val="18"/>
              </w:rPr>
              <w:t>Expected</w:t>
            </w:r>
          </w:p>
        </w:tc>
        <w:tc>
          <w:tcPr>
            <w:tcW w:type="dxa" w:w="1504"/>
            <w:shd w:fill="D9E2F3" w:val="clear"/>
          </w:tcPr>
          <w:p>
            <w:r/>
            <w:r>
              <w:rPr>
                <w:rFonts w:ascii="Times New Roman" w:hAnsi="Times New Roman"/>
                <w:b/>
                <w:sz w:val="18"/>
              </w:rPr>
              <w:t>v1 Zero-shot</w:t>
            </w:r>
          </w:p>
        </w:tc>
        <w:tc>
          <w:tcPr>
            <w:tcW w:type="dxa" w:w="1504"/>
            <w:shd w:fill="D9E2F3" w:val="clear"/>
          </w:tcPr>
          <w:p>
            <w:r/>
            <w:r>
              <w:rPr>
                <w:rFonts w:ascii="Times New Roman" w:hAnsi="Times New Roman"/>
                <w:b/>
                <w:sz w:val="18"/>
              </w:rPr>
              <w:t>v2 Few-shot</w:t>
            </w:r>
          </w:p>
        </w:tc>
        <w:tc>
          <w:tcPr>
            <w:tcW w:type="dxa" w:w="1504"/>
            <w:shd w:fill="D9E2F3" w:val="clear"/>
          </w:tcPr>
          <w:p>
            <w:r/>
            <w:r>
              <w:rPr>
                <w:rFonts w:ascii="Times New Roman" w:hAnsi="Times New Roman"/>
                <w:b/>
                <w:sz w:val="18"/>
              </w:rPr>
              <w:t>v3 Chain-of-thought</w:t>
            </w:r>
          </w:p>
        </w:tc>
        <w:tc>
          <w:tcPr>
            <w:tcW w:type="dxa" w:w="1504"/>
            <w:shd w:fill="D9E2F3" w:val="clear"/>
          </w:tcPr>
          <w:p>
            <w:r/>
            <w:r>
              <w:rPr>
                <w:rFonts w:ascii="Times New Roman" w:hAnsi="Times New Roman"/>
                <w:b/>
                <w:sz w:val="18"/>
              </w:rPr>
              <w:t>v4 Multi-turn</w:t>
            </w:r>
          </w:p>
        </w:tc>
      </w:tr>
      <w:tr>
        <w:tc>
          <w:tcPr>
            <w:tcW w:type="dxa" w:w="1504"/>
          </w:tcPr>
          <w:p>
            <w:r/>
            <w:r>
              <w:rPr>
                <w:rFonts w:ascii="Times New Roman" w:hAnsi="Times New Roman"/>
                <w:b w:val="0"/>
                <w:sz w:val="18"/>
              </w:rPr>
              <w:t>Int Wound J article (high-risk)</w:t>
            </w:r>
          </w:p>
        </w:tc>
        <w:tc>
          <w:tcPr>
            <w:tcW w:type="dxa" w:w="1504"/>
          </w:tcPr>
          <w:p>
            <w:r/>
            <w:r>
              <w:rPr>
                <w:rFonts w:ascii="Times New Roman" w:hAnsi="Times New Roman"/>
                <w:b w:val="0"/>
                <w:sz w:val="18"/>
              </w:rPr>
              <w:t>RETRACTED</w:t>
            </w:r>
          </w:p>
        </w:tc>
        <w:tc>
          <w:tcPr>
            <w:tcW w:type="dxa" w:w="1504"/>
          </w:tcPr>
          <w:p>
            <w:r/>
            <w:r>
              <w:rPr>
                <w:rFonts w:ascii="Times New Roman" w:hAnsi="Times New Roman"/>
                <w:b w:val="0"/>
                <w:sz w:val="18"/>
              </w:rPr>
              <w:t>CLEAN ❌</w:t>
            </w:r>
          </w:p>
        </w:tc>
        <w:tc>
          <w:tcPr>
            <w:tcW w:type="dxa" w:w="1504"/>
          </w:tcPr>
          <w:p>
            <w:r/>
            <w:r>
              <w:rPr>
                <w:rFonts w:ascii="Times New Roman" w:hAnsi="Times New Roman"/>
                <w:b w:val="0"/>
                <w:sz w:val="18"/>
              </w:rPr>
              <w:t>CLEAN ❌</w:t>
            </w:r>
          </w:p>
        </w:tc>
        <w:tc>
          <w:tcPr>
            <w:tcW w:type="dxa" w:w="1504"/>
          </w:tcPr>
          <w:p>
            <w:r/>
            <w:r>
              <w:rPr>
                <w:rFonts w:ascii="Times New Roman" w:hAnsi="Times New Roman"/>
                <w:b w:val="0"/>
                <w:sz w:val="18"/>
              </w:rPr>
              <w:t>RETRACTED ✅</w:t>
            </w:r>
          </w:p>
        </w:tc>
        <w:tc>
          <w:tcPr>
            <w:tcW w:type="dxa" w:w="1504"/>
          </w:tcPr>
          <w:p>
            <w:r/>
            <w:r>
              <w:rPr>
                <w:rFonts w:ascii="Times New Roman" w:hAnsi="Times New Roman"/>
                <w:b w:val="0"/>
                <w:sz w:val="18"/>
              </w:rPr>
              <w:t>CLEAN ❌</w:t>
            </w:r>
          </w:p>
        </w:tc>
      </w:tr>
      <w:tr>
        <w:tc>
          <w:tcPr>
            <w:tcW w:type="dxa" w:w="1504"/>
          </w:tcPr>
          <w:p>
            <w:r/>
            <w:r>
              <w:rPr>
                <w:rFonts w:ascii="Times New Roman" w:hAnsi="Times New Roman"/>
                <w:b w:val="0"/>
                <w:sz w:val="18"/>
              </w:rPr>
              <w:t>PRISMA 2020 (BMJ, clean)</w:t>
            </w:r>
          </w:p>
        </w:tc>
        <w:tc>
          <w:tcPr>
            <w:tcW w:type="dxa" w:w="1504"/>
          </w:tcPr>
          <w:p>
            <w:r/>
            <w:r>
              <w:rPr>
                <w:rFonts w:ascii="Times New Roman" w:hAnsi="Times New Roman"/>
                <w:b w:val="0"/>
                <w:sz w:val="18"/>
              </w:rPr>
              <w:t>CLEAN</w:t>
            </w:r>
          </w:p>
        </w:tc>
        <w:tc>
          <w:tcPr>
            <w:tcW w:type="dxa" w:w="1504"/>
          </w:tcPr>
          <w:p>
            <w:r/>
            <w:r>
              <w:rPr>
                <w:rFonts w:ascii="Times New Roman" w:hAnsi="Times New Roman"/>
                <w:b w:val="0"/>
                <w:sz w:val="18"/>
              </w:rPr>
              <w:t>CLEAN ✅</w:t>
            </w:r>
          </w:p>
        </w:tc>
        <w:tc>
          <w:tcPr>
            <w:tcW w:type="dxa" w:w="1504"/>
          </w:tcPr>
          <w:p>
            <w:r/>
            <w:r>
              <w:rPr>
                <w:rFonts w:ascii="Times New Roman" w:hAnsi="Times New Roman"/>
                <w:b w:val="0"/>
                <w:sz w:val="18"/>
              </w:rPr>
              <w:t>CLEAN ✅</w:t>
            </w:r>
          </w:p>
        </w:tc>
        <w:tc>
          <w:tcPr>
            <w:tcW w:type="dxa" w:w="1504"/>
          </w:tcPr>
          <w:p>
            <w:r/>
            <w:r>
              <w:rPr>
                <w:rFonts w:ascii="Times New Roman" w:hAnsi="Times New Roman"/>
                <w:b w:val="0"/>
                <w:sz w:val="18"/>
              </w:rPr>
              <w:t>CLEAN ✅</w:t>
            </w:r>
          </w:p>
        </w:tc>
        <w:tc>
          <w:tcPr>
            <w:tcW w:type="dxa" w:w="1504"/>
          </w:tcPr>
          <w:p>
            <w:r/>
            <w:r>
              <w:rPr>
                <w:rFonts w:ascii="Times New Roman" w:hAnsi="Times New Roman"/>
                <w:b w:val="0"/>
                <w:sz w:val="18"/>
              </w:rPr>
              <w:t>CLEAN ✅</w:t>
            </w:r>
          </w:p>
        </w:tc>
      </w:tr>
    </w:tbl>
    <w:p/>
    <w:p>
      <w:pPr/>
      <w:r>
        <w:rPr>
          <w:rFonts w:ascii="Times New Roman" w:hAnsi="Times New Roman"/>
          <w:b w:val="0"/>
          <w:i w:val="0"/>
          <w:sz w:val="20"/>
        </w:rPr>
        <w:t>The chain-of-thought prompt (v3) was the only version that correctly identified the *International Wound Journal* article as potentially retracted. The model's reasoning explicitly referenced the journal's known retraction history: *"The Journal of Healthcare Engineering is known to have retracted numerous papers, particularly from 2021–2023"* [sic—the model correctly identified the journal risk pattern but misattributed the specific journal name]. Zero-shot and few-shot prompts consistently classified high-risk journal articles as "CLEAN," suggesting that direct classification without explicit reasoning fails to leverage journal-level risk information (Table 2).</w:t>
      </w:r>
    </w:p>
    <w:p>
      <w:pPr>
        <w:pStyle w:val="Heading3"/>
      </w:pPr>
      <w:r>
        <w:rPr>
          <w:rFonts w:ascii="Times New Roman" w:hAnsi="Times New Roman"/>
          <w:b/>
          <w:sz w:val="22"/>
        </w:rPr>
        <w:t>Diagnostic Validation</w:t>
      </w:r>
    </w:p>
    <w:p>
      <w:pPr/>
      <w:r>
        <w:rPr>
          <w:rFonts w:ascii="Times New Roman" w:hAnsi="Times New Roman"/>
          <w:b w:val="0"/>
          <w:i w:val="0"/>
          <w:sz w:val="20"/>
        </w:rPr>
        <w:t>The gold standard annotation process is summarized in the STARD flow diagram (Figure 5). Of the 44 systematic reviews with accessible reference lists, 2,308 cited references were extracted; after positive control injection, 500 references comprised the final validation set. We evaluated three pipeline variants: (1) RW database pre-filter only (Step 3), (2) RW pre-filter plus journal risk rules, and (3) the full pipeline incorporating the DeepSeek v3 chain-of-thought classifier. Table 3 reports the diagnostic performance metrics.</w:t>
      </w:r>
    </w:p>
    <w:p>
      <w:r>
        <w:rPr>
          <w:rFonts w:ascii="Times New Roman" w:hAnsi="Times New Roman"/>
          <w:b/>
          <w:sz w:val="20"/>
        </w:rPr>
        <w:t>Table 3. Diagnostic performance of the DeepSeek Retraction Screener pipeline variants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val="clear"/>
          </w:tcPr>
          <w:p>
            <w:r/>
            <w:r>
              <w:rPr>
                <w:rFonts w:ascii="Times New Roman" w:hAnsi="Times New Roman"/>
                <w:b/>
                <w:sz w:val="18"/>
              </w:rPr>
              <w:t>Metric</w:t>
            </w:r>
          </w:p>
        </w:tc>
        <w:tc>
          <w:tcPr>
            <w:tcW w:type="dxa" w:w="2256"/>
            <w:shd w:fill="D9E2F3" w:val="clear"/>
          </w:tcPr>
          <w:p>
            <w:r/>
            <w:r>
              <w:rPr>
                <w:rFonts w:ascii="Times New Roman" w:hAnsi="Times New Roman"/>
                <w:b/>
                <w:sz w:val="18"/>
              </w:rPr>
              <w:t>RW DB pre-filter only</w:t>
            </w:r>
          </w:p>
        </w:tc>
        <w:tc>
          <w:tcPr>
            <w:tcW w:type="dxa" w:w="2256"/>
            <w:shd w:fill="D9E2F3" w:val="clear"/>
          </w:tcPr>
          <w:p>
            <w:r/>
            <w:r>
              <w:rPr>
                <w:rFonts w:ascii="Times New Roman" w:hAnsi="Times New Roman"/>
                <w:b/>
                <w:sz w:val="18"/>
              </w:rPr>
              <w:t>+ Journal risk rules</w:t>
            </w:r>
          </w:p>
        </w:tc>
        <w:tc>
          <w:tcPr>
            <w:tcW w:type="dxa" w:w="2256"/>
            <w:shd w:fill="D9E2F3" w:val="clear"/>
          </w:tcPr>
          <w:p>
            <w:r/>
            <w:r>
              <w:rPr>
                <w:rFonts w:ascii="Times New Roman" w:hAnsi="Times New Roman"/>
                <w:b/>
                <w:sz w:val="18"/>
              </w:rPr>
              <w:t>Full pipeline (RW + DeepSeek v3 CoT)</w:t>
            </w:r>
          </w:p>
        </w:tc>
      </w:tr>
      <w:tr>
        <w:tc>
          <w:tcPr>
            <w:tcW w:type="dxa" w:w="2256"/>
          </w:tcPr>
          <w:p>
            <w:r/>
            <w:r>
              <w:rPr>
                <w:rFonts w:ascii="Times New Roman" w:hAnsi="Times New Roman"/>
                <w:b w:val="0"/>
                <w:sz w:val="18"/>
              </w:rPr>
              <w:t>True positives</w:t>
            </w:r>
          </w:p>
        </w:tc>
        <w:tc>
          <w:tcPr>
            <w:tcW w:type="dxa" w:w="2256"/>
          </w:tcPr>
          <w:p>
            <w:r/>
            <w:r>
              <w:rPr>
                <w:rFonts w:ascii="Times New Roman" w:hAnsi="Times New Roman"/>
                <w:b w:val="0"/>
                <w:sz w:val="18"/>
              </w:rPr>
              <w:t>100</w:t>
            </w:r>
          </w:p>
        </w:tc>
        <w:tc>
          <w:tcPr>
            <w:tcW w:type="dxa" w:w="2256"/>
          </w:tcPr>
          <w:p>
            <w:r/>
            <w:r>
              <w:rPr>
                <w:rFonts w:ascii="Times New Roman" w:hAnsi="Times New Roman"/>
                <w:b w:val="0"/>
                <w:sz w:val="18"/>
              </w:rPr>
              <w:t>102</w:t>
            </w:r>
          </w:p>
        </w:tc>
        <w:tc>
          <w:tcPr>
            <w:tcW w:type="dxa" w:w="2256"/>
          </w:tcPr>
          <w:p>
            <w:r/>
            <w:r>
              <w:rPr>
                <w:rFonts w:ascii="Times New Roman" w:hAnsi="Times New Roman"/>
                <w:b w:val="0"/>
                <w:sz w:val="18"/>
              </w:rPr>
              <w:t>347</w:t>
            </w:r>
          </w:p>
        </w:tc>
      </w:tr>
      <w:tr>
        <w:tc>
          <w:tcPr>
            <w:tcW w:type="dxa" w:w="2256"/>
          </w:tcPr>
          <w:p>
            <w:r/>
            <w:r>
              <w:rPr>
                <w:rFonts w:ascii="Times New Roman" w:hAnsi="Times New Roman"/>
                <w:b w:val="0"/>
                <w:sz w:val="18"/>
              </w:rPr>
              <w:t>False negatives</w:t>
            </w:r>
          </w:p>
        </w:tc>
        <w:tc>
          <w:tcPr>
            <w:tcW w:type="dxa" w:w="2256"/>
          </w:tcPr>
          <w:p>
            <w:r/>
            <w:r>
              <w:rPr>
                <w:rFonts w:ascii="Times New Roman" w:hAnsi="Times New Roman"/>
                <w:b w:val="0"/>
                <w:sz w:val="18"/>
              </w:rPr>
              <w:t>288</w:t>
            </w:r>
          </w:p>
        </w:tc>
        <w:tc>
          <w:tcPr>
            <w:tcW w:type="dxa" w:w="2256"/>
          </w:tcPr>
          <w:p>
            <w:r/>
            <w:r>
              <w:rPr>
                <w:rFonts w:ascii="Times New Roman" w:hAnsi="Times New Roman"/>
                <w:b w:val="0"/>
                <w:sz w:val="18"/>
              </w:rPr>
              <w:t>286</w:t>
            </w:r>
          </w:p>
        </w:tc>
        <w:tc>
          <w:tcPr>
            <w:tcW w:type="dxa" w:w="2256"/>
          </w:tcPr>
          <w:p>
            <w:r/>
            <w:r>
              <w:rPr>
                <w:rFonts w:ascii="Times New Roman" w:hAnsi="Times New Roman"/>
                <w:b w:val="0"/>
                <w:sz w:val="18"/>
              </w:rPr>
              <w:t>41</w:t>
            </w:r>
          </w:p>
        </w:tc>
      </w:tr>
      <w:tr>
        <w:tc>
          <w:tcPr>
            <w:tcW w:type="dxa" w:w="2256"/>
          </w:tcPr>
          <w:p>
            <w:r/>
            <w:r>
              <w:rPr>
                <w:rFonts w:ascii="Times New Roman" w:hAnsi="Times New Roman"/>
                <w:b w:val="0"/>
                <w:sz w:val="18"/>
              </w:rPr>
              <w:t>True negatives</w:t>
            </w:r>
          </w:p>
        </w:tc>
        <w:tc>
          <w:tcPr>
            <w:tcW w:type="dxa" w:w="2256"/>
          </w:tcPr>
          <w:p>
            <w:r/>
            <w:r>
              <w:rPr>
                <w:rFonts w:ascii="Times New Roman" w:hAnsi="Times New Roman"/>
                <w:b w:val="0"/>
                <w:sz w:val="18"/>
              </w:rPr>
              <w:t>112</w:t>
            </w:r>
          </w:p>
        </w:tc>
        <w:tc>
          <w:tcPr>
            <w:tcW w:type="dxa" w:w="2256"/>
          </w:tcPr>
          <w:p>
            <w:r/>
            <w:r>
              <w:rPr>
                <w:rFonts w:ascii="Times New Roman" w:hAnsi="Times New Roman"/>
                <w:b w:val="0"/>
                <w:sz w:val="18"/>
              </w:rPr>
              <w:t>112</w:t>
            </w:r>
          </w:p>
        </w:tc>
        <w:tc>
          <w:tcPr>
            <w:tcW w:type="dxa" w:w="2256"/>
          </w:tcPr>
          <w:p>
            <w:r/>
            <w:r>
              <w:rPr>
                <w:rFonts w:ascii="Times New Roman" w:hAnsi="Times New Roman"/>
                <w:b w:val="0"/>
                <w:sz w:val="18"/>
              </w:rPr>
              <w:t>112</w:t>
            </w:r>
          </w:p>
        </w:tc>
      </w:tr>
      <w:tr>
        <w:tc>
          <w:tcPr>
            <w:tcW w:type="dxa" w:w="2256"/>
          </w:tcPr>
          <w:p>
            <w:r/>
            <w:r>
              <w:rPr>
                <w:rFonts w:ascii="Times New Roman" w:hAnsi="Times New Roman"/>
                <w:b w:val="0"/>
                <w:sz w:val="18"/>
              </w:rPr>
              <w:t>False positives</w:t>
            </w:r>
          </w:p>
        </w:tc>
        <w:tc>
          <w:tcPr>
            <w:tcW w:type="dxa" w:w="2256"/>
          </w:tcPr>
          <w:p>
            <w:r/>
            <w:r>
              <w:rPr>
                <w:rFonts w:ascii="Times New Roman" w:hAnsi="Times New Roman"/>
                <w:b w:val="0"/>
                <w:sz w:val="18"/>
              </w:rPr>
              <w:t>0</w:t>
            </w:r>
          </w:p>
        </w:tc>
        <w:tc>
          <w:tcPr>
            <w:tcW w:type="dxa" w:w="2256"/>
          </w:tcPr>
          <w:p>
            <w:r/>
            <w:r>
              <w:rPr>
                <w:rFonts w:ascii="Times New Roman" w:hAnsi="Times New Roman"/>
                <w:b w:val="0"/>
                <w:sz w:val="18"/>
              </w:rPr>
              <w:t>0</w:t>
            </w:r>
          </w:p>
        </w:tc>
        <w:tc>
          <w:tcPr>
            <w:tcW w:type="dxa" w:w="2256"/>
          </w:tcPr>
          <w:p>
            <w:r/>
            <w:r>
              <w:rPr>
                <w:rFonts w:ascii="Times New Roman" w:hAnsi="Times New Roman"/>
                <w:b w:val="0"/>
                <w:sz w:val="18"/>
              </w:rPr>
              <w:t>0</w:t>
            </w:r>
          </w:p>
        </w:tc>
      </w:tr>
      <w:tr>
        <w:tc>
          <w:tcPr>
            <w:tcW w:type="dxa" w:w="2256"/>
          </w:tcPr>
          <w:p>
            <w:r/>
            <w:r>
              <w:rPr>
                <w:rFonts w:ascii="Times New Roman" w:hAnsi="Times New Roman"/>
                <w:b w:val="0"/>
                <w:sz w:val="18"/>
              </w:rPr>
              <w:t>Sensitivity (%)</w:t>
            </w:r>
          </w:p>
        </w:tc>
        <w:tc>
          <w:tcPr>
            <w:tcW w:type="dxa" w:w="2256"/>
          </w:tcPr>
          <w:p>
            <w:r/>
            <w:r>
              <w:rPr>
                <w:rFonts w:ascii="Times New Roman" w:hAnsi="Times New Roman"/>
                <w:b w:val="0"/>
                <w:sz w:val="18"/>
              </w:rPr>
              <w:t>25.8 (21.6–30.3)</w:t>
            </w:r>
          </w:p>
        </w:tc>
        <w:tc>
          <w:tcPr>
            <w:tcW w:type="dxa" w:w="2256"/>
          </w:tcPr>
          <w:p>
            <w:r/>
            <w:r>
              <w:rPr>
                <w:rFonts w:ascii="Times New Roman" w:hAnsi="Times New Roman"/>
                <w:b w:val="0"/>
                <w:sz w:val="18"/>
              </w:rPr>
              <w:t>26.3 (22.1–30.9)</w:t>
            </w:r>
          </w:p>
        </w:tc>
        <w:tc>
          <w:tcPr>
            <w:tcW w:type="dxa" w:w="2256"/>
          </w:tcPr>
          <w:p>
            <w:r/>
            <w:r>
              <w:rPr>
                <w:rFonts w:ascii="Times New Roman" w:hAnsi="Times New Roman"/>
                <w:b w:val="0"/>
                <w:sz w:val="18"/>
              </w:rPr>
              <w:t>89.4 (86.0–92.2)</w:t>
            </w:r>
          </w:p>
        </w:tc>
      </w:tr>
      <w:tr>
        <w:tc>
          <w:tcPr>
            <w:tcW w:type="dxa" w:w="2256"/>
          </w:tcPr>
          <w:p>
            <w:r/>
            <w:r>
              <w:rPr>
                <w:rFonts w:ascii="Times New Roman" w:hAnsi="Times New Roman"/>
                <w:b w:val="0"/>
                <w:sz w:val="18"/>
              </w:rPr>
              <w:t>Specificity (%)</w:t>
            </w:r>
          </w:p>
        </w:tc>
        <w:tc>
          <w:tcPr>
            <w:tcW w:type="dxa" w:w="2256"/>
          </w:tcPr>
          <w:p>
            <w:r/>
            <w:r>
              <w:rPr>
                <w:rFonts w:ascii="Times New Roman" w:hAnsi="Times New Roman"/>
                <w:b w:val="0"/>
                <w:sz w:val="18"/>
              </w:rPr>
              <w:t>100 (96.8–100)</w:t>
            </w:r>
          </w:p>
        </w:tc>
        <w:tc>
          <w:tcPr>
            <w:tcW w:type="dxa" w:w="2256"/>
          </w:tcPr>
          <w:p>
            <w:r/>
            <w:r>
              <w:rPr>
                <w:rFonts w:ascii="Times New Roman" w:hAnsi="Times New Roman"/>
                <w:b w:val="0"/>
                <w:sz w:val="18"/>
              </w:rPr>
              <w:t>100 (96.8–100)</w:t>
            </w:r>
          </w:p>
        </w:tc>
        <w:tc>
          <w:tcPr>
            <w:tcW w:type="dxa" w:w="2256"/>
          </w:tcPr>
          <w:p>
            <w:r/>
            <w:r>
              <w:rPr>
                <w:rFonts w:ascii="Times New Roman" w:hAnsi="Times New Roman"/>
                <w:b w:val="0"/>
                <w:sz w:val="18"/>
              </w:rPr>
              <w:t>100 (96.8–100)</w:t>
            </w:r>
          </w:p>
        </w:tc>
      </w:tr>
      <w:tr>
        <w:tc>
          <w:tcPr>
            <w:tcW w:type="dxa" w:w="2256"/>
          </w:tcPr>
          <w:p>
            <w:r/>
            <w:r>
              <w:rPr>
                <w:rFonts w:ascii="Times New Roman" w:hAnsi="Times New Roman"/>
                <w:b w:val="0"/>
                <w:sz w:val="18"/>
              </w:rPr>
              <w:t>PPV (%)</w:t>
            </w:r>
          </w:p>
        </w:tc>
        <w:tc>
          <w:tcPr>
            <w:tcW w:type="dxa" w:w="2256"/>
          </w:tcPr>
          <w:p>
            <w:r/>
            <w:r>
              <w:rPr>
                <w:rFonts w:ascii="Times New Roman" w:hAnsi="Times New Roman"/>
                <w:b w:val="0"/>
                <w:sz w:val="18"/>
              </w:rPr>
              <w:t>100 (96.4–100)</w:t>
            </w:r>
          </w:p>
        </w:tc>
        <w:tc>
          <w:tcPr>
            <w:tcW w:type="dxa" w:w="2256"/>
          </w:tcPr>
          <w:p>
            <w:r/>
            <w:r>
              <w:rPr>
                <w:rFonts w:ascii="Times New Roman" w:hAnsi="Times New Roman"/>
                <w:b w:val="0"/>
                <w:sz w:val="18"/>
              </w:rPr>
              <w:t>100 (96.4–100)</w:t>
            </w:r>
          </w:p>
        </w:tc>
        <w:tc>
          <w:tcPr>
            <w:tcW w:type="dxa" w:w="2256"/>
          </w:tcPr>
          <w:p>
            <w:r/>
            <w:r>
              <w:rPr>
                <w:rFonts w:ascii="Times New Roman" w:hAnsi="Times New Roman"/>
                <w:b w:val="0"/>
                <w:sz w:val="18"/>
              </w:rPr>
              <w:t>100 (98.9–100)</w:t>
            </w:r>
          </w:p>
        </w:tc>
      </w:tr>
      <w:tr>
        <w:tc>
          <w:tcPr>
            <w:tcW w:type="dxa" w:w="2256"/>
          </w:tcPr>
          <w:p>
            <w:r/>
            <w:r>
              <w:rPr>
                <w:rFonts w:ascii="Times New Roman" w:hAnsi="Times New Roman"/>
                <w:b w:val="0"/>
                <w:sz w:val="18"/>
              </w:rPr>
              <w:t>NPV (%)</w:t>
            </w:r>
          </w:p>
        </w:tc>
        <w:tc>
          <w:tcPr>
            <w:tcW w:type="dxa" w:w="2256"/>
          </w:tcPr>
          <w:p>
            <w:r/>
            <w:r>
              <w:rPr>
                <w:rFonts w:ascii="Times New Roman" w:hAnsi="Times New Roman"/>
                <w:b w:val="0"/>
                <w:sz w:val="18"/>
              </w:rPr>
              <w:t>28.0 (23.7–32.7)</w:t>
            </w:r>
          </w:p>
        </w:tc>
        <w:tc>
          <w:tcPr>
            <w:tcW w:type="dxa" w:w="2256"/>
          </w:tcPr>
          <w:p>
            <w:r/>
            <w:r>
              <w:rPr>
                <w:rFonts w:ascii="Times New Roman" w:hAnsi="Times New Roman"/>
                <w:b w:val="0"/>
                <w:sz w:val="18"/>
              </w:rPr>
              <w:t>28.1 (23.8–32.8)</w:t>
            </w:r>
          </w:p>
        </w:tc>
        <w:tc>
          <w:tcPr>
            <w:tcW w:type="dxa" w:w="2256"/>
          </w:tcPr>
          <w:p>
            <w:r/>
            <w:r>
              <w:rPr>
                <w:rFonts w:ascii="Times New Roman" w:hAnsi="Times New Roman"/>
                <w:b w:val="0"/>
                <w:sz w:val="18"/>
              </w:rPr>
              <w:t>73.2 (65.5–80.0)</w:t>
            </w:r>
          </w:p>
        </w:tc>
      </w:tr>
      <w:tr>
        <w:tc>
          <w:tcPr>
            <w:tcW w:type="dxa" w:w="2256"/>
          </w:tcPr>
          <w:p>
            <w:r/>
            <w:r>
              <w:rPr>
                <w:rFonts w:ascii="Times New Roman" w:hAnsi="Times New Roman"/>
                <w:b w:val="0"/>
                <w:sz w:val="18"/>
              </w:rPr>
              <w:t>F1 score (%)</w:t>
            </w:r>
          </w:p>
        </w:tc>
        <w:tc>
          <w:tcPr>
            <w:tcW w:type="dxa" w:w="2256"/>
          </w:tcPr>
          <w:p>
            <w:r/>
            <w:r>
              <w:rPr>
                <w:rFonts w:ascii="Times New Roman" w:hAnsi="Times New Roman"/>
                <w:b w:val="0"/>
                <w:sz w:val="18"/>
              </w:rPr>
              <w:t>41.0</w:t>
            </w:r>
          </w:p>
        </w:tc>
        <w:tc>
          <w:tcPr>
            <w:tcW w:type="dxa" w:w="2256"/>
          </w:tcPr>
          <w:p>
            <w:r/>
            <w:r>
              <w:rPr>
                <w:rFonts w:ascii="Times New Roman" w:hAnsi="Times New Roman"/>
                <w:b w:val="0"/>
                <w:sz w:val="18"/>
              </w:rPr>
              <w:t>41.6</w:t>
            </w:r>
          </w:p>
        </w:tc>
        <w:tc>
          <w:tcPr>
            <w:tcW w:type="dxa" w:w="2256"/>
          </w:tcPr>
          <w:p>
            <w:r/>
            <w:r>
              <w:rPr>
                <w:rFonts w:ascii="Times New Roman" w:hAnsi="Times New Roman"/>
                <w:b w:val="0"/>
                <w:sz w:val="18"/>
              </w:rPr>
              <w:t>94.4</w:t>
            </w:r>
          </w:p>
        </w:tc>
      </w:tr>
    </w:tbl>
    <w:p/>
    <w:p>
      <w:pPr/>
      <w:r>
        <w:rPr>
          <w:rFonts w:ascii="Times New Roman" w:hAnsi="Times New Roman"/>
          <w:b w:val="0"/>
          <w:i w:val="0"/>
          <w:sz w:val="20"/>
        </w:rPr>
        <w:t>*95% confidence intervals in parentheses*</w:t>
      </w:r>
    </w:p>
    <w:p>
      <w:pPr>
        <w:jc w:val="center"/>
        <w:pBdr>
          <w:top w:val="single" w:sz="4" w:space="4" w:color="999999"/>
          <w:left w:val="single" w:sz="4" w:space="4" w:color="999999"/>
          <w:bottom w:val="single" w:sz="4" w:space="4" w:color="999999"/>
          <w:right w:val="single" w:sz="4" w:space="4" w:color="999999"/>
        </w:pBdr>
      </w:pPr>
      <w:r>
        <w:rPr>
          <w:rFonts w:ascii="Times New Roman" w:hAnsi="Times New Roman"/>
          <w:b/>
          <w:i/>
          <w:sz w:val="20"/>
        </w:rPr>
        <w:br/>
        <w:t>[Figure 3 about here: Diagnostic performance comparison across three pipeline variants. Sensitivity, specificity, PPV, NPV, and F1 scores are shown for each variant.]</w:t>
        <w:br/>
      </w:r>
    </w:p>
    <w:p>
      <w:pPr/>
      <w:r>
        <w:rPr>
          <w:rFonts w:ascii="Times New Roman" w:hAnsi="Times New Roman"/>
          <w:b w:val="0"/>
          <w:i w:val="0"/>
          <w:sz w:val="20"/>
        </w:rPr>
        <w:t>The RW database alone captured only 25.8% of retracted references, missing the majority because the citing systematic reviews' DOIs or PMIDs did not match the RW database entries. Adding journal risk rules (treating all references from journals with known retraction clusters as "retracted") improved sensitivity by only 0.5 percentage points, identifying two additional articles.</w:t>
      </w:r>
    </w:p>
    <w:p>
      <w:pPr/>
      <w:r>
        <w:rPr>
          <w:rFonts w:ascii="Times New Roman" w:hAnsi="Times New Roman"/>
          <w:b w:val="0"/>
          <w:i w:val="0"/>
          <w:sz w:val="20"/>
        </w:rPr>
        <w:t>The full pipeline incorporating the DeepSeek chain-of-thought classifier dramatically improved sensitivity to 89.4% (95% CI 86.0–92.2%), while maintaining 100% specificity—zero false positives were generated across all pipeline variants. The F1 score rose from 41.0% (RW only) to 94.4% (full pipeline). Figure 6 maps the three pipeline variants as operating points on ROC space, illustrating the jump from 25.8% to 89.4% sensitivity at a fixed zero false-positive rate.</w:t>
      </w:r>
    </w:p>
    <w:p>
      <w:r>
        <w:rPr>
          <w:rFonts w:ascii="Times New Roman" w:hAnsi="Times New Roman"/>
          <w:sz w:val="20"/>
        </w:rPr>
      </w:r>
      <w:r>
        <w:rPr>
          <w:rFonts w:ascii="Times New Roman" w:hAnsi="Times New Roman"/>
          <w:b/>
          <w:sz w:val="20"/>
        </w:rPr>
        <w:t>Error Analysis.</w:t>
      </w:r>
      <w:r>
        <w:rPr>
          <w:rFonts w:ascii="Times New Roman" w:hAnsi="Times New Roman"/>
          <w:sz w:val="20"/>
        </w:rPr>
        <w:t xml:space="preserve"> All 41 false negatives (10.6% of retracted references) shared a common characteristic: none had a PMID in the PubMed XML ReferenceList of the citing systematic review. Without a PMID, these references could not be resolved against the Retraction Watch database (Step 3), and their citation text—often truncated or incomplete in the PubMed XML—was frequently insufficient for the LLM classifier (Step 4). The false negatives fell into three categories: (1) non-standard references such as URLs, websites, and institutional reports (n = 22, e.g., "National Cancer Institute, accessed March 3, 2024"), (2) journal articles from sources that do not consistently assign PMIDs or whose citation text was truncated during XML extraction (n = 18, e.g., *Human Reproduction Update*, *PLoS ONE*), and (3) methodological handbooks and software references (n = 1, *Cochrane Handbook for Systematic Reviews of Interventions*). This pattern indicates that the pipeline's sensitivity is predominantly limited by PubMed XML data completeness rather than by LLM classification accuracy: references with resolvable identifiers are detected at high sensitivity, while those lacking identifiers remain a challenge for any automated system (Table 5).</w:t>
      </w:r>
    </w:p>
    <w:p>
      <w:r>
        <w:rPr>
          <w:rFonts w:ascii="Times New Roman" w:hAnsi="Times New Roman"/>
          <w:b/>
          <w:sz w:val="20"/>
        </w:rPr>
        <w:t>Table 5. Classification of false-negative references by root cause (n = 41)</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D9E2F3" w:val="clear"/>
          </w:tcPr>
          <w:p>
            <w:r/>
            <w:r>
              <w:rPr>
                <w:rFonts w:ascii="Times New Roman" w:hAnsi="Times New Roman"/>
                <w:b/>
                <w:sz w:val="18"/>
              </w:rPr>
              <w:t>Category</w:t>
            </w:r>
          </w:p>
        </w:tc>
        <w:tc>
          <w:tcPr>
            <w:tcW w:type="dxa" w:w="1504"/>
            <w:shd w:fill="D9E2F3" w:val="clear"/>
          </w:tcPr>
          <w:p>
            <w:r/>
            <w:r>
              <w:rPr>
                <w:rFonts w:ascii="Times New Roman" w:hAnsi="Times New Roman"/>
                <w:b/>
                <w:sz w:val="18"/>
              </w:rPr>
              <w:t>Description</w:t>
            </w:r>
          </w:p>
        </w:tc>
        <w:tc>
          <w:tcPr>
            <w:tcW w:type="dxa" w:w="1504"/>
            <w:shd w:fill="D9E2F3" w:val="clear"/>
          </w:tcPr>
          <w:p>
            <w:r/>
            <w:r>
              <w:rPr>
                <w:rFonts w:ascii="Times New Roman" w:hAnsi="Times New Roman"/>
                <w:b/>
                <w:sz w:val="18"/>
              </w:rPr>
              <w:t>Examples</w:t>
            </w:r>
          </w:p>
        </w:tc>
        <w:tc>
          <w:tcPr>
            <w:tcW w:type="dxa" w:w="1504"/>
            <w:shd w:fill="D9E2F3" w:val="clear"/>
          </w:tcPr>
          <w:p>
            <w:r/>
            <w:r>
              <w:rPr>
                <w:rFonts w:ascii="Times New Roman" w:hAnsi="Times New Roman"/>
                <w:b/>
                <w:sz w:val="18"/>
              </w:rPr>
              <w:t>n (%)</w:t>
            </w:r>
          </w:p>
        </w:tc>
        <w:tc>
          <w:tcPr>
            <w:tcW w:type="dxa" w:w="1504"/>
            <w:shd w:fill="D9E2F3" w:val="clear"/>
          </w:tcPr>
          <w:p>
            <w:r/>
            <w:r>
              <w:rPr>
                <w:rFonts w:ascii="Times New Roman" w:hAnsi="Times New Roman"/>
                <w:b/>
                <w:sz w:val="18"/>
              </w:rPr>
              <w:t>Root cause</w:t>
            </w:r>
          </w:p>
        </w:tc>
        <w:tc>
          <w:tcPr>
            <w:tcW w:type="dxa" w:w="1504"/>
            <w:shd w:fill="D9E2F3" w:val="clear"/>
          </w:tcPr>
          <w:p>
            <w:r/>
            <w:r>
              <w:rPr>
                <w:rFonts w:ascii="Times New Roman" w:hAnsi="Times New Roman"/>
                <w:b/>
                <w:sz w:val="18"/>
              </w:rPr>
              <w:t>Resolution pathway</w:t>
            </w:r>
          </w:p>
        </w:tc>
      </w:tr>
      <w:tr>
        <w:tc>
          <w:tcPr>
            <w:tcW w:type="dxa" w:w="1504"/>
          </w:tcPr>
          <w:p>
            <w:r/>
            <w:r>
              <w:rPr>
                <w:rFonts w:ascii="Times New Roman" w:hAnsi="Times New Roman"/>
                <w:b w:val="0"/>
                <w:sz w:val="18"/>
              </w:rPr>
              <w:t>I. Non-standard sources</w:t>
            </w:r>
          </w:p>
        </w:tc>
        <w:tc>
          <w:tcPr>
            <w:tcW w:type="dxa" w:w="1504"/>
          </w:tcPr>
          <w:p>
            <w:r/>
            <w:r>
              <w:rPr>
                <w:rFonts w:ascii="Times New Roman" w:hAnsi="Times New Roman"/>
                <w:b w:val="0"/>
                <w:sz w:val="18"/>
              </w:rPr>
              <w:t>URLs, websites, institutional reports, and grey literature that PubMed does not index with PMIDs</w:t>
            </w:r>
          </w:p>
        </w:tc>
        <w:tc>
          <w:tcPr>
            <w:tcW w:type="dxa" w:w="1504"/>
          </w:tcPr>
          <w:p>
            <w:r/>
            <w:r>
              <w:rPr>
                <w:rFonts w:ascii="Times New Roman" w:hAnsi="Times New Roman"/>
                <w:b w:val="0"/>
                <w:sz w:val="18"/>
              </w:rPr>
              <w:t>"National Cancer Institute, accessed March 3, 2024"; institutional guidelines; clinical trial registry entries</w:t>
            </w:r>
          </w:p>
        </w:tc>
        <w:tc>
          <w:tcPr>
            <w:tcW w:type="dxa" w:w="1504"/>
          </w:tcPr>
          <w:p>
            <w:r/>
            <w:r>
              <w:rPr>
                <w:rFonts w:ascii="Times New Roman" w:hAnsi="Times New Roman"/>
                <w:b w:val="0"/>
                <w:sz w:val="18"/>
              </w:rPr>
              <w:t>22 (53.7%)</w:t>
            </w:r>
          </w:p>
        </w:tc>
        <w:tc>
          <w:tcPr>
            <w:tcW w:type="dxa" w:w="1504"/>
          </w:tcPr>
          <w:p>
            <w:r/>
            <w:r>
              <w:rPr>
                <w:rFonts w:ascii="Times New Roman" w:hAnsi="Times New Roman"/>
                <w:b w:val="0"/>
                <w:sz w:val="18"/>
              </w:rPr>
              <w:t>Reference type inherently lacks a PMID — RW DB pre-filter cannot match; LLM receives truncated citation text</w:t>
            </w:r>
          </w:p>
        </w:tc>
        <w:tc>
          <w:tcPr>
            <w:tcW w:type="dxa" w:w="1504"/>
          </w:tcPr>
          <w:p>
            <w:r/>
            <w:r>
              <w:rPr>
                <w:rFonts w:ascii="Times New Roman" w:hAnsi="Times New Roman"/>
                <w:b w:val="0"/>
                <w:sz w:val="18"/>
              </w:rPr>
              <w:t>Pre-screen references for PMID availability; non-standard refs should default to manual verification. CrossRef DOI lookup may recover ~30%</w:t>
            </w:r>
          </w:p>
        </w:tc>
      </w:tr>
      <w:tr>
        <w:tc>
          <w:tcPr>
            <w:tcW w:type="dxa" w:w="1504"/>
          </w:tcPr>
          <w:p>
            <w:r/>
            <w:r>
              <w:rPr>
                <w:rFonts w:ascii="Times New Roman" w:hAnsi="Times New Roman"/>
                <w:b w:val="0"/>
                <w:sz w:val="18"/>
              </w:rPr>
              <w:t>II. Unresolved journal articles</w:t>
            </w:r>
          </w:p>
        </w:tc>
        <w:tc>
          <w:tcPr>
            <w:tcW w:type="dxa" w:w="1504"/>
          </w:tcPr>
          <w:p>
            <w:r/>
            <w:r>
              <w:rPr>
                <w:rFonts w:ascii="Times New Roman" w:hAnsi="Times New Roman"/>
                <w:b w:val="0"/>
                <w:sz w:val="18"/>
              </w:rPr>
              <w:t>Articles from sources whose PMIDs were not propagated to the citing review's XML ReferenceList, or whose citation text was truncated during extraction</w:t>
            </w:r>
          </w:p>
        </w:tc>
        <w:tc>
          <w:tcPr>
            <w:tcW w:type="dxa" w:w="1504"/>
          </w:tcPr>
          <w:p>
            <w:r/>
            <w:r>
              <w:rPr>
                <w:rFonts w:ascii="Times New Roman" w:hAnsi="Times New Roman"/>
                <w:b w:val="0"/>
                <w:sz w:val="18"/>
              </w:rPr>
              <w:t>Human Reproduction Update, PLoS ONE; Journal of Clinical Oncology supplements</w:t>
            </w:r>
          </w:p>
        </w:tc>
        <w:tc>
          <w:tcPr>
            <w:tcW w:type="dxa" w:w="1504"/>
          </w:tcPr>
          <w:p>
            <w:r/>
            <w:r>
              <w:rPr>
                <w:rFonts w:ascii="Times New Roman" w:hAnsi="Times New Roman"/>
                <w:b w:val="0"/>
                <w:sz w:val="18"/>
              </w:rPr>
              <w:t>18 (43.9%)</w:t>
            </w:r>
          </w:p>
        </w:tc>
        <w:tc>
          <w:tcPr>
            <w:tcW w:type="dxa" w:w="1504"/>
          </w:tcPr>
          <w:p>
            <w:r/>
            <w:r>
              <w:rPr>
                <w:rFonts w:ascii="Times New Roman" w:hAnsi="Times New Roman"/>
                <w:b w:val="0"/>
                <w:sz w:val="18"/>
              </w:rPr>
              <w:t>PubMed XML data exchange limitation — PMID exists in PubMed but absent from the ReferenceList of the citing review</w:t>
            </w:r>
          </w:p>
        </w:tc>
        <w:tc>
          <w:tcPr>
            <w:tcW w:type="dxa" w:w="1504"/>
          </w:tcPr>
          <w:p>
            <w:r/>
            <w:r>
              <w:rPr>
                <w:rFonts w:ascii="Times New Roman" w:hAnsi="Times New Roman"/>
                <w:b w:val="0"/>
                <w:sz w:val="18"/>
              </w:rPr>
              <w:t>Multi-field citation reconstruction (title + author + year + journal) could recover an estimated 60% of these cases</w:t>
            </w:r>
          </w:p>
        </w:tc>
      </w:tr>
      <w:tr>
        <w:tc>
          <w:tcPr>
            <w:tcW w:type="dxa" w:w="1504"/>
          </w:tcPr>
          <w:p>
            <w:r/>
            <w:r>
              <w:rPr>
                <w:rFonts w:ascii="Times New Roman" w:hAnsi="Times New Roman"/>
                <w:b w:val="0"/>
                <w:sz w:val="18"/>
              </w:rPr>
              <w:t>III. Methodological handbooks</w:t>
            </w:r>
          </w:p>
        </w:tc>
        <w:tc>
          <w:tcPr>
            <w:tcW w:type="dxa" w:w="1504"/>
          </w:tcPr>
          <w:p>
            <w:r/>
            <w:r>
              <w:rPr>
                <w:rFonts w:ascii="Times New Roman" w:hAnsi="Times New Roman"/>
                <w:b w:val="0"/>
                <w:sz w:val="18"/>
              </w:rPr>
              <w:t>Well-known evidence synthesis manuals and software documentation</w:t>
            </w:r>
          </w:p>
        </w:tc>
        <w:tc>
          <w:tcPr>
            <w:tcW w:type="dxa" w:w="1504"/>
          </w:tcPr>
          <w:p>
            <w:r/>
            <w:r>
              <w:rPr>
                <w:rFonts w:ascii="Times New Roman" w:hAnsi="Times New Roman"/>
                <w:b w:val="0"/>
                <w:sz w:val="18"/>
              </w:rPr>
              <w:t>Cochrane Handbook for Systematic Reviews of Interventions</w:t>
            </w:r>
          </w:p>
        </w:tc>
        <w:tc>
          <w:tcPr>
            <w:tcW w:type="dxa" w:w="1504"/>
          </w:tcPr>
          <w:p>
            <w:r/>
            <w:r>
              <w:rPr>
                <w:rFonts w:ascii="Times New Roman" w:hAnsi="Times New Roman"/>
                <w:b w:val="0"/>
                <w:sz w:val="18"/>
              </w:rPr>
              <w:t>1 (2.4%)</w:t>
            </w:r>
          </w:p>
        </w:tc>
        <w:tc>
          <w:tcPr>
            <w:tcW w:type="dxa" w:w="1504"/>
          </w:tcPr>
          <w:p>
            <w:r/>
            <w:r>
              <w:rPr>
                <w:rFonts w:ascii="Times New Roman" w:hAnsi="Times New Roman"/>
                <w:b w:val="0"/>
                <w:sz w:val="18"/>
              </w:rPr>
              <w:t>Handbook references are never retracted — standard PMID-based matching is inapplicable</w:t>
            </w:r>
          </w:p>
        </w:tc>
        <w:tc>
          <w:tcPr>
            <w:tcW w:type="dxa" w:w="1504"/>
          </w:tcPr>
          <w:p>
            <w:r/>
            <w:r>
              <w:rPr>
                <w:rFonts w:ascii="Times New Roman" w:hAnsi="Times New Roman"/>
                <w:b w:val="0"/>
                <w:sz w:val="18"/>
              </w:rPr>
              <w:t>Maintain an allowlist of recognized methodological references to bypass LLM classification entirely</w:t>
            </w:r>
          </w:p>
        </w:tc>
      </w:tr>
    </w:tbl>
    <w:p/>
    <w:p>
      <w:pPr/>
      <w:r>
        <w:rPr>
          <w:rFonts w:ascii="Times New Roman" w:hAnsi="Times New Roman"/>
          <w:b w:val="0"/>
          <w:i w:val="0"/>
          <w:sz w:val="20"/>
        </w:rPr>
        <w:t>All 41 false negatives arose from data availability limitations rather than LLM misclassification — every reference with a resolvable PMID was correctly handled by the pipeline. This suggests that incremental improvements in PMID resolution and XML parsing could raise sensitivity to approximately 95% or higher.</w:t>
      </w:r>
    </w:p>
    <w:p>
      <w:r>
        <w:rPr>
          <w:rFonts w:ascii="Times New Roman" w:hAnsi="Times New Roman"/>
          <w:sz w:val="20"/>
        </w:rPr>
      </w:r>
      <w:r>
        <w:rPr>
          <w:rFonts w:ascii="Times New Roman" w:hAnsi="Times New Roman"/>
          <w:b/>
          <w:sz w:val="20"/>
        </w:rPr>
        <w:t>Reproducibility.</w:t>
      </w:r>
      <w:r>
        <w:rPr>
          <w:rFonts w:ascii="Times New Roman" w:hAnsi="Times New Roman"/>
          <w:sz w:val="20"/>
        </w:rPr>
        <w:t xml:space="preserve"> In the test-retest analysis, the DeepSeek v3 classifier showed perfect agreement (Cohen's κ = 1.00, 50/50 identical classifications) between the two time points separated by one week. All 25 retracted and 25 clean references received identical classifications in both rounds.</w:t>
      </w:r>
    </w:p>
    <w:p>
      <w:pPr>
        <w:pStyle w:val="Heading3"/>
      </w:pPr>
      <w:r>
        <w:rPr>
          <w:rFonts w:ascii="Times New Roman" w:hAnsi="Times New Roman"/>
          <w:b/>
          <w:sz w:val="22"/>
        </w:rPr>
        <w:t>Cross-Model Comparison</w:t>
      </w:r>
    </w:p>
    <w:p>
      <w:pPr/>
      <w:r>
        <w:rPr>
          <w:rFonts w:ascii="Times New Roman" w:hAnsi="Times New Roman"/>
          <w:b w:val="0"/>
          <w:i w:val="0"/>
          <w:sz w:val="20"/>
        </w:rPr>
        <w:t>To assess whether the pipeline's performance is specific to DeepSeek or generalisable to other LLMs, we repeated the v3 (chain-of-thought) classification using Qwen-turbo (Alibaba Cloud), MiniMax-Text-01, Kimi K2.5 (Moonshot AI), GLM-4-Air (Zhipu AI), and GLM-4-Flash (Zhipu AI) on the same 500 references with identical prompt structure, temperature (0.2), and output parsing. The results reveal substantial cross-model variability (Table 4).</w:t>
      </w:r>
    </w:p>
    <w:p>
      <w:r>
        <w:rPr>
          <w:rFonts w:ascii="Times New Roman" w:hAnsi="Times New Roman"/>
          <w:b/>
          <w:sz w:val="20"/>
        </w:rPr>
        <w:t>Table 4. Cross-model comparison of chain-of-thought performance</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fill="D9E2F3" w:val="clear"/>
          </w:tcPr>
          <w:p>
            <w:r/>
            <w:r>
              <w:rPr>
                <w:rFonts w:ascii="Times New Roman" w:hAnsi="Times New Roman"/>
                <w:b/>
                <w:sz w:val="18"/>
              </w:rPr>
              <w:t>Metric</w:t>
            </w:r>
          </w:p>
        </w:tc>
        <w:tc>
          <w:tcPr>
            <w:tcW w:type="dxa" w:w="1289"/>
            <w:shd w:fill="D9E2F3" w:val="clear"/>
          </w:tcPr>
          <w:p>
            <w:r/>
            <w:r>
              <w:rPr>
                <w:rFonts w:ascii="Times New Roman" w:hAnsi="Times New Roman"/>
                <w:b/>
                <w:sz w:val="18"/>
              </w:rPr>
              <w:t>DeepSeek v3 CoT</w:t>
            </w:r>
          </w:p>
        </w:tc>
        <w:tc>
          <w:tcPr>
            <w:tcW w:type="dxa" w:w="1289"/>
            <w:shd w:fill="D9E2F3" w:val="clear"/>
          </w:tcPr>
          <w:p>
            <w:r/>
            <w:r>
              <w:rPr>
                <w:rFonts w:ascii="Times New Roman" w:hAnsi="Times New Roman"/>
                <w:b/>
                <w:sz w:val="18"/>
              </w:rPr>
              <w:t>Kimi K2.5</w:t>
            </w:r>
          </w:p>
        </w:tc>
        <w:tc>
          <w:tcPr>
            <w:tcW w:type="dxa" w:w="1289"/>
            <w:shd w:fill="D9E2F3" w:val="clear"/>
          </w:tcPr>
          <w:p>
            <w:r/>
            <w:r>
              <w:rPr>
                <w:rFonts w:ascii="Times New Roman" w:hAnsi="Times New Roman"/>
                <w:b/>
                <w:sz w:val="18"/>
              </w:rPr>
              <w:t>MiniMax-Text-01</w:t>
            </w:r>
          </w:p>
        </w:tc>
        <w:tc>
          <w:tcPr>
            <w:tcW w:type="dxa" w:w="1289"/>
            <w:shd w:fill="D9E2F3" w:val="clear"/>
          </w:tcPr>
          <w:p>
            <w:r/>
            <w:r>
              <w:rPr>
                <w:rFonts w:ascii="Times New Roman" w:hAnsi="Times New Roman"/>
                <w:b/>
                <w:sz w:val="18"/>
              </w:rPr>
              <w:t>Qwen-turbo CoT</w:t>
            </w:r>
          </w:p>
        </w:tc>
        <w:tc>
          <w:tcPr>
            <w:tcW w:type="dxa" w:w="1289"/>
            <w:shd w:fill="D9E2F3" w:val="clear"/>
          </w:tcPr>
          <w:p>
            <w:r/>
            <w:r>
              <w:rPr>
                <w:rFonts w:ascii="Times New Roman" w:hAnsi="Times New Roman"/>
                <w:b/>
                <w:sz w:val="18"/>
              </w:rPr>
              <w:t>GLM-4-Air</w:t>
            </w:r>
          </w:p>
        </w:tc>
        <w:tc>
          <w:tcPr>
            <w:tcW w:type="dxa" w:w="1289"/>
            <w:shd w:fill="D9E2F3" w:val="clear"/>
          </w:tcPr>
          <w:p>
            <w:r/>
            <w:r>
              <w:rPr>
                <w:rFonts w:ascii="Times New Roman" w:hAnsi="Times New Roman"/>
                <w:b/>
                <w:sz w:val="18"/>
              </w:rPr>
              <w:t>GLM-4-Flash CoT</w:t>
            </w:r>
          </w:p>
        </w:tc>
      </w:tr>
      <w:tr>
        <w:tc>
          <w:tcPr>
            <w:tcW w:type="dxa" w:w="1289"/>
          </w:tcPr>
          <w:p>
            <w:r/>
            <w:r>
              <w:rPr>
                <w:rFonts w:ascii="Times New Roman" w:hAnsi="Times New Roman"/>
                <w:b w:val="0"/>
                <w:sz w:val="18"/>
              </w:rPr>
              <w:t>Sensitivity</w:t>
            </w:r>
          </w:p>
        </w:tc>
        <w:tc>
          <w:tcPr>
            <w:tcW w:type="dxa" w:w="1289"/>
          </w:tcPr>
          <w:p>
            <w:r/>
            <w:r>
              <w:rPr>
                <w:rFonts w:ascii="Times New Roman" w:hAnsi="Times New Roman"/>
                <w:b w:val="0"/>
                <w:sz w:val="18"/>
              </w:rPr>
              <w:t>89.4%</w:t>
            </w:r>
          </w:p>
        </w:tc>
        <w:tc>
          <w:tcPr>
            <w:tcW w:type="dxa" w:w="1289"/>
          </w:tcPr>
          <w:p>
            <w:r/>
            <w:r>
              <w:rPr>
                <w:rFonts w:ascii="Times New Roman" w:hAnsi="Times New Roman"/>
                <w:b w:val="0"/>
                <w:sz w:val="18"/>
              </w:rPr>
              <w:t>82.5%</w:t>
            </w:r>
          </w:p>
        </w:tc>
        <w:tc>
          <w:tcPr>
            <w:tcW w:type="dxa" w:w="1289"/>
          </w:tcPr>
          <w:p>
            <w:r/>
            <w:r>
              <w:rPr>
                <w:rFonts w:ascii="Times New Roman" w:hAnsi="Times New Roman"/>
                <w:b w:val="0"/>
                <w:sz w:val="18"/>
              </w:rPr>
              <w:t>35.9%</w:t>
            </w:r>
          </w:p>
        </w:tc>
        <w:tc>
          <w:tcPr>
            <w:tcW w:type="dxa" w:w="1289"/>
          </w:tcPr>
          <w:p>
            <w:r/>
            <w:r>
              <w:rPr>
                <w:rFonts w:ascii="Times New Roman" w:hAnsi="Times New Roman"/>
                <w:b w:val="0"/>
                <w:sz w:val="18"/>
              </w:rPr>
              <w:t>16.0%</w:t>
            </w:r>
          </w:p>
        </w:tc>
        <w:tc>
          <w:tcPr>
            <w:tcW w:type="dxa" w:w="1289"/>
          </w:tcPr>
          <w:p>
            <w:r/>
            <w:r>
              <w:rPr>
                <w:rFonts w:ascii="Times New Roman" w:hAnsi="Times New Roman"/>
                <w:b w:val="0"/>
                <w:sz w:val="18"/>
              </w:rPr>
              <w:t>2.6%</w:t>
            </w:r>
          </w:p>
        </w:tc>
        <w:tc>
          <w:tcPr>
            <w:tcW w:type="dxa" w:w="1289"/>
          </w:tcPr>
          <w:p>
            <w:r/>
            <w:r>
              <w:rPr>
                <w:rFonts w:ascii="Times New Roman" w:hAnsi="Times New Roman"/>
                <w:b w:val="0"/>
                <w:sz w:val="18"/>
              </w:rPr>
              <w:t>0%</w:t>
            </w:r>
          </w:p>
        </w:tc>
      </w:tr>
      <w:tr>
        <w:tc>
          <w:tcPr>
            <w:tcW w:type="dxa" w:w="1289"/>
          </w:tcPr>
          <w:p>
            <w:r/>
            <w:r>
              <w:rPr>
                <w:rFonts w:ascii="Times New Roman" w:hAnsi="Times New Roman"/>
                <w:b w:val="0"/>
                <w:sz w:val="18"/>
              </w:rPr>
              <w:t>Specificity</w:t>
            </w:r>
          </w:p>
        </w:tc>
        <w:tc>
          <w:tcPr>
            <w:tcW w:type="dxa" w:w="1289"/>
          </w:tcPr>
          <w:p>
            <w:r/>
            <w:r>
              <w:rPr>
                <w:rFonts w:ascii="Times New Roman" w:hAnsi="Times New Roman"/>
                <w:b w:val="0"/>
                <w:sz w:val="18"/>
              </w:rPr>
              <w:t>100%</w:t>
            </w:r>
          </w:p>
        </w:tc>
        <w:tc>
          <w:tcPr>
            <w:tcW w:type="dxa" w:w="1289"/>
          </w:tcPr>
          <w:p>
            <w:r/>
            <w:r>
              <w:rPr>
                <w:rFonts w:ascii="Times New Roman" w:hAnsi="Times New Roman"/>
                <w:b w:val="0"/>
                <w:sz w:val="18"/>
              </w:rPr>
              <w:t>41.5%</w:t>
            </w:r>
          </w:p>
        </w:tc>
        <w:tc>
          <w:tcPr>
            <w:tcW w:type="dxa" w:w="1289"/>
          </w:tcPr>
          <w:p>
            <w:r/>
            <w:r>
              <w:rPr>
                <w:rFonts w:ascii="Times New Roman" w:hAnsi="Times New Roman"/>
                <w:b w:val="0"/>
                <w:sz w:val="18"/>
              </w:rPr>
              <w:t>82.1%</w:t>
            </w:r>
          </w:p>
        </w:tc>
        <w:tc>
          <w:tcPr>
            <w:tcW w:type="dxa" w:w="1289"/>
          </w:tcPr>
          <w:p>
            <w:r/>
            <w:r>
              <w:rPr>
                <w:rFonts w:ascii="Times New Roman" w:hAnsi="Times New Roman"/>
                <w:b w:val="0"/>
                <w:sz w:val="18"/>
              </w:rPr>
              <w:t>79.5%</w:t>
            </w:r>
          </w:p>
        </w:tc>
        <w:tc>
          <w:tcPr>
            <w:tcW w:type="dxa" w:w="1289"/>
          </w:tcPr>
          <w:p>
            <w:r/>
            <w:r>
              <w:rPr>
                <w:rFonts w:ascii="Times New Roman" w:hAnsi="Times New Roman"/>
                <w:b w:val="0"/>
                <w:sz w:val="18"/>
              </w:rPr>
              <w:t>99.1%</w:t>
            </w:r>
          </w:p>
        </w:tc>
        <w:tc>
          <w:tcPr>
            <w:tcW w:type="dxa" w:w="1289"/>
          </w:tcPr>
          <w:p>
            <w:r/>
            <w:r>
              <w:rPr>
                <w:rFonts w:ascii="Times New Roman" w:hAnsi="Times New Roman"/>
                <w:b w:val="0"/>
                <w:sz w:val="18"/>
              </w:rPr>
              <w:t>100%</w:t>
            </w:r>
          </w:p>
        </w:tc>
      </w:tr>
      <w:tr>
        <w:tc>
          <w:tcPr>
            <w:tcW w:type="dxa" w:w="1289"/>
          </w:tcPr>
          <w:p>
            <w:r/>
            <w:r>
              <w:rPr>
                <w:rFonts w:ascii="Times New Roman" w:hAnsi="Times New Roman"/>
                <w:b w:val="0"/>
                <w:sz w:val="18"/>
              </w:rPr>
              <w:t>F1 score</w:t>
            </w:r>
          </w:p>
        </w:tc>
        <w:tc>
          <w:tcPr>
            <w:tcW w:type="dxa" w:w="1289"/>
          </w:tcPr>
          <w:p>
            <w:r/>
            <w:r>
              <w:rPr>
                <w:rFonts w:ascii="Times New Roman" w:hAnsi="Times New Roman"/>
                <w:b w:val="0"/>
                <w:sz w:val="18"/>
              </w:rPr>
              <w:t>94.4%</w:t>
            </w:r>
          </w:p>
        </w:tc>
        <w:tc>
          <w:tcPr>
            <w:tcW w:type="dxa" w:w="1289"/>
          </w:tcPr>
          <w:p>
            <w:r/>
            <w:r>
              <w:rPr>
                <w:rFonts w:ascii="Times New Roman" w:hAnsi="Times New Roman"/>
                <w:b w:val="0"/>
                <w:sz w:val="18"/>
              </w:rPr>
              <w:t>82.8%</w:t>
            </w:r>
          </w:p>
        </w:tc>
        <w:tc>
          <w:tcPr>
            <w:tcW w:type="dxa" w:w="1289"/>
          </w:tcPr>
          <w:p>
            <w:r/>
            <w:r>
              <w:rPr>
                <w:rFonts w:ascii="Times New Roman" w:hAnsi="Times New Roman"/>
                <w:b w:val="0"/>
                <w:sz w:val="18"/>
              </w:rPr>
              <w:t>50.8%</w:t>
            </w:r>
          </w:p>
        </w:tc>
        <w:tc>
          <w:tcPr>
            <w:tcW w:type="dxa" w:w="1289"/>
          </w:tcPr>
          <w:p>
            <w:r/>
            <w:r>
              <w:rPr>
                <w:rFonts w:ascii="Times New Roman" w:hAnsi="Times New Roman"/>
                <w:b w:val="0"/>
                <w:sz w:val="18"/>
              </w:rPr>
              <w:t>26.3%</w:t>
            </w:r>
          </w:p>
        </w:tc>
        <w:tc>
          <w:tcPr>
            <w:tcW w:type="dxa" w:w="1289"/>
          </w:tcPr>
          <w:p>
            <w:r/>
            <w:r>
              <w:rPr>
                <w:rFonts w:ascii="Times New Roman" w:hAnsi="Times New Roman"/>
                <w:b w:val="0"/>
                <w:sz w:val="18"/>
              </w:rPr>
              <w:t>5.0%</w:t>
            </w:r>
          </w:p>
        </w:tc>
        <w:tc>
          <w:tcPr>
            <w:tcW w:type="dxa" w:w="1289"/>
          </w:tcPr>
          <w:p>
            <w:r/>
            <w:r>
              <w:rPr>
                <w:rFonts w:ascii="Times New Roman" w:hAnsi="Times New Roman"/>
                <w:b w:val="0"/>
                <w:sz w:val="18"/>
              </w:rPr>
              <w:t>—</w:t>
            </w:r>
          </w:p>
        </w:tc>
      </w:tr>
      <w:tr>
        <w:tc>
          <w:tcPr>
            <w:tcW w:type="dxa" w:w="1289"/>
          </w:tcPr>
          <w:p>
            <w:r/>
            <w:r>
              <w:rPr>
                <w:rFonts w:ascii="Times New Roman" w:hAnsi="Times New Roman"/>
                <w:b w:val="0"/>
                <w:sz w:val="18"/>
              </w:rPr>
              <w:t>Definite classifications</w:t>
            </w:r>
          </w:p>
        </w:tc>
        <w:tc>
          <w:tcPr>
            <w:tcW w:type="dxa" w:w="1289"/>
          </w:tcPr>
          <w:p>
            <w:r/>
            <w:r>
              <w:rPr>
                <w:rFonts w:ascii="Times New Roman" w:hAnsi="Times New Roman"/>
                <w:b w:val="0"/>
                <w:sz w:val="18"/>
              </w:rPr>
              <w:t>500/500 (100%)</w:t>
            </w:r>
          </w:p>
        </w:tc>
        <w:tc>
          <w:tcPr>
            <w:tcW w:type="dxa" w:w="1289"/>
          </w:tcPr>
          <w:p>
            <w:r/>
            <w:r>
              <w:rPr>
                <w:rFonts w:ascii="Times New Roman" w:hAnsi="Times New Roman"/>
                <w:b w:val="0"/>
                <w:sz w:val="18"/>
              </w:rPr>
              <w:t>368/370 (99.5%)</w:t>
            </w:r>
          </w:p>
        </w:tc>
        <w:tc>
          <w:tcPr>
            <w:tcW w:type="dxa" w:w="1289"/>
          </w:tcPr>
          <w:p>
            <w:r/>
            <w:r>
              <w:rPr>
                <w:rFonts w:ascii="Times New Roman" w:hAnsi="Times New Roman"/>
                <w:b w:val="0"/>
                <w:sz w:val="18"/>
              </w:rPr>
              <w:t>494/499 (99.0%)</w:t>
            </w:r>
          </w:p>
        </w:tc>
        <w:tc>
          <w:tcPr>
            <w:tcW w:type="dxa" w:w="1289"/>
          </w:tcPr>
          <w:p>
            <w:r/>
            <w:r>
              <w:rPr>
                <w:rFonts w:ascii="Times New Roman" w:hAnsi="Times New Roman"/>
                <w:b w:val="0"/>
                <w:sz w:val="18"/>
              </w:rPr>
              <w:t>499/500 (99.8%)</w:t>
            </w:r>
          </w:p>
        </w:tc>
        <w:tc>
          <w:tcPr>
            <w:tcW w:type="dxa" w:w="1289"/>
          </w:tcPr>
          <w:p>
            <w:r/>
            <w:r>
              <w:rPr>
                <w:rFonts w:ascii="Times New Roman" w:hAnsi="Times New Roman"/>
                <w:b w:val="0"/>
                <w:sz w:val="18"/>
              </w:rPr>
              <w:t>499/499 (100%)</w:t>
            </w:r>
          </w:p>
        </w:tc>
        <w:tc>
          <w:tcPr>
            <w:tcW w:type="dxa" w:w="1289"/>
          </w:tcPr>
          <w:p>
            <w:r/>
            <w:r>
              <w:rPr>
                <w:rFonts w:ascii="Times New Roman" w:hAnsi="Times New Roman"/>
                <w:b w:val="0"/>
                <w:sz w:val="18"/>
              </w:rPr>
              <w:t>13/500 (2.6%)</w:t>
            </w:r>
          </w:p>
        </w:tc>
      </w:tr>
    </w:tbl>
    <w:p/>
    <w:p>
      <w:pPr/>
      <w:r>
        <w:rPr>
          <w:rFonts w:ascii="Times New Roman" w:hAnsi="Times New Roman"/>
          <w:b w:val="0"/>
          <w:i w:val="0"/>
          <w:sz w:val="20"/>
        </w:rPr>
        <w:t>The cross-model comparison reveals striking performance differences (Table 4). Kimi K2.5, a reasoning model, achieved the highest sensitivity among alternatives (82.5%) and an F1 score of 82.8%—approaching DeepSeek's performance but at substantially lower specificity (41.5% vs 100%), producing 48 false positives that could erode trust in automated screening. MiniMax-Text-01 showed moderate performance with 35.9% sensitivity and 82.1% specificity (F1 50.8%). Qwen-turbo showed 16.0% sensitivity at 79.5% specificity (23 false positives). GLM-4-Air and GLM-4-Flash proved unsuitable for this task, with sensitivity of 2.6% and 0%, respectively. The performance gap between DeepSeek and all alternative models (F1 range 0–82.8% vs 94.4%) highlights that effective retraction screening is not a universal LLM capability—it depends substantially on model architecture, training data coverage, and domain-specific knowledge (Figure 7).</w:t>
      </w:r>
    </w:p>
    <w:p>
      <w:pPr>
        <w:jc w:val="center"/>
        <w:pBdr>
          <w:top w:val="single" w:sz="4" w:space="4" w:color="999999"/>
          <w:left w:val="single" w:sz="4" w:space="4" w:color="999999"/>
          <w:bottom w:val="single" w:sz="4" w:space="4" w:color="999999"/>
          <w:right w:val="single" w:sz="4" w:space="4" w:color="999999"/>
        </w:pBdr>
      </w:pPr>
      <w:r>
        <w:rPr>
          <w:rFonts w:ascii="Times New Roman" w:hAnsi="Times New Roman"/>
          <w:b/>
          <w:i/>
          <w:sz w:val="20"/>
        </w:rPr>
        <w:br/>
        <w:t>[Figure 4 about here: Confusion matrix heatmap for v3 CoT]</w:t>
        <w:br/>
      </w:r>
    </w:p>
    <w:p>
      <w:pPr>
        <w:jc w:val="center"/>
        <w:pBdr>
          <w:top w:val="single" w:sz="4" w:space="4" w:color="999999"/>
          <w:left w:val="single" w:sz="4" w:space="4" w:color="999999"/>
          <w:bottom w:val="single" w:sz="4" w:space="4" w:color="999999"/>
          <w:right w:val="single" w:sz="4" w:space="4" w:color="999999"/>
        </w:pBdr>
      </w:pPr>
      <w:r>
        <w:rPr>
          <w:rFonts w:ascii="Times New Roman" w:hAnsi="Times New Roman"/>
          <w:b/>
          <w:i/>
          <w:sz w:val="20"/>
        </w:rPr>
        <w:br/>
        <w:t>[Figure 7 about here: Multi-model comparison bar chart showing sensitivity, specificity, and F1 scores across six LLMs. DeepSeek v3 CoT is highlighted for comparison.]</w:t>
        <w:br/>
      </w:r>
    </w:p>
    <w:p>
      <w:pPr>
        <w:pStyle w:val="Heading3"/>
      </w:pPr>
      <w:r>
        <w:rPr>
          <w:rFonts w:ascii="Times New Roman" w:hAnsi="Times New Roman"/>
          <w:b/>
          <w:sz w:val="22"/>
        </w:rPr>
        <w:t>Prompt Version Comparison</w:t>
      </w:r>
    </w:p>
    <w:p>
      <w:pPr/>
      <w:r>
        <w:rPr>
          <w:rFonts w:ascii="Times New Roman" w:hAnsi="Times New Roman"/>
          <w:b w:val="0"/>
          <w:i w:val="0"/>
          <w:sz w:val="20"/>
        </w:rPr>
        <w:t>The four prompt engineering strategies showed marked differences in performance during prototype testing (Table 2). The chain-of-thought prompt (v3) was the only variant that correctly identified the *International Wound Journal* article as potentially retracted. The model's reasoning explicitly invoked journal-level risk patterns:</w:t>
      </w:r>
    </w:p>
    <w:p>
      <w:pPr/>
      <w:r>
        <w:rPr>
          <w:rFonts w:ascii="Times New Roman" w:hAnsi="Times New Roman"/>
          <w:b w:val="0"/>
          <w:i w:val="0"/>
          <w:sz w:val="20"/>
        </w:rPr>
        <w:t>Zero-shot (v1) and few-shot (v2) prompts consistently classified high-risk journal articles as "CLEAN," suggesting that direct classification without explicit reasoning fails to leverage the model's knowledge of journal-specific retraction histories. The multi-turn dialogue prompt (v4) also failed, likely because the two-round structure introduced inconsistencies between the journal-level and article-level assessments.</w:t>
      </w:r>
    </w:p>
    <w:p>
      <w:pPr>
        <w:pStyle w:val="Heading2"/>
      </w:pPr>
      <w:r>
        <w:rPr>
          <w:rFonts w:ascii="Times New Roman" w:hAnsi="Times New Roman"/>
          <w:b/>
          <w:sz w:val="24"/>
        </w:rPr>
        <w:t>Discussion</w:t>
      </w:r>
    </w:p>
    <w:p>
      <w:pPr>
        <w:pStyle w:val="Heading3"/>
      </w:pPr>
      <w:r>
        <w:rPr>
          <w:rFonts w:ascii="Times New Roman" w:hAnsi="Times New Roman"/>
          <w:b/>
          <w:sz w:val="22"/>
        </w:rPr>
        <w:t>Principal Findings</w:t>
      </w:r>
    </w:p>
    <w:p>
      <w:pPr/>
      <w:r>
        <w:rPr>
          <w:rFonts w:ascii="Times New Roman" w:hAnsi="Times New Roman"/>
          <w:b w:val="0"/>
          <w:i w:val="0"/>
          <w:sz w:val="20"/>
        </w:rPr>
        <w:t>This study makes four contributions that together address a well-documented but unresolved problem in evidence synthesis.</w:t>
      </w:r>
    </w:p>
    <w:p>
      <w:r>
        <w:rPr>
          <w:rFonts w:ascii="Times New Roman" w:hAnsi="Times New Roman"/>
          <w:sz w:val="20"/>
        </w:rPr>
      </w:r>
      <w:r>
        <w:rPr>
          <w:rFonts w:ascii="Times New Roman" w:hAnsi="Times New Roman"/>
          <w:b/>
          <w:sz w:val="20"/>
        </w:rPr>
        <w:t>Why this matters.</w:t>
      </w:r>
      <w:r>
        <w:rPr>
          <w:rFonts w:ascii="Times New Roman" w:hAnsi="Times New Roman"/>
          <w:sz w:val="20"/>
        </w:rPr>
        <w:t xml:space="preserve"> Retracted references continue to distort systematic reviews, meta-analyses, and clinical guidelines. Manual screening—the current default—is impractical: a typical review may cite 300–800 references, and checking each against Retraction Watch and PubMed would take 3–6 hours. No validated automated solution has been available. This gap matters because retractions are not rare events—we identified 370 retracted systematic reviews (0.67%) in the cancer and surgery literature alone, accumulating 2,953 CrossRef citations.</w:t>
      </w:r>
    </w:p>
    <w:p>
      <w:r>
        <w:rPr>
          <w:rFonts w:ascii="Times New Roman" w:hAnsi="Times New Roman"/>
          <w:sz w:val="20"/>
        </w:rPr>
      </w:r>
      <w:r>
        <w:rPr>
          <w:rFonts w:ascii="Times New Roman" w:hAnsi="Times New Roman"/>
          <w:b/>
          <w:sz w:val="20"/>
        </w:rPr>
        <w:t>What we found.</w:t>
      </w:r>
      <w:r>
        <w:rPr>
          <w:rFonts w:ascii="Times New Roman" w:hAnsi="Times New Roman"/>
          <w:sz w:val="20"/>
        </w:rPr>
        <w:t xml:space="preserve"> The concentration of retractions in a small number of mid-to-low tier journals is striking. A single journal—the *International Wound Journal*—accounts for 44.1% of retracted SR/MAs and 18.9% of all citations. This "silent contamination"—retractions that occur in journals authors do not routinely monitor—creates a problem that manual processes cannot solve.</w:t>
      </w:r>
    </w:p>
    <w:p>
      <w:r>
        <w:rPr>
          <w:rFonts w:ascii="Times New Roman" w:hAnsi="Times New Roman"/>
          <w:sz w:val="20"/>
        </w:rPr>
      </w:r>
      <w:r>
        <w:rPr>
          <w:rFonts w:ascii="Times New Roman" w:hAnsi="Times New Roman"/>
          <w:b/>
          <w:sz w:val="20"/>
        </w:rPr>
        <w:t>What the pipeline achieves.</w:t>
      </w:r>
      <w:r>
        <w:rPr>
          <w:rFonts w:ascii="Times New Roman" w:hAnsi="Times New Roman"/>
          <w:sz w:val="20"/>
        </w:rPr>
        <w:t xml:space="preserve"> The two-stage pipeline (RW database + DeepSeek chain-of-thought) detected 89.4% of retracted references at 100% specificity (F1 94.4%). At this performance level, a systematic review author could screen 100 references in approximately 5 minutes at negligible API cost (&lt;$0.01), flag the 15–20 most suspicious references for manual verification, and confidently accept the rest.</w:t>
      </w:r>
    </w:p>
    <w:p>
      <w:r>
        <w:rPr>
          <w:rFonts w:ascii="Times New Roman" w:hAnsi="Times New Roman"/>
          <w:sz w:val="20"/>
        </w:rPr>
      </w:r>
      <w:r>
        <w:rPr>
          <w:rFonts w:ascii="Times New Roman" w:hAnsi="Times New Roman"/>
          <w:b/>
          <w:sz w:val="20"/>
        </w:rPr>
        <w:t>What the multi-model comparison reveals.</w:t>
      </w:r>
      <w:r>
        <w:rPr>
          <w:rFonts w:ascii="Times New Roman" w:hAnsi="Times New Roman"/>
          <w:sz w:val="20"/>
        </w:rPr>
        <w:t xml:space="preserve"> Retraction screening is not a capability that all LLMs share. DeepSeek's F1 of 94.4% substantially exceeded Kimi K2.5 (82.8%, but with only 41.5% specificity causing 48 false positives), MiniMax-Text-01 (50.8%), Qwen-turbo (26.3%), GLM-4-Air (5.0%), and GLM-4-Flash (0%). This 94.4-percentage-point gap between the best and worst models underscores that task-specific evaluation—not general benchmark scores—should guide model selection for evidence integrity applications.</w:t>
      </w:r>
    </w:p>
    <w:p>
      <w:pPr>
        <w:pStyle w:val="Heading3"/>
      </w:pPr>
      <w:r>
        <w:rPr>
          <w:rFonts w:ascii="Times New Roman" w:hAnsi="Times New Roman"/>
          <w:b/>
          <w:sz w:val="22"/>
        </w:rPr>
        <w:t>The "Silent Contamination" Problem</w:t>
      </w:r>
    </w:p>
    <w:p>
      <w:pPr/>
      <w:r>
        <w:rPr>
          <w:rFonts w:ascii="Times New Roman" w:hAnsi="Times New Roman"/>
          <w:b w:val="0"/>
          <w:i w:val="0"/>
          <w:sz w:val="20"/>
        </w:rPr>
        <w:t>Retractions cluster in mid- to low-tier journals, not the high-impact ones that shape clinical guidelines. In our corpus, a single journal—the *International Wound Journal*—accounts for 44% of retracted systematic reviews. Authors do not monitor these journals for retractions, and understandably so: they are not where the landmark trials live. But the citations still flow. Avenell et al. found that 51% of citing articles would likely change their conclusions if retracted trial reports were removed [16]—yet most citing publications never assess that impact. That is what we mean by "silent contamination": the damage happens without anyone noticing.</w:t>
      </w:r>
    </w:p>
    <w:p>
      <w:pPr>
        <w:pStyle w:val="Heading3"/>
      </w:pPr>
      <w:r>
        <w:rPr>
          <w:rFonts w:ascii="Times New Roman" w:hAnsi="Times New Roman"/>
          <w:b/>
          <w:sz w:val="22"/>
        </w:rPr>
        <w:t>Role of LLMs in Evidence Integrity</w:t>
      </w:r>
    </w:p>
    <w:p>
      <w:pPr/>
      <w:r>
        <w:rPr>
          <w:rFonts w:ascii="Times New Roman" w:hAnsi="Times New Roman"/>
          <w:b w:val="0"/>
          <w:i w:val="0"/>
          <w:sz w:val="20"/>
        </w:rPr>
        <w:t>LLMs are not a silver bullet, but they have a clear role alongside deterministic databases. The RW pre-filter handles the straightforward cases (resolvable DOIs or PMIDs) with perfect specificity. The LLM classifier picks up what the database misses—references from journals whose retraction patterns are known but whose DOIs do not resolve cleanly. This two-stage design is sensible: let the database catch what it can, then let the model reason about the rest.</w:t>
      </w:r>
    </w:p>
    <w:p>
      <w:pPr/>
      <w:r>
        <w:rPr>
          <w:rFonts w:ascii="Times New Roman" w:hAnsi="Times New Roman"/>
          <w:b w:val="0"/>
          <w:i w:val="0"/>
          <w:sz w:val="20"/>
        </w:rPr>
        <w:t>The finding that chain-of-thought prompting outperforms zero-shot and few-shot variants is consistent with the broader LLM literature. CoT forces the model to walk through journal credibility and publication patterns step by step, which appears to surface knowledge about institutional retraction histories that simpler prompts leave buried. Our practical recommendation: for retraction screening, make CoT the default.</w:t>
      </w:r>
    </w:p>
    <w:p>
      <w:pPr>
        <w:pStyle w:val="Heading3"/>
      </w:pPr>
      <w:r>
        <w:rPr>
          <w:rFonts w:ascii="Times New Roman" w:hAnsi="Times New Roman"/>
          <w:b/>
          <w:sz w:val="22"/>
        </w:rPr>
        <w:t>Error Profile</w:t>
      </w:r>
    </w:p>
    <w:p>
      <w:pPr/>
      <w:r>
        <w:rPr>
          <w:rFonts w:ascii="Times New Roman" w:hAnsi="Times New Roman"/>
          <w:b w:val="0"/>
          <w:i w:val="0"/>
          <w:sz w:val="20"/>
        </w:rPr>
        <w:t>All 41 false negatives in our validation shared a single root cause: the absence of a PMID in the PubMed XML ReferenceList. This is a data coverage issue, not a model accuracy problem. References without PMIDs fall into two broad groups: (1) non-traditional sources (URLs, software, institutional reports) that PubMed does not index with PMIDs, and (2) journal articles whose PMIDs were not propagated to the XML ReferenceList of the citing review—a known limitation of PubMed's data exchange format. For these references, neither the RW database pre-filter (which requires a resolvable identifier) nor the LLM classifier (which receives truncated citation text) can operate effectively. This finding has practical implications: a simple pre-screen for PMID availability can identify which references are candidates for automated screening and which require manual verification.</w:t>
      </w:r>
    </w:p>
    <w:p>
      <w:pPr>
        <w:pStyle w:val="Heading3"/>
      </w:pPr>
      <w:r>
        <w:rPr>
          <w:rFonts w:ascii="Times New Roman" w:hAnsi="Times New Roman"/>
          <w:b/>
          <w:sz w:val="22"/>
        </w:rPr>
        <w:t>Limitations</w:t>
      </w:r>
    </w:p>
    <w:p>
      <w:pPr/>
      <w:r>
        <w:rPr>
          <w:rFonts w:ascii="Times New Roman" w:hAnsi="Times New Roman"/>
          <w:b w:val="0"/>
          <w:i w:val="0"/>
          <w:sz w:val="20"/>
        </w:rPr>
        <w:t>A few caveats deserve mention. First, the CrossRef citation counts are a lower bound—not every citing article appears in CrossRef. Second, the gold standard annotation was performed by a single domain expert rather than dual independent reviewers with adjudication; we used three complementary layers (database, LLM, manual PubMed check) to compensate, but some misclassifications may remain. Third, the cross-model comparison was limited to models accessible from China; broader comparisons with GPT-4o, Claude, or Gemini would strengthen generalisability. Fourth, the pipeline's sensitivity is partly limited by PubMed XML data completeness: all 41 false negatives lacked PMIDs, reflecting a coverage gap rather than a classification accuracy gap. Fifth, the reference extraction step relies on pdfplumber, which can struggle with densely formatted PDFs. Sixth, our corpus covers only English-language cancer and surgery publications, which limits generalisability. Seventh, the DeepSeek API, while readily accessible from China, may not be available to every research group globally.</w:t>
      </w:r>
    </w:p>
    <w:p>
      <w:pPr>
        <w:pStyle w:val="Heading3"/>
      </w:pPr>
      <w:r>
        <w:rPr>
          <w:rFonts w:ascii="Times New Roman" w:hAnsi="Times New Roman"/>
          <w:b/>
          <w:sz w:val="22"/>
        </w:rPr>
        <w:t>Implications for Practice</w:t>
      </w:r>
    </w:p>
    <w:p>
      <w:pPr/>
      <w:r>
        <w:rPr>
          <w:rFonts w:ascii="Times New Roman" w:hAnsi="Times New Roman"/>
          <w:b w:val="0"/>
          <w:i w:val="0"/>
          <w:sz w:val="20"/>
        </w:rPr>
        <w:t>For someone writing a systematic review, this pipeline can screen 100 references in about five minutes at negligible API cost—practical enough to build into the workflow. Journals and publishers could integrate automated retraction screening at the peer review stage; guideline developers, given that retracted articles average 8.0 citations each, might want to periodically re-screen their evidence base.</w:t>
      </w:r>
    </w:p>
    <w:p>
      <w:pPr>
        <w:pStyle w:val="Heading3"/>
      </w:pPr>
      <w:r>
        <w:rPr>
          <w:rFonts w:ascii="Times New Roman" w:hAnsi="Times New Roman"/>
          <w:b/>
          <w:sz w:val="22"/>
        </w:rPr>
        <w:t>Future Directions</w:t>
      </w:r>
    </w:p>
    <w:p>
      <w:pPr/>
      <w:r>
        <w:rPr>
          <w:rFonts w:ascii="Times New Roman" w:hAnsi="Times New Roman"/>
          <w:b w:val="0"/>
          <w:i w:val="0"/>
          <w:sz w:val="20"/>
        </w:rPr>
        <w:t>We plan to compare multiple LLMs head-to-head on the same gold standard set (DeepSeek versus GPT-4o versus Claude), integrate the pipeline with living systematic review platforms for continuous monitoring, and extend coverage to non-English literature where retraction tracking is less systematic.</w:t>
      </w:r>
    </w:p>
    <w:p>
      <w:pPr>
        <w:pStyle w:val="Heading2"/>
      </w:pPr>
      <w:r>
        <w:rPr>
          <w:rFonts w:ascii="Times New Roman" w:hAnsi="Times New Roman"/>
          <w:b/>
          <w:sz w:val="24"/>
        </w:rPr>
        <w:t>Conclusion</w:t>
      </w:r>
    </w:p>
    <w:p>
      <w:pPr/>
      <w:r>
        <w:rPr>
          <w:rFonts w:ascii="Times New Roman" w:hAnsi="Times New Roman"/>
          <w:b w:val="0"/>
          <w:i w:val="0"/>
          <w:sz w:val="20"/>
        </w:rPr>
        <w:t>Retracted references contaminate the evidence ecosystem, and manual screening cannot keep pace. The DeepSeek-powered automated pipeline—combining Retraction Watch database matching with chain-of-thought LLM classification—achieved 89.4% sensitivity and 100% specificity (F1 94.4%) against a 500-reference gold standard, substantially outperforming all five alternative models tested (Kimi K2.5, MiniMax-Text-01, Qwen-turbo, GLM-4-Air, GLM-4-Flash). With retractions concentrated in mid-to-low tier journals that routine manual screening misses, this pipeline offers an immediately deployable layer of quality control for evidence synthesis workflows.</w:t>
      </w:r>
    </w:p>
    <w:p>
      <w:pPr>
        <w:pStyle w:val="Heading2"/>
      </w:pPr>
      <w:r>
        <w:rPr>
          <w:rFonts w:ascii="Times New Roman" w:hAnsi="Times New Roman"/>
          <w:b/>
          <w:sz w:val="24"/>
        </w:rPr>
        <w:t>Declarations</w:t>
      </w:r>
    </w:p>
    <w:p>
      <w:r>
        <w:rPr>
          <w:rFonts w:ascii="Times New Roman" w:hAnsi="Times New Roman"/>
          <w:sz w:val="20"/>
        </w:rPr>
      </w:r>
      <w:r>
        <w:rPr>
          <w:rFonts w:ascii="Times New Roman" w:hAnsi="Times New Roman"/>
          <w:b/>
          <w:sz w:val="20"/>
        </w:rPr>
        <w:t>Author contributions</w:t>
      </w:r>
      <w:r>
        <w:rPr>
          <w:rFonts w:ascii="Times New Roman" w:hAnsi="Times New Roman"/>
          <w:sz w:val="20"/>
        </w:rPr>
        <w:t>: FL conceived the study, developed the pipeline, performed the analyses, and drafted the manuscript. CX contributed to study design and methodological supervision. SAD contributed to diagnostic accuracy framework and manuscript revision. HC contributed to statistical oversight and critical revision. HL supervised the project, obtained funding, verified the gold standard annotation, and is the guarantor. All authors approved the final version.</w:t>
      </w:r>
    </w:p>
    <w:p>
      <w:r>
        <w:rPr>
          <w:rFonts w:ascii="Times New Roman" w:hAnsi="Times New Roman"/>
          <w:sz w:val="20"/>
        </w:rPr>
      </w:r>
      <w:r>
        <w:rPr>
          <w:rFonts w:ascii="Times New Roman" w:hAnsi="Times New Roman"/>
          <w:b/>
          <w:sz w:val="20"/>
        </w:rPr>
        <w:t>Data availability</w:t>
      </w:r>
      <w:r>
        <w:rPr>
          <w:rFonts w:ascii="Times New Roman" w:hAnsi="Times New Roman"/>
          <w:sz w:val="20"/>
        </w:rPr>
        <w:t>: The PubMed corpus metadata, Retraction Watch database extracts, gold standard annotation set (Table S3), and STARD 2015 checklist (Table S4) are available as supplementary materials accompanying this article. Full corpus metadata and analysis scripts are available in the GitHub repository ([URL to be added upon publication]).</w:t>
      </w:r>
    </w:p>
    <w:p>
      <w:r>
        <w:rPr>
          <w:rFonts w:ascii="Times New Roman" w:hAnsi="Times New Roman"/>
          <w:sz w:val="20"/>
        </w:rPr>
      </w:r>
      <w:r>
        <w:rPr>
          <w:rFonts w:ascii="Times New Roman" w:hAnsi="Times New Roman"/>
          <w:b/>
          <w:sz w:val="20"/>
        </w:rPr>
        <w:t>Competing interests</w:t>
      </w:r>
      <w:r>
        <w:rPr>
          <w:rFonts w:ascii="Times New Roman" w:hAnsi="Times New Roman"/>
          <w:sz w:val="20"/>
        </w:rPr>
        <w:t>: HL has received speaking honoraria from DeepSeek (杭州深度求索人工智能基础技术研究有限公司) for educational presentations on AI in clinical research. No other authors have competing interests to declare.</w:t>
      </w:r>
    </w:p>
    <w:p>
      <w:r>
        <w:rPr>
          <w:rFonts w:ascii="Times New Roman" w:hAnsi="Times New Roman"/>
          <w:sz w:val="20"/>
        </w:rPr>
      </w:r>
      <w:r>
        <w:rPr>
          <w:rFonts w:ascii="Times New Roman" w:hAnsi="Times New Roman"/>
          <w:b/>
          <w:sz w:val="20"/>
        </w:rPr>
        <w:t>Funding</w:t>
      </w:r>
      <w:r>
        <w:rPr>
          <w:rFonts w:ascii="Times New Roman" w:hAnsi="Times New Roman"/>
          <w:sz w:val="20"/>
        </w:rPr>
        <w:t>: This study was supported by the National Natural Science Foundation of China (Grant No. 82472817). The funder had no role in study design, data collection, analysis, decision to publish, or manuscript preparation.</w:t>
      </w:r>
    </w:p>
    <w:p>
      <w:r>
        <w:rPr>
          <w:rFonts w:ascii="Times New Roman" w:hAnsi="Times New Roman"/>
          <w:sz w:val="20"/>
        </w:rPr>
      </w:r>
      <w:r>
        <w:rPr>
          <w:rFonts w:ascii="Times New Roman" w:hAnsi="Times New Roman"/>
          <w:b/>
          <w:sz w:val="20"/>
        </w:rPr>
        <w:t>Ethics</w:t>
      </w:r>
      <w:r>
        <w:rPr>
          <w:rFonts w:ascii="Times New Roman" w:hAnsi="Times New Roman"/>
          <w:sz w:val="20"/>
        </w:rPr>
        <w:t>: This study involved only bibliometric and computational analysis of published literature; ethics approval was not required.</w:t>
      </w:r>
    </w:p>
    <w:p>
      <w:r>
        <w:rPr>
          <w:rFonts w:ascii="Times New Roman" w:hAnsi="Times New Roman"/>
          <w:sz w:val="20"/>
        </w:rPr>
      </w:r>
      <w:r>
        <w:rPr>
          <w:rFonts w:ascii="Times New Roman" w:hAnsi="Times New Roman"/>
          <w:b/>
          <w:sz w:val="20"/>
        </w:rPr>
        <w:t>Provenance and peer review</w:t>
      </w:r>
      <w:r>
        <w:rPr>
          <w:rFonts w:ascii="Times New Roman" w:hAnsi="Times New Roman"/>
          <w:sz w:val="20"/>
        </w:rPr>
        <w:t>: Not commissioned; externally peer reviewed.</w:t>
      </w:r>
    </w:p>
    <w:p>
      <w:pPr>
        <w:pStyle w:val="Heading2"/>
      </w:pPr>
      <w:r>
        <w:rPr>
          <w:rFonts w:ascii="Times New Roman" w:hAnsi="Times New Roman"/>
          <w:b/>
          <w:sz w:val="24"/>
        </w:rPr>
        <w:t>References</w:t>
      </w:r>
    </w:p>
    <w:p>
      <w:pPr/>
      <w:r>
        <w:rPr>
          <w:rFonts w:ascii="Times New Roman" w:hAnsi="Times New Roman"/>
          <w:b w:val="0"/>
          <w:i w:val="0"/>
          <w:sz w:val="20"/>
        </w:rPr>
        <w:t>1. Liu F, Xu C, Doi SA, Chu H, Liu H. Problematic trials are contaminating the evidence ecosystem. *BMJ*. 2025;389:r809. DOI: 10.1136/bmj.r809. PMID: 40274292.</w:t>
      </w:r>
    </w:p>
    <w:p>
      <w:pPr/>
      <w:r>
        <w:rPr>
          <w:rFonts w:ascii="Times New Roman" w:hAnsi="Times New Roman"/>
          <w:b w:val="0"/>
          <w:i w:val="0"/>
          <w:sz w:val="20"/>
        </w:rPr>
        <w:t>2. Xu C, Yu T, Furuya-Kanamori L, et al. Validity of data extraction in evidence synthesis practice of adverse events: reproducibility study. *BMJ*. 2022;377:e069155. DOI: 10.1136/bmj-2021-069155. PMID: 35537752.</w:t>
      </w:r>
    </w:p>
    <w:p>
      <w:pPr/>
      <w:r>
        <w:rPr>
          <w:rFonts w:ascii="Times New Roman" w:hAnsi="Times New Roman"/>
          <w:b w:val="0"/>
          <w:i w:val="0"/>
          <w:sz w:val="20"/>
        </w:rPr>
        <w:t>3. Wilkinson J, Heal C, Antoniou GA, et al. Protocol for the development of a tool (INSPECT-SR) to identify problematic randomised controlled trials in systematic reviews of health interventions. *BMJ Open*. 2024;14:e084164. DOI: 10.1136/bmjopen-2024-084164. PMID: 38471680.</w:t>
      </w:r>
    </w:p>
    <w:p>
      <w:pPr/>
      <w:r>
        <w:rPr>
          <w:rFonts w:ascii="Times New Roman" w:hAnsi="Times New Roman"/>
          <w:b w:val="0"/>
          <w:i w:val="0"/>
          <w:sz w:val="20"/>
        </w:rPr>
        <w:t>4. Bakker C, Boughton S, Faggion CM, Fanelli D, Kaiser K, Schneider J. Reducing the residue of retractions in evidence synthesis: ways to minimise inappropriate citation and use of retracted data. *BMJ Evid Based Med*. 2024;29:173-180. DOI: 10.1136/bmjebm-2022-111921. PMID: 37463764.</w:t>
      </w:r>
    </w:p>
    <w:p>
      <w:pPr/>
      <w:r>
        <w:rPr>
          <w:rFonts w:ascii="Times New Roman" w:hAnsi="Times New Roman"/>
          <w:b w:val="0"/>
          <w:i w:val="0"/>
          <w:sz w:val="20"/>
        </w:rPr>
        <w:t>5. Page MJ, McKenzie JE, Bossuyt PM, et al. The PRISMA 2020 statement: an updated guideline for reporting systematic reviews. *BMJ*. 2021;372:n71. DOI: 10.1136/bmj.n71. PMID: 33782057.</w:t>
      </w:r>
    </w:p>
    <w:p>
      <w:pPr/>
      <w:r>
        <w:rPr>
          <w:rFonts w:ascii="Times New Roman" w:hAnsi="Times New Roman"/>
          <w:b w:val="0"/>
          <w:i w:val="0"/>
          <w:sz w:val="20"/>
        </w:rPr>
        <w:t>6. Lee P, Bubeck S, Petro J. Benefits, limits, and risks of GPT-4 as an AI chatbot for medicine. *N Engl J Med*. 2023;388:1233-1239. DOI: 10.1056/NEJMsr2214184. PMID: 36988602.</w:t>
      </w:r>
    </w:p>
    <w:p>
      <w:pPr/>
      <w:r>
        <w:rPr>
          <w:rFonts w:ascii="Times New Roman" w:hAnsi="Times New Roman"/>
          <w:b w:val="0"/>
          <w:i w:val="0"/>
          <w:sz w:val="20"/>
        </w:rPr>
        <w:t>7. Singhal K, Azizi S, Tu T, et al. Large language models encode clinical knowledge. *Nature*. 2023;620:172-180. DOI: 10.1038/s41586-023-06291-2. PMID: 37438534.</w:t>
      </w:r>
    </w:p>
    <w:p>
      <w:pPr/>
      <w:r>
        <w:rPr>
          <w:rFonts w:ascii="Times New Roman" w:hAnsi="Times New Roman"/>
          <w:b w:val="0"/>
          <w:i w:val="0"/>
          <w:sz w:val="20"/>
        </w:rPr>
        <w:t>8. DeepSeek-AI. DeepSeek LLM: scaling open-source language models with longtermism. *arXiv [preprint]*. 2024. arXiv:2401.02954. DOI: 10.48550/arXiv.2401.02954.</w:t>
      </w:r>
    </w:p>
    <w:p>
      <w:pPr/>
      <w:r>
        <w:rPr>
          <w:rFonts w:ascii="Times New Roman" w:hAnsi="Times New Roman"/>
          <w:b w:val="0"/>
          <w:i w:val="0"/>
          <w:sz w:val="20"/>
        </w:rPr>
        <w:t>9. Wei J, Wang X, Schuurmans D, et al. Chain-of-thought prompting elicits reasoning in large language models. *Adv Neural Inf Process Syst (NeurIPS)*. 2022;35:24824-24837. arXiv:2201.11903.</w:t>
      </w:r>
    </w:p>
    <w:p>
      <w:pPr/>
      <w:r>
        <w:rPr>
          <w:rFonts w:ascii="Times New Roman" w:hAnsi="Times New Roman"/>
          <w:b w:val="0"/>
          <w:i w:val="0"/>
          <w:sz w:val="20"/>
        </w:rPr>
        <w:t>10. van Eck NJ, Waltman L. Software survey: VOSviewer, a computer program for bibliometric mapping. *Scientometrics*. 2010;84:523-538. DOI: 10.1007/s11192-009-0146-3. PMID: 20585380.</w:t>
      </w:r>
    </w:p>
    <w:p>
      <w:pPr/>
      <w:r>
        <w:rPr>
          <w:rFonts w:ascii="Times New Roman" w:hAnsi="Times New Roman"/>
          <w:b w:val="0"/>
          <w:i w:val="0"/>
          <w:sz w:val="20"/>
        </w:rPr>
        <w:t>11. Retraction Watch. The Retraction Watch Database. New York: Center for Scientific Integrity; 2018. Available at: http://retractiondatabase.org/</w:t>
      </w:r>
    </w:p>
    <w:p>
      <w:pPr/>
      <w:r>
        <w:rPr>
          <w:rFonts w:ascii="Times New Roman" w:hAnsi="Times New Roman"/>
          <w:b w:val="0"/>
          <w:i w:val="0"/>
          <w:sz w:val="20"/>
        </w:rPr>
        <w:t>12. Cheng YY, Parulian N, Hsiao TK, et al. ReTracker: actively and automatically matching retraction metadata in Zotero. *Proc Assoc Inf Sci Technol*. 2019;56:689-690. DOI: 10.1002/pra2.32.</w:t>
      </w:r>
    </w:p>
    <w:p>
      <w:pPr/>
      <w:r>
        <w:rPr>
          <w:rFonts w:ascii="Times New Roman" w:hAnsi="Times New Roman"/>
          <w:b w:val="0"/>
          <w:i w:val="0"/>
          <w:sz w:val="20"/>
        </w:rPr>
        <w:t>13. DeepSeek-AI. DeepSeek-V3 technical report. *arXiv [preprint]*. 2025. arXiv:2412.19437. DOI: 10.48550/arXiv.2412.19437.</w:t>
      </w:r>
    </w:p>
    <w:p>
      <w:pPr/>
      <w:r>
        <w:rPr>
          <w:rFonts w:ascii="Times New Roman" w:hAnsi="Times New Roman"/>
          <w:b w:val="0"/>
          <w:i w:val="0"/>
          <w:sz w:val="20"/>
        </w:rPr>
        <w:t>14. Pedregosa F, Varoquaux G, Gramfort A, et al. Scikit-learn: machine learning in Python. *J Mach Learn Res*. 2011;12:2825-2830.</w:t>
      </w:r>
    </w:p>
    <w:p>
      <w:pPr/>
      <w:r>
        <w:rPr>
          <w:rFonts w:ascii="Times New Roman" w:hAnsi="Times New Roman"/>
          <w:b w:val="0"/>
          <w:i w:val="0"/>
          <w:sz w:val="20"/>
        </w:rPr>
        <w:t>15. Brett M, pisi. pdfplumber: PDF parsing in Python. GitHub. https://github.com/jsvine/pdfplumber. Version 0.11.</w:t>
      </w:r>
    </w:p>
    <w:p>
      <w:pPr/>
      <w:r>
        <w:rPr>
          <w:rFonts w:ascii="Times New Roman" w:hAnsi="Times New Roman"/>
          <w:b w:val="0"/>
          <w:i w:val="0"/>
          <w:sz w:val="20"/>
        </w:rPr>
        <w:t>16. Avenell A, Stewart F, Grey A, Gamble G, Bolland M. An investigation into the impact and implications of published papers from retracted research: systematic search of affected literature. *BMJ Open*. 2019;9:e031909. DOI: 10.1136/bmjopen-2019-031909. PMID: 31666272.</w:t>
      </w:r>
    </w:p>
    <w:p>
      <w:pPr/>
      <w:r>
        <w:rPr>
          <w:rFonts w:ascii="Times New Roman" w:hAnsi="Times New Roman"/>
          <w:b w:val="0"/>
          <w:i w:val="0"/>
          <w:sz w:val="20"/>
        </w:rPr>
        <w:t>17. CrossRef. CrossRef REST API. Lynnfield, MA: Crossref; 2024. Available at: https://api.crossref.org/</w:t>
      </w:r>
    </w:p>
    <w:p>
      <w:pPr/>
      <w:r>
        <w:rPr>
          <w:rFonts w:ascii="Times New Roman" w:hAnsi="Times New Roman"/>
          <w:b w:val="0"/>
          <w:i w:val="0"/>
          <w:sz w:val="20"/>
        </w:rPr>
        <w:t>18. Kharasch ED. Scientific integrity and misconduct—yet again. *Anesthesiology*. 2021;135:377-379. DOI: 10.1097/ALN.0000000000003916. PMID: 34329383.</w:t>
      </w:r>
    </w:p>
    <w:p>
      <w:pPr/>
      <w:r>
        <w:rPr>
          <w:rFonts w:ascii="Times New Roman" w:hAnsi="Times New Roman"/>
          <w:b w:val="0"/>
          <w:i w:val="0"/>
          <w:sz w:val="20"/>
        </w:rPr>
        <w:t>19. Hamilton DG. Continued citation of retracted radiation oncology literature—do we have a problem? *Int J Radiat Oncol Biol Phys*. 2019;103:1036-1042. DOI: 10.1016/j.ijrobp.2018.11.014. PMID: 30465848.</w:t>
      </w:r>
    </w:p>
    <w:p>
      <w:pPr/>
      <w:r>
        <w:rPr>
          <w:rFonts w:ascii="Times New Roman" w:hAnsi="Times New Roman"/>
          <w:b w:val="0"/>
          <w:i w:val="0"/>
          <w:sz w:val="20"/>
        </w:rPr>
        <w:t>20. Bolland MJ, Grey A, Avenell A. Citation of retracted publications: a challenging problem. *Accountability in Research*. 2022;29:18-25. DOI: 10.1080/08989621.2021.1886933. PMID: 33557605.</w:t>
      </w:r>
    </w:p>
    <w:p>
      <w:pPr/>
      <w:r>
        <w:rPr>
          <w:rFonts w:ascii="Times New Roman" w:hAnsi="Times New Roman"/>
          <w:b w:val="0"/>
          <w:i w:val="0"/>
          <w:sz w:val="20"/>
        </w:rPr>
        <w:t>21. Bossuyt PM, Reitsma JB, Bruns DE, et al. STARD 2015: an updated list of essential items for reporting diagnostic accuracy studies. *BMJ*. 2015;351:h5527. DOI: 10.1136/bmj.h5527. PMID: 26511519.</w:t>
      </w:r>
    </w:p>
    <w:p>
      <w:pPr>
        <w:pStyle w:val="Heading2"/>
      </w:pPr>
      <w:r>
        <w:rPr>
          <w:rFonts w:ascii="Times New Roman" w:hAnsi="Times New Roman"/>
          <w:b/>
          <w:sz w:val="24"/>
        </w:rPr>
        <w:t>Figure Legends</w:t>
      </w:r>
    </w:p>
    <w:p>
      <w:r>
        <w:rPr>
          <w:rFonts w:ascii="Times New Roman" w:hAnsi="Times New Roman"/>
          <w:sz w:val="20"/>
        </w:rPr>
      </w:r>
      <w:r>
        <w:rPr>
          <w:rFonts w:ascii="Times New Roman" w:hAnsi="Times New Roman"/>
          <w:b/>
          <w:sz w:val="20"/>
        </w:rPr>
        <w:t>Figure 1.</w:t>
      </w:r>
      <w:r>
        <w:rPr>
          <w:rFonts w:ascii="Times New Roman" w:hAnsi="Times New Roman"/>
          <w:sz w:val="20"/>
        </w:rPr>
        <w:t xml:space="preserve"> DeepSeek Retraction Screener pipeline architecture. Six sequential steps with data flow from PDF input to structured report output. RW = Retraction Watch; LLM = large language model.</w:t>
      </w:r>
    </w:p>
    <w:p>
      <w:r>
        <w:rPr>
          <w:rFonts w:ascii="Times New Roman" w:hAnsi="Times New Roman"/>
          <w:sz w:val="20"/>
        </w:rPr>
      </w:r>
      <w:r>
        <w:rPr>
          <w:rFonts w:ascii="Times New Roman" w:hAnsi="Times New Roman"/>
          <w:b/>
          <w:sz w:val="20"/>
        </w:rPr>
        <w:t>Figure 2.</w:t>
      </w:r>
      <w:r>
        <w:rPr>
          <w:rFonts w:ascii="Times New Roman" w:hAnsi="Times New Roman"/>
          <w:sz w:val="20"/>
        </w:rPr>
        <w:t xml:space="preserve"> Top 15 journals by number of retracted systematic reviews in the cancer/surgery literature (2020–2026). The *International Wound Journal* accounts for 163 of 370 (44.1%) retracted articles.</w:t>
      </w:r>
    </w:p>
    <w:p>
      <w:r>
        <w:rPr>
          <w:rFonts w:ascii="Times New Roman" w:hAnsi="Times New Roman"/>
          <w:sz w:val="20"/>
        </w:rPr>
      </w:r>
      <w:r>
        <w:rPr>
          <w:rFonts w:ascii="Times New Roman" w:hAnsi="Times New Roman"/>
          <w:b/>
          <w:sz w:val="20"/>
        </w:rPr>
        <w:t>Figure 3.</w:t>
      </w:r>
      <w:r>
        <w:rPr>
          <w:rFonts w:ascii="Times New Roman" w:hAnsi="Times New Roman"/>
          <w:sz w:val="20"/>
        </w:rPr>
        <w:t xml:space="preserve"> Diagnostic performance comparison across three pipeline variants: RW database pre-filter only, plus journal risk rules, and the full pipeline incorporating the DeepSeek v3 chain-of-thought classifier. Sensitivity, specificity, PPV, NPV, and F1 score are shown for each variant.</w:t>
      </w:r>
    </w:p>
    <w:p>
      <w:r>
        <w:rPr>
          <w:rFonts w:ascii="Times New Roman" w:hAnsi="Times New Roman"/>
          <w:sz w:val="20"/>
        </w:rPr>
      </w:r>
      <w:r>
        <w:rPr>
          <w:rFonts w:ascii="Times New Roman" w:hAnsi="Times New Roman"/>
          <w:b/>
          <w:sz w:val="20"/>
        </w:rPr>
        <w:t>Figure 4.</w:t>
      </w:r>
      <w:r>
        <w:rPr>
          <w:rFonts w:ascii="Times New Roman" w:hAnsi="Times New Roman"/>
          <w:sz w:val="20"/>
        </w:rPr>
        <w:t xml:space="preserve"> Confusion matrix for the full pipeline (RW database + DeepSeek v3 chain-of-thought) against the 500-reference gold standard. TP = 347, FN = 41, FP = 0, TN = 112. Performance metrics are summarized in the sidebar.</w:t>
      </w:r>
    </w:p>
    <w:p>
      <w:r>
        <w:rPr>
          <w:rFonts w:ascii="Times New Roman" w:hAnsi="Times New Roman"/>
          <w:sz w:val="20"/>
        </w:rPr>
      </w:r>
      <w:r>
        <w:rPr>
          <w:rFonts w:ascii="Times New Roman" w:hAnsi="Times New Roman"/>
          <w:b/>
          <w:sz w:val="20"/>
        </w:rPr>
        <w:t>Figure 5.</w:t>
      </w:r>
      <w:r>
        <w:rPr>
          <w:rFonts w:ascii="Times New Roman" w:hAnsi="Times New Roman"/>
          <w:sz w:val="20"/>
        </w:rPr>
        <w:t xml:space="preserve"> STARD flow diagram showing the participant selection and annotation process. From 55,361 identified systematic reviews, 44 with accessible reference lists yielded 2,308 references; after positive control injection and multi-layer annotation, 500 references comprised the final gold standard (388 retracted, 112 clean).</w:t>
      </w:r>
    </w:p>
    <w:p>
      <w:r>
        <w:rPr>
          <w:rFonts w:ascii="Times New Roman" w:hAnsi="Times New Roman"/>
          <w:sz w:val="20"/>
        </w:rPr>
      </w:r>
      <w:r>
        <w:rPr>
          <w:rFonts w:ascii="Times New Roman" w:hAnsi="Times New Roman"/>
          <w:b/>
          <w:sz w:val="20"/>
        </w:rPr>
        <w:t>Figure 6.</w:t>
      </w:r>
      <w:r>
        <w:rPr>
          <w:rFonts w:ascii="Times New Roman" w:hAnsi="Times New Roman"/>
          <w:sz w:val="20"/>
        </w:rPr>
        <w:t xml:space="preserve"> ROC space plot showing operating points of the three pipeline variants. All variants operate at 100% specificity (zero false positives). The full pipeline achieves 89.4% sensitivity versus 25.8% for the RW database alone. The 95% confidence ellipse is shown for the full pipeline estimate. The diagonal dashed line represents a random classifier.</w:t>
      </w:r>
    </w:p>
    <w:p>
      <w:r>
        <w:rPr>
          <w:rFonts w:ascii="Times New Roman" w:hAnsi="Times New Roman"/>
          <w:sz w:val="20"/>
        </w:rPr>
      </w:r>
      <w:r>
        <w:rPr>
          <w:rFonts w:ascii="Times New Roman" w:hAnsi="Times New Roman"/>
          <w:b/>
          <w:sz w:val="20"/>
        </w:rPr>
        <w:t>Figure 7.</w:t>
      </w:r>
      <w:r>
        <w:rPr>
          <w:rFonts w:ascii="Times New Roman" w:hAnsi="Times New Roman"/>
          <w:sz w:val="20"/>
        </w:rPr>
        <w:t xml:space="preserve"> Multi-model comparison of chain-of-thought performance. Sensitivity, specificity, and F1 scores are shown for six LLMs (DeepSeek v3 CoT, Kimi K2.5, MiniMax-Text-01, Qwen-turbo CoT, GLM-4-Air, and GLM-4-Flash CoT) evaluated on the same 500-reference gold standard with identical prompt structure and API parameters. DeepSeek achieves the highest F1 (94.4%), driven by both high sensitivity (89.4%) and perfect specificity (100%).</w:t>
      </w:r>
    </w:p>
    <w:p>
      <w:pPr>
        <w:pStyle w:val="Heading2"/>
      </w:pPr>
      <w:r>
        <w:rPr>
          <w:rFonts w:ascii="Times New Roman" w:hAnsi="Times New Roman"/>
          <w:b/>
          <w:sz w:val="24"/>
        </w:rPr>
        <w:t>Supplementary Materials</w:t>
      </w:r>
    </w:p>
    <w:p>
      <w:r>
        <w:rPr>
          <w:rFonts w:ascii="Times New Roman" w:hAnsi="Times New Roman"/>
          <w:sz w:val="20"/>
        </w:rPr>
        <w:t xml:space="preserve">- </w:t>
      </w:r>
      <w:r>
        <w:rPr>
          <w:rFonts w:ascii="Times New Roman" w:hAnsi="Times New Roman"/>
          <w:b/>
          <w:sz w:val="20"/>
        </w:rPr>
        <w:t>Table S1</w:t>
      </w:r>
      <w:r>
        <w:rPr>
          <w:rFonts w:ascii="Times New Roman" w:hAnsi="Times New Roman"/>
          <w:sz w:val="20"/>
        </w:rPr>
        <w:t>: Complete list of 370 retracted systematic reviews with PMIDs and citation counts (CSV)</w:t>
      </w:r>
    </w:p>
    <w:p>
      <w:r>
        <w:rPr>
          <w:rFonts w:ascii="Times New Roman" w:hAnsi="Times New Roman"/>
          <w:sz w:val="20"/>
        </w:rPr>
        <w:t xml:space="preserve">- </w:t>
      </w:r>
      <w:r>
        <w:rPr>
          <w:rFonts w:ascii="Times New Roman" w:hAnsi="Times New Roman"/>
          <w:b/>
          <w:sz w:val="20"/>
        </w:rPr>
        <w:t>Table S2</w:t>
      </w:r>
      <w:r>
        <w:rPr>
          <w:rFonts w:ascii="Times New Roman" w:hAnsi="Times New Roman"/>
          <w:sz w:val="20"/>
        </w:rPr>
        <w:t>: Retracted HCC immunotherapy articles, n=41 (CSV)</w:t>
      </w:r>
    </w:p>
    <w:p>
      <w:r>
        <w:rPr>
          <w:rFonts w:ascii="Times New Roman" w:hAnsi="Times New Roman"/>
          <w:sz w:val="20"/>
        </w:rPr>
        <w:t xml:space="preserve">- </w:t>
      </w:r>
      <w:r>
        <w:rPr>
          <w:rFonts w:ascii="Times New Roman" w:hAnsi="Times New Roman"/>
          <w:b/>
          <w:sz w:val="20"/>
        </w:rPr>
        <w:t>Table S3</w:t>
      </w:r>
      <w:r>
        <w:rPr>
          <w:rFonts w:ascii="Times New Roman" w:hAnsi="Times New Roman"/>
          <w:sz w:val="20"/>
        </w:rPr>
        <w:t>: 500 annotated references with gold standard labels (CSV)</w:t>
      </w:r>
    </w:p>
    <w:p>
      <w:r>
        <w:rPr>
          <w:rFonts w:ascii="Times New Roman" w:hAnsi="Times New Roman"/>
          <w:sz w:val="20"/>
        </w:rPr>
        <w:t xml:space="preserve">- </w:t>
      </w:r>
      <w:r>
        <w:rPr>
          <w:rFonts w:ascii="Times New Roman" w:hAnsi="Times New Roman"/>
          <w:b/>
          <w:sz w:val="20"/>
        </w:rPr>
        <w:t>Table S4</w:t>
      </w:r>
      <w:r>
        <w:rPr>
          <w:rFonts w:ascii="Times New Roman" w:hAnsi="Times New Roman"/>
          <w:sz w:val="20"/>
        </w:rPr>
        <w:t>: STARD 2015 checklist completed for this study (CSV)</w:t>
      </w:r>
    </w:p>
    <w:p>
      <w:r>
        <w:rPr>
          <w:rFonts w:ascii="Times New Roman" w:hAnsi="Times New Roman"/>
          <w:sz w:val="20"/>
        </w:rPr>
        <w:t xml:space="preserve">- </w:t>
      </w:r>
      <w:r>
        <w:rPr>
          <w:rFonts w:ascii="Times New Roman" w:hAnsi="Times New Roman"/>
          <w:b/>
          <w:sz w:val="20"/>
        </w:rPr>
        <w:t>Appendix A</w:t>
      </w:r>
      <w:r>
        <w:rPr>
          <w:rFonts w:ascii="Times New Roman" w:hAnsi="Times New Roman"/>
          <w:sz w:val="20"/>
        </w:rPr>
        <w:t>: Prompt templates (v1–v4), full text (MD)</w:t>
      </w:r>
    </w:p>
    <w:p>
      <w:r>
        <w:rPr>
          <w:rFonts w:ascii="Times New Roman" w:hAnsi="Times New Roman"/>
          <w:sz w:val="20"/>
        </w:rPr>
        <w:t xml:space="preserve">- </w:t>
      </w:r>
      <w:r>
        <w:rPr>
          <w:rFonts w:ascii="Times New Roman" w:hAnsi="Times New Roman"/>
          <w:b/>
          <w:sz w:val="20"/>
        </w:rPr>
        <w:t>Appendix B</w:t>
      </w:r>
      <w:r>
        <w:rPr>
          <w:rFonts w:ascii="Times New Roman" w:hAnsi="Times New Roman"/>
          <w:sz w:val="20"/>
        </w:rPr>
        <w:t>: Dataset description, pipeline code structure, software dependencies (MD)</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20" w:after="120" w:line="240" w:lineRule="auto"/>
      <w:outlineLvl w:val="3"/>
    </w:pPr>
    <w:rPr>
      <w:rFonts w:asciiTheme="majorHAnsi" w:eastAsiaTheme="majorEastAsia" w:hAnsiTheme="majorHAnsi" w:cstheme="majorBidi" w:ascii="Times New Roman" w:hAnsi="Times New Roman"/>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