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Table 3. Diagnostic performance of the DeepSeek Retraction Screener pipeline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fill="D9E2F3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RW DB pre-filter only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 Journal risk rules</w:t>
            </w:r>
          </w:p>
        </w:tc>
        <w:tc>
          <w:tcPr>
            <w:tcW w:type="dxa" w:w="364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Full pipeline (RW + DeepSeek v3 CoT)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True positives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347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False negatives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288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286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True negatives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False positives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Sensitivity (%)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25.8 (21.6–30.3)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26.3 (22.1–30.9)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89.4 (86.0–92.2)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Specificity (%)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(96.8–100)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(96.8–100)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(96.8–100)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PPV (%)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(96.4–100)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(96.4–100)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 (98.9–100)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NPV (%)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28.0 (23.7–32.7)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28.1 (23.8–32.8)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73.2 (65.5–80.0)</w:t>
            </w:r>
          </w:p>
        </w:tc>
      </w:tr>
      <w:tr>
        <w:tc>
          <w:tcPr>
            <w:tcW w:type="dxa" w:w="364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F1 score (%)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41.0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41.6</w:t>
            </w:r>
          </w:p>
        </w:tc>
        <w:tc>
          <w:tcPr>
            <w:tcW w:type="dxa" w:w="364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94.4</w:t>
            </w:r>
          </w:p>
        </w:tc>
      </w:tr>
    </w:tbl>
    <w:p/>
    <w:p>
      <w:r>
        <w:rPr>
          <w:rFonts w:ascii="Times New Roman" w:hAnsi="Times New Roman"/>
          <w:i/>
          <w:sz w:val="16"/>
        </w:rPr>
        <w:t>95% confidence intervals in parentheses for sensitivity, specificity, PPV, and NPV.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