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/>
          <w:b/>
          <w:sz w:val="24"/>
        </w:rPr>
        <w:t>Table 4. Cross-model comparison of chain-of-thought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Metric</w:t>
            </w:r>
          </w:p>
        </w:tc>
        <w:tc>
          <w:tcPr>
            <w:tcW w:type="dxa" w:w="20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DeepSeek v3 CoT</w:t>
            </w:r>
          </w:p>
        </w:tc>
        <w:tc>
          <w:tcPr>
            <w:tcW w:type="dxa" w:w="20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Kimi K2.5</w:t>
            </w:r>
          </w:p>
        </w:tc>
        <w:tc>
          <w:tcPr>
            <w:tcW w:type="dxa" w:w="20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MiniMax-Text-01</w:t>
            </w:r>
          </w:p>
        </w:tc>
        <w:tc>
          <w:tcPr>
            <w:tcW w:type="dxa" w:w="20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Qwen-turbo CoT</w:t>
            </w:r>
          </w:p>
        </w:tc>
        <w:tc>
          <w:tcPr>
            <w:tcW w:type="dxa" w:w="20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GLM-4-Air</w:t>
            </w:r>
          </w:p>
        </w:tc>
        <w:tc>
          <w:tcPr>
            <w:tcW w:type="dxa" w:w="20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GLM-4-Flash CoT</w:t>
            </w:r>
          </w:p>
        </w:tc>
      </w:tr>
      <w:tr>
        <w:tc>
          <w:tcPr>
            <w:tcW w:type="dxa" w:w="208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Sensitivity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89.4%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82.5%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35.9%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16.0%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0%</w:t>
            </w:r>
          </w:p>
        </w:tc>
      </w:tr>
      <w:tr>
        <w:tc>
          <w:tcPr>
            <w:tcW w:type="dxa" w:w="208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Specificity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41.5%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82.1%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79.5%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99.1%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100%</w:t>
            </w:r>
          </w:p>
        </w:tc>
      </w:tr>
      <w:tr>
        <w:tc>
          <w:tcPr>
            <w:tcW w:type="dxa" w:w="208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F1 score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94.4%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82.8%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50.8%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26.3%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5.0%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8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Definite classifications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500/500 (100%)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368/370 (99.5%)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494/499 (99.0%)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499/500 (99.8%)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499/499 (100%)</w:t>
            </w:r>
          </w:p>
        </w:tc>
        <w:tc>
          <w:tcPr>
            <w:tcW w:type="dxa" w:w="208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13/500 (2.6%)</w:t>
            </w:r>
          </w:p>
        </w:tc>
      </w:tr>
    </w:tbl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