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/>
          <w:b/>
          <w:sz w:val="24"/>
        </w:rPr>
        <w:t>Table 5. Classification of false-negative references by root cause (n = 41)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428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type="dxa" w:w="2428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Examples</w:t>
            </w:r>
          </w:p>
        </w:tc>
        <w:tc>
          <w:tcPr>
            <w:tcW w:type="dxa" w:w="2428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428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Root cause</w:t>
            </w:r>
          </w:p>
        </w:tc>
        <w:tc>
          <w:tcPr>
            <w:tcW w:type="dxa" w:w="2428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Resolution pathway</w:t>
            </w:r>
          </w:p>
        </w:tc>
      </w:tr>
      <w:tr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I. Non-standard sources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URLs, websites, institutional reports, grey literature without PMIDs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"National Cancer Institute, accessed March 3, 2024"; institutional guidelines; clinical trial registries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22 (53.7%)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Reference type lacks PMID — RW DB cannot match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Pre-screen for PMID; non-standard refs → manual verification</w:t>
            </w:r>
          </w:p>
        </w:tc>
      </w:tr>
      <w:tr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II. Unresolved journal articles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Articles with PMIDs not propagated to citing review's XML ReferenceList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Human Reproduction Update; PLoS ONE; J Clin Oncol supplements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18 (43.9%)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PubMed XML data exchange limitation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Multi-field citation reconstruction could recover ~60%</w:t>
            </w:r>
          </w:p>
        </w:tc>
      </w:tr>
      <w:tr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III. Methodological handbooks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Well-known synthesis manuals and software documentation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Cochrane Handbook for Systematic Reviews of Interventions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 (2.4%)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Handbooks never retracted — PMID matching inapplicable</w:t>
            </w:r>
          </w:p>
        </w:tc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Maintain allowlist to bypass LLM classification</w:t>
            </w:r>
          </w:p>
        </w:tc>
      </w:tr>
    </w:tbl>
    <w:p/>
    <w:p>
      <w:r>
        <w:rPr>
          <w:rFonts w:ascii="Times New Roman" w:hAnsi="Times New Roman"/>
          <w:i/>
          <w:sz w:val="16"/>
        </w:rPr>
        <w:t>All 41 false negatives arose from data availability limitations rather than LLM misclassification. Every reference with a resolvable PMID was correctly handled.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