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2460" w:rsidRDefault="00F4127C" w:rsidP="00F4127C">
      <w:pPr>
        <w:jc w:val="center"/>
      </w:pPr>
      <w:r>
        <w:t>АНАЛИТИЧЕСКИЙ ОТЧЁТ</w:t>
      </w:r>
    </w:p>
    <w:p w:rsidR="00CB5479" w:rsidRDefault="00F4127C" w:rsidP="005B4A88">
      <w:pPr>
        <w:jc w:val="center"/>
      </w:pPr>
      <w:r>
        <w:t>«Анализ факторов ожидаемой продолжительности жизни по регионам</w:t>
      </w:r>
      <w:r>
        <w:br/>
        <w:t>средствами линейного моделирования»</w:t>
      </w:r>
    </w:p>
    <w:p w:rsidR="00496695" w:rsidRPr="00496695" w:rsidRDefault="00496695" w:rsidP="00496695">
      <w:pPr>
        <w:ind w:firstLine="851"/>
        <w:jc w:val="both"/>
      </w:pPr>
      <w:r>
        <w:t>В статьях были найдены следующие факторы с потенциально высокой объяснительной способностью зависимой переменной «Ожидаемая продолжительности жизни»</w:t>
      </w:r>
      <w:r w:rsidR="00490398">
        <w:t xml:space="preserve"> (далее ОПЖ)</w:t>
      </w:r>
      <w:r w:rsidRPr="00496695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090A" w:rsidTr="00B7090A">
        <w:tc>
          <w:tcPr>
            <w:tcW w:w="3115" w:type="dxa"/>
          </w:tcPr>
          <w:p w:rsidR="00B7090A" w:rsidRPr="00B7090A" w:rsidRDefault="00B7090A" w:rsidP="00B7090A">
            <w:pPr>
              <w:jc w:val="center"/>
              <w:rPr>
                <w:b/>
                <w:bCs/>
                <w:lang w:val="en-US"/>
              </w:rPr>
            </w:pPr>
            <w:r w:rsidRPr="00B7090A">
              <w:rPr>
                <w:b/>
                <w:bCs/>
              </w:rPr>
              <w:t>Карелина и др.</w:t>
            </w:r>
          </w:p>
        </w:tc>
        <w:tc>
          <w:tcPr>
            <w:tcW w:w="3115" w:type="dxa"/>
          </w:tcPr>
          <w:p w:rsidR="00B7090A" w:rsidRPr="00B7090A" w:rsidRDefault="00B7090A" w:rsidP="00B7090A">
            <w:pPr>
              <w:jc w:val="center"/>
              <w:rPr>
                <w:b/>
                <w:bCs/>
                <w:lang w:val="en-US"/>
              </w:rPr>
            </w:pPr>
            <w:r w:rsidRPr="00B7090A">
              <w:rPr>
                <w:b/>
                <w:bCs/>
              </w:rPr>
              <w:t>«…экономический рост…»</w:t>
            </w:r>
          </w:p>
        </w:tc>
        <w:tc>
          <w:tcPr>
            <w:tcW w:w="3115" w:type="dxa"/>
          </w:tcPr>
          <w:p w:rsidR="00B7090A" w:rsidRPr="00B7090A" w:rsidRDefault="00B7090A" w:rsidP="00B7090A">
            <w:pPr>
              <w:jc w:val="center"/>
              <w:rPr>
                <w:b/>
                <w:bCs/>
                <w:lang w:val="en-US"/>
              </w:rPr>
            </w:pPr>
            <w:r w:rsidRPr="00B7090A">
              <w:rPr>
                <w:b/>
                <w:bCs/>
              </w:rPr>
              <w:t>«…качество жизни…»</w:t>
            </w:r>
          </w:p>
        </w:tc>
      </w:tr>
      <w:tr w:rsidR="00C91106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ВВП на душу населения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0572ED" w:rsidRDefault="00C91106" w:rsidP="00C91106">
            <w:pPr>
              <w:jc w:val="both"/>
              <w:rPr>
                <w:lang w:val="en-US"/>
              </w:rPr>
            </w:pPr>
            <w:r w:rsidRPr="000572ED">
              <w:t>Уровень (динамика) ВРП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Default="00C91106" w:rsidP="00C91106">
            <w:pPr>
              <w:jc w:val="both"/>
              <w:rPr>
                <w:lang w:val="en-US"/>
              </w:rPr>
            </w:pPr>
            <w:r w:rsidRPr="007134E1">
              <w:t>Объем ВРП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  <w:r w:rsidRPr="006A6574">
              <w:t>Потребление алкоголя, табака, сливочного масла, овощей и фруктов;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105CC0" w:rsidRDefault="00C91106" w:rsidP="00C91106">
            <w:pPr>
              <w:jc w:val="both"/>
            </w:pPr>
            <w:r w:rsidRPr="000572ED">
              <w:t>Индивидуальные факторы региона (образ жизни)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</w:tr>
      <w:tr w:rsidR="000B7BE8" w:rsidRPr="002E6452" w:rsidTr="00105CC0">
        <w:tc>
          <w:tcPr>
            <w:tcW w:w="3115" w:type="dxa"/>
            <w:shd w:val="clear" w:color="auto" w:fill="D9F2D0" w:themeFill="accent6" w:themeFillTint="33"/>
          </w:tcPr>
          <w:p w:rsidR="000B7BE8" w:rsidRPr="006A6574" w:rsidRDefault="000B7BE8" w:rsidP="000B7BE8">
            <w:pPr>
              <w:jc w:val="both"/>
            </w:pPr>
            <w:r w:rsidRPr="006A6574">
              <w:t>Степень урбанизации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2E6452" w:rsidRDefault="000B7BE8" w:rsidP="000B7BE8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753F75" w:rsidRDefault="000B7BE8" w:rsidP="000B7BE8">
            <w:pPr>
              <w:jc w:val="both"/>
            </w:pPr>
            <w:r w:rsidRPr="00753F75">
              <w:t>Уровень освоенности территории по числу городов на 100 тыс. км</w:t>
            </w:r>
            <w:r w:rsidRPr="00753F75">
              <w:rPr>
                <w:vertAlign w:val="superscript"/>
              </w:rPr>
              <w:t>2</w:t>
            </w:r>
            <w:r w:rsidRPr="00753F75">
              <w:t>;</w:t>
            </w:r>
          </w:p>
        </w:tc>
      </w:tr>
      <w:tr w:rsidR="000B7BE8" w:rsidRPr="002E6452" w:rsidTr="00105CC0">
        <w:tc>
          <w:tcPr>
            <w:tcW w:w="3115" w:type="dxa"/>
            <w:shd w:val="clear" w:color="auto" w:fill="D9F2D0" w:themeFill="accent6" w:themeFillTint="33"/>
          </w:tcPr>
          <w:p w:rsidR="000B7BE8" w:rsidRPr="006A6574" w:rsidRDefault="000B7BE8" w:rsidP="000B7BE8">
            <w:pPr>
              <w:jc w:val="both"/>
            </w:pPr>
            <w:r w:rsidRPr="006A6574">
              <w:t>Уровень безработицы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2E6452" w:rsidRDefault="000B7BE8" w:rsidP="000B7BE8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0B7BE8" w:rsidRPr="00753F75" w:rsidRDefault="000B7BE8" w:rsidP="000B7BE8">
            <w:pPr>
              <w:jc w:val="both"/>
            </w:pPr>
            <w:r w:rsidRPr="00753F75">
              <w:t>Уровень безработицы</w:t>
            </w:r>
            <w:r w:rsidRPr="00753F75">
              <w:rPr>
                <w:lang w:val="en-US"/>
              </w:rPr>
              <w:t>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A86D60" w:rsidRDefault="00C91106" w:rsidP="00C91106">
            <w:pPr>
              <w:jc w:val="both"/>
            </w:pPr>
            <w:r w:rsidRPr="006A6574">
              <w:t>Среднедушевые фармацевтические расходы</w:t>
            </w:r>
            <w:r w:rsidRPr="00A86D60">
              <w:t>;</w:t>
            </w:r>
          </w:p>
          <w:p w:rsidR="00C91106" w:rsidRDefault="00C91106" w:rsidP="00C91106">
            <w:pPr>
              <w:jc w:val="both"/>
            </w:pPr>
            <w:r>
              <w:t>+</w:t>
            </w:r>
          </w:p>
          <w:p w:rsidR="00C91106" w:rsidRPr="006A6574" w:rsidRDefault="00C91106" w:rsidP="00C91106">
            <w:pPr>
              <w:jc w:val="both"/>
            </w:pPr>
            <w:r w:rsidRPr="006A6574">
              <w:t>Среднедушевые расходы на здравоохранение (исключая лекарства);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Численность врачей на 1000 человек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D9F2D0" w:themeFill="accent6" w:themeFillTint="33"/>
          </w:tcPr>
          <w:p w:rsidR="00C91106" w:rsidRPr="006A6574" w:rsidRDefault="00C91106" w:rsidP="00C91106">
            <w:pPr>
              <w:jc w:val="both"/>
            </w:pPr>
            <w:r w:rsidRPr="006A6574">
              <w:t>Расходы на образование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C91106" w:rsidRPr="00753F75" w:rsidRDefault="00C91106" w:rsidP="00C91106">
            <w:pPr>
              <w:jc w:val="both"/>
            </w:pP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  <w:r w:rsidRPr="006A6574">
              <w:t>Уровень младенческой смертности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  <w:r w:rsidRPr="000572ED">
              <w:t>Уровень (сокращение) загрязнения почвы, воздуха, воды</w:t>
            </w: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Объем вкладов (депозитов) физических лиц в банках в расчете на одного жителя;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Среднее время поиска работы</w:t>
            </w:r>
            <w:r w:rsidRPr="00753F75">
              <w:rPr>
                <w:lang w:val="en-US"/>
              </w:rPr>
              <w:t>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Плотность железнодорожных путей общего пользования, километры путей на 10 тыс. км</w:t>
            </w:r>
            <w:r w:rsidRPr="00753F75">
              <w:rPr>
                <w:vertAlign w:val="superscript"/>
              </w:rPr>
              <w:t>2</w:t>
            </w:r>
            <w:r w:rsidRPr="00753F75">
              <w:t xml:space="preserve"> территории;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 xml:space="preserve">Плотность автомобильных дорог общего пользования с твердым покрытием, километры </w:t>
            </w:r>
            <w:r w:rsidRPr="00753F75">
              <w:lastRenderedPageBreak/>
              <w:t>дорог на 1000 км</w:t>
            </w:r>
            <w:r w:rsidRPr="00753F75">
              <w:rPr>
                <w:vertAlign w:val="superscript"/>
              </w:rPr>
              <w:t>2</w:t>
            </w:r>
            <w:r w:rsidRPr="00753F75">
              <w:t xml:space="preserve"> территории;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Доля населения с высшим образованием в общей численности населения в возрасте 15 лет и более;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Миграционный прирост (убыль) населения, тыс. человек;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Число больничных коек на 10 тыс. населения;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Удельный вес общей площади, оборудованной водопроводом;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D9F2D0" w:themeFill="accent6" w:themeFillTint="33"/>
          </w:tcPr>
          <w:p w:rsidR="00A86D60" w:rsidRPr="006A6574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D9F2D0" w:themeFill="accent6" w:themeFillTint="33"/>
          </w:tcPr>
          <w:p w:rsidR="00A86D60" w:rsidRPr="00753F75" w:rsidRDefault="00A86D60" w:rsidP="00B950AC">
            <w:pPr>
              <w:jc w:val="both"/>
            </w:pPr>
            <w:r w:rsidRPr="00753F75">
              <w:t>Удельный вес общей площади, оборудованной водоотведением (канализацией);</w:t>
            </w:r>
          </w:p>
        </w:tc>
      </w:tr>
      <w:tr w:rsidR="00A86D60" w:rsidRPr="002E6452" w:rsidTr="00B950AC">
        <w:tc>
          <w:tcPr>
            <w:tcW w:w="3115" w:type="dxa"/>
            <w:shd w:val="clear" w:color="auto" w:fill="F1A983" w:themeFill="accent2" w:themeFillTint="99"/>
          </w:tcPr>
          <w:p w:rsidR="00A86D60" w:rsidRPr="006A6574" w:rsidRDefault="00A86D60" w:rsidP="00B950AC">
            <w:pPr>
              <w:jc w:val="both"/>
            </w:pPr>
            <w:r w:rsidRPr="006A6574">
              <w:t>Обменный курс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F1A983" w:themeFill="accent2" w:themeFillTint="99"/>
          </w:tcPr>
          <w:p w:rsidR="00A86D60" w:rsidRPr="002E6452" w:rsidRDefault="00A86D60" w:rsidP="00B950AC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A86D60" w:rsidRPr="00753F75" w:rsidRDefault="00A86D60" w:rsidP="00B950AC">
            <w:pPr>
              <w:jc w:val="both"/>
            </w:pPr>
          </w:p>
        </w:tc>
      </w:tr>
      <w:tr w:rsidR="00C91106" w:rsidRPr="002E6452" w:rsidTr="00A86D6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  <w:r w:rsidRPr="006A6574">
              <w:t>Уровень грамотности</w:t>
            </w:r>
            <w:r w:rsidRPr="006A6574">
              <w:rPr>
                <w:lang w:val="en-US"/>
              </w:rPr>
              <w:t>;</w:t>
            </w: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  <w:r w:rsidRPr="006A6574">
              <w:t>Среднее число лет обучения для людей старше 25 лет;</w:t>
            </w: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Доля прибыльных предприятий</w:t>
            </w:r>
            <w:r w:rsidRPr="00753F75">
              <w:rPr>
                <w:lang w:val="en-US"/>
              </w:rPr>
              <w:t>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Оборот малых предприятий в расчете на одного жителя, тыс. руб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Обеспеченность автозаправочными станциями, число станций на 1000 км дорог;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Выпуск из аспирантуры на 10 тыс.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Число студентов, принятых в образовательные учреждения высшего профессионального образования, на 1000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6A6574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Мощность амбулаторно-поликлинических учреждений на 10 тыс. населения;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Оборот розничной торговли на одного жителя;</w:t>
            </w:r>
          </w:p>
        </w:tc>
      </w:tr>
      <w:tr w:rsidR="00C91106" w:rsidRPr="002E6452" w:rsidTr="00105CC0"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2E6452" w:rsidRDefault="00C91106" w:rsidP="00C91106">
            <w:pPr>
              <w:jc w:val="both"/>
            </w:pPr>
          </w:p>
        </w:tc>
        <w:tc>
          <w:tcPr>
            <w:tcW w:w="3115" w:type="dxa"/>
            <w:shd w:val="clear" w:color="auto" w:fill="F1A983" w:themeFill="accent2" w:themeFillTint="99"/>
          </w:tcPr>
          <w:p w:rsidR="00C91106" w:rsidRPr="00753F75" w:rsidRDefault="00C91106" w:rsidP="00C91106">
            <w:pPr>
              <w:jc w:val="both"/>
            </w:pPr>
            <w:r w:rsidRPr="00753F75">
              <w:t>Численность зрителей театров на 1000 населения.</w:t>
            </w:r>
          </w:p>
        </w:tc>
      </w:tr>
    </w:tbl>
    <w:p w:rsidR="008641E4" w:rsidRDefault="008641E4" w:rsidP="008641E4">
      <w:pPr>
        <w:jc w:val="both"/>
      </w:pPr>
    </w:p>
    <w:p w:rsidR="004172A6" w:rsidRDefault="00BC2A8A" w:rsidP="0094009A">
      <w:pPr>
        <w:jc w:val="both"/>
        <w:sectPr w:rsidR="004172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Переменные из строк таблицы, выделенных зелёным цветом, </w:t>
      </w:r>
      <w:r w:rsidR="002A64ED">
        <w:t>были использованы в ходе дальнейшей работы</w:t>
      </w:r>
      <w:r w:rsidR="002A64ED" w:rsidRPr="002A64ED">
        <w:t xml:space="preserve">; </w:t>
      </w:r>
      <w:r w:rsidR="002A64ED">
        <w:t xml:space="preserve">выделенные красным цветом строки не включались в анализ, поскольку полностью или частично повторяли </w:t>
      </w:r>
      <w:r w:rsidR="00AB390D">
        <w:t xml:space="preserve">уже </w:t>
      </w:r>
      <w:r w:rsidR="002A64ED">
        <w:t>рассмотренные факторы</w:t>
      </w:r>
      <w:r w:rsidR="00AB390D">
        <w:t xml:space="preserve"> либо</w:t>
      </w:r>
      <w:r w:rsidR="00DB17EA">
        <w:t xml:space="preserve"> казались крайне специфичными (следовательно, их использование предполагалось в случае неудовлетворительности моделирования на допущенных переменных)</w:t>
      </w:r>
      <w:r w:rsidR="002A64ED">
        <w:t>.</w:t>
      </w:r>
    </w:p>
    <w:p w:rsidR="00BC2A8A" w:rsidRPr="00B94C57" w:rsidRDefault="004172A6" w:rsidP="004172A6">
      <w:pPr>
        <w:ind w:firstLine="851"/>
        <w:jc w:val="both"/>
      </w:pPr>
      <w:r>
        <w:lastRenderedPageBreak/>
        <w:t xml:space="preserve">Для учёта возможного лага во влиянии переменных на ОПЖ </w:t>
      </w:r>
      <w:r w:rsidR="00040927">
        <w:t>для каждого фактора были собраны данные по всем наблюдённым годам до 2000 года.</w:t>
      </w:r>
      <w:r w:rsidR="00B94C57" w:rsidRPr="00B94C57">
        <w:t xml:space="preserve"> </w:t>
      </w:r>
      <w:r w:rsidR="00B94C57">
        <w:t>Полученный набор данных включал в себя следующее (в столбцах – факторы, в строках – года, в которые по данному фактору собиралась статистика)</w:t>
      </w:r>
      <w:r w:rsidR="00B94C57" w:rsidRPr="00B94C57"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3"/>
        <w:gridCol w:w="1166"/>
        <w:gridCol w:w="1166"/>
        <w:gridCol w:w="1168"/>
        <w:gridCol w:w="1165"/>
        <w:gridCol w:w="1168"/>
        <w:gridCol w:w="1165"/>
        <w:gridCol w:w="1165"/>
        <w:gridCol w:w="1168"/>
        <w:gridCol w:w="1165"/>
        <w:gridCol w:w="1168"/>
        <w:gridCol w:w="1165"/>
        <w:gridCol w:w="1168"/>
      </w:tblGrid>
      <w:tr w:rsidR="004172A6" w:rsidRPr="004172A6" w:rsidTr="004172A6">
        <w:trPr>
          <w:trHeight w:val="312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Валовой региональный продукт на душу населения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Уровень урбанизации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Розничные продажи алкогольной продукции на душу населения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kern w:val="0"/>
                <w:sz w:val="14"/>
                <w:szCs w:val="14"/>
                <w:lang w:eastAsia="ru-RU"/>
                <w14:ligatures w14:val="none"/>
              </w:rPr>
              <w:t>Среднедушевые денежные доходы населения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Уровень безработицы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Обеспеченность врачами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Младенческая смертность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Плотность автомобильных дорог общего пользования с твердым покрытием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Средняя сумма накоплений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Миграционный прирост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Удельный вес общей площади жилых помещений, оборудованной одновременно водопроводом, водоотведением, отоплением, горячим водоснабжением, газом или напольными электроплитами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Обеспеченность больничными койками</w:t>
            </w: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2009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2011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2012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2013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2014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2015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lastRenderedPageBreak/>
              <w:t>2016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2017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2018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2019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2020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2021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2022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2023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  <w:tr w:rsidR="004172A6" w:rsidRPr="004172A6" w:rsidTr="004172A6">
        <w:trPr>
          <w:trHeight w:val="288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A6" w:rsidRPr="004172A6" w:rsidRDefault="004172A6" w:rsidP="00417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2024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  <w:r w:rsidRPr="004172A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  <w:t>+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2A6" w:rsidRPr="004172A6" w:rsidRDefault="004172A6" w:rsidP="00417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ru-RU"/>
                <w14:ligatures w14:val="none"/>
              </w:rPr>
            </w:pPr>
          </w:p>
        </w:tc>
      </w:tr>
    </w:tbl>
    <w:p w:rsidR="00490398" w:rsidRDefault="00490398" w:rsidP="00BC2A8A">
      <w:pPr>
        <w:ind w:firstLine="851"/>
        <w:jc w:val="both"/>
        <w:rPr>
          <w:lang w:val="en-US"/>
        </w:rPr>
        <w:sectPr w:rsidR="00490398" w:rsidSect="004172A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4009A" w:rsidRPr="00E016B8" w:rsidRDefault="00490398" w:rsidP="00BC2A8A">
      <w:pPr>
        <w:ind w:firstLine="851"/>
        <w:jc w:val="both"/>
      </w:pPr>
      <w:r>
        <w:lastRenderedPageBreak/>
        <w:t xml:space="preserve">Корреляционный анализ полученных переменных </w:t>
      </w:r>
      <w:r w:rsidR="00517205">
        <w:t xml:space="preserve">друг с другом </w:t>
      </w:r>
      <w:r>
        <w:t xml:space="preserve">и зависимой переменной </w:t>
      </w:r>
      <w:r w:rsidR="00517205">
        <w:t>ОПЖ позволил установить</w:t>
      </w:r>
      <w:r w:rsidR="00517205" w:rsidRPr="00517205">
        <w:t>:</w:t>
      </w:r>
    </w:p>
    <w:p w:rsidR="00517205" w:rsidRPr="00724F8F" w:rsidRDefault="00724F8F" w:rsidP="00724F8F">
      <w:pPr>
        <w:jc w:val="both"/>
      </w:pPr>
      <w:r>
        <w:t>ф</w:t>
      </w:r>
      <w:r w:rsidR="00517205">
        <w:t>акторы</w:t>
      </w:r>
      <w:r>
        <w:t xml:space="preserve"> (из отобранных)</w:t>
      </w:r>
      <w:r w:rsidR="00517205">
        <w:t>, наиболее сильно коррелирующие с ОПЖ</w:t>
      </w:r>
      <w:r w:rsidR="00517205" w:rsidRPr="00517205"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206"/>
        <w:gridCol w:w="673"/>
      </w:tblGrid>
      <w:tr w:rsidR="00517205" w:rsidRPr="00517205" w:rsidTr="0080531D">
        <w:trPr>
          <w:trHeight w:val="300"/>
          <w:jc w:val="center"/>
        </w:trPr>
        <w:tc>
          <w:tcPr>
            <w:tcW w:w="0" w:type="auto"/>
            <w:shd w:val="clear" w:color="auto" w:fill="E8E8E8" w:themeFill="background2"/>
            <w:noWrap/>
            <w:vAlign w:val="center"/>
          </w:tcPr>
          <w:p w:rsidR="00517205" w:rsidRPr="00517205" w:rsidRDefault="00517205" w:rsidP="0051720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Фактор</w:t>
            </w:r>
          </w:p>
        </w:tc>
        <w:tc>
          <w:tcPr>
            <w:tcW w:w="0" w:type="auto"/>
            <w:shd w:val="clear" w:color="auto" w:fill="E8E8E8" w:themeFill="background2"/>
            <w:noWrap/>
            <w:vAlign w:val="center"/>
          </w:tcPr>
          <w:p w:rsidR="00517205" w:rsidRPr="00517205" w:rsidRDefault="00517205" w:rsidP="0051720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r</w:t>
            </w:r>
          </w:p>
        </w:tc>
      </w:tr>
      <w:tr w:rsidR="00517205" w:rsidRPr="00517205" w:rsidTr="00724F8F">
        <w:trPr>
          <w:trHeight w:val="300"/>
          <w:jc w:val="center"/>
        </w:trPr>
        <w:tc>
          <w:tcPr>
            <w:tcW w:w="0" w:type="auto"/>
            <w:noWrap/>
            <w:vAlign w:val="center"/>
          </w:tcPr>
          <w:p w:rsidR="00517205" w:rsidRPr="00517205" w:rsidRDefault="00517205" w:rsidP="0051720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Дороги 2023</w:t>
            </w:r>
          </w:p>
        </w:tc>
        <w:tc>
          <w:tcPr>
            <w:tcW w:w="0" w:type="auto"/>
            <w:noWrap/>
            <w:vAlign w:val="center"/>
          </w:tcPr>
          <w:p w:rsidR="00517205" w:rsidRPr="00517205" w:rsidRDefault="00517205" w:rsidP="0051720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0,59</w:t>
            </w:r>
          </w:p>
        </w:tc>
      </w:tr>
      <w:tr w:rsidR="00517205" w:rsidRPr="00517205" w:rsidTr="00724F8F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517205" w:rsidRPr="00517205" w:rsidRDefault="00517205" w:rsidP="0051720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Алкоголь 2023</w:t>
            </w:r>
          </w:p>
        </w:tc>
        <w:tc>
          <w:tcPr>
            <w:tcW w:w="0" w:type="auto"/>
            <w:noWrap/>
            <w:vAlign w:val="center"/>
            <w:hideMark/>
          </w:tcPr>
          <w:p w:rsidR="00517205" w:rsidRPr="00517205" w:rsidRDefault="00517205" w:rsidP="0051720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025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-</w:t>
            </w: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</w:t>
            </w:r>
            <w:r w:rsidR="00724F8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</w:tr>
      <w:tr w:rsidR="00517205" w:rsidRPr="00517205" w:rsidTr="00724F8F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517205" w:rsidRPr="00517205" w:rsidRDefault="00517205" w:rsidP="0051720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Водопровод+Канализация 2022</w:t>
            </w:r>
          </w:p>
        </w:tc>
        <w:tc>
          <w:tcPr>
            <w:tcW w:w="0" w:type="auto"/>
            <w:noWrap/>
            <w:vAlign w:val="center"/>
            <w:hideMark/>
          </w:tcPr>
          <w:p w:rsidR="00517205" w:rsidRPr="00517205" w:rsidRDefault="00517205" w:rsidP="0051720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0,55</w:t>
            </w:r>
          </w:p>
        </w:tc>
      </w:tr>
      <w:tr w:rsidR="00517205" w:rsidRPr="00517205" w:rsidTr="00724F8F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517205" w:rsidRPr="00517205" w:rsidRDefault="00517205" w:rsidP="0051720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Обесп. Больн. Койками 2010</w:t>
            </w:r>
          </w:p>
        </w:tc>
        <w:tc>
          <w:tcPr>
            <w:tcW w:w="0" w:type="auto"/>
            <w:noWrap/>
            <w:vAlign w:val="center"/>
            <w:hideMark/>
          </w:tcPr>
          <w:p w:rsidR="00517205" w:rsidRPr="00517205" w:rsidRDefault="00517205" w:rsidP="0051720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F025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/>
                <w14:ligatures w14:val="none"/>
              </w:rPr>
              <w:t>-</w:t>
            </w: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0,46</w:t>
            </w:r>
          </w:p>
        </w:tc>
      </w:tr>
      <w:tr w:rsidR="00517205" w:rsidRPr="00517205" w:rsidTr="00724F8F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517205" w:rsidRPr="00517205" w:rsidRDefault="00517205" w:rsidP="0051720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Мигр. Прирост 2022</w:t>
            </w:r>
          </w:p>
        </w:tc>
        <w:tc>
          <w:tcPr>
            <w:tcW w:w="0" w:type="auto"/>
            <w:noWrap/>
            <w:vAlign w:val="center"/>
            <w:hideMark/>
          </w:tcPr>
          <w:p w:rsidR="00517205" w:rsidRPr="00517205" w:rsidRDefault="00517205" w:rsidP="0051720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51720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0,4</w:t>
            </w:r>
            <w:r w:rsidR="00724F8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</w:t>
            </w:r>
          </w:p>
        </w:tc>
      </w:tr>
    </w:tbl>
    <w:p w:rsidR="00517205" w:rsidRDefault="00724F8F" w:rsidP="00724F8F">
      <w:pPr>
        <w:jc w:val="both"/>
      </w:pPr>
      <w:r>
        <w:t xml:space="preserve">при использовании приведённых выше </w:t>
      </w:r>
      <w:r w:rsidR="00E016B8">
        <w:t xml:space="preserve">факторов </w:t>
      </w:r>
      <w:r>
        <w:t xml:space="preserve">мультиколлинеарности не наблюдается (наиболее высокий </w:t>
      </w:r>
      <w:r>
        <w:rPr>
          <w:lang w:val="en-US"/>
        </w:rPr>
        <w:t>abs</w:t>
      </w:r>
      <w:r w:rsidRPr="00724F8F">
        <w:t>(</w:t>
      </w:r>
      <w:r>
        <w:rPr>
          <w:lang w:val="en-US"/>
        </w:rPr>
        <w:t>r</w:t>
      </w:r>
      <w:r w:rsidRPr="00724F8F">
        <w:t xml:space="preserve">) </w:t>
      </w:r>
      <w:r>
        <w:t>между факторами – 0,54)</w:t>
      </w:r>
      <w:r w:rsidR="00D14F41">
        <w:t>.</w:t>
      </w:r>
    </w:p>
    <w:p w:rsidR="00D14F41" w:rsidRPr="00E016B8" w:rsidRDefault="00B859CE" w:rsidP="00D14F41">
      <w:pPr>
        <w:ind w:firstLine="851"/>
        <w:jc w:val="both"/>
      </w:pPr>
      <w:r>
        <w:t xml:space="preserve">После определения наиболее сильно коррелирующих с ОПЖ факторов массива данных и установления отсутствия мультиколлинеарности было произведено последовательное построение моделей с увеличением </w:t>
      </w:r>
      <w:r w:rsidR="00E016B8">
        <w:t xml:space="preserve">числа </w:t>
      </w:r>
      <w:r>
        <w:t xml:space="preserve">используемых в них </w:t>
      </w:r>
      <w:r w:rsidR="00E016B8">
        <w:t xml:space="preserve">переменных </w:t>
      </w:r>
      <w:r>
        <w:t>(</w:t>
      </w:r>
      <w:r w:rsidR="00E016B8">
        <w:t xml:space="preserve">переменные </w:t>
      </w:r>
      <w:r>
        <w:t>добавлялись в мо</w:t>
      </w:r>
      <w:r w:rsidRPr="00B56EA5">
        <w:t>дель</w:t>
      </w:r>
      <w:r>
        <w:t xml:space="preserve"> в порядке убывания модуля коэффицента корреляции </w:t>
      </w:r>
      <w:r w:rsidR="00E016B8">
        <w:t xml:space="preserve">фактора </w:t>
      </w:r>
      <w:r>
        <w:t>и ОПЖ). Результат построений</w:t>
      </w:r>
      <w:r w:rsidRPr="00E016B8">
        <w:t>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578"/>
        <w:gridCol w:w="839"/>
        <w:gridCol w:w="1276"/>
        <w:gridCol w:w="2835"/>
        <w:gridCol w:w="703"/>
      </w:tblGrid>
      <w:tr w:rsidR="005D37DB" w:rsidRPr="005D37DB" w:rsidTr="009E5D33">
        <w:trPr>
          <w:trHeight w:val="288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Набор факторов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R^2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Значимость F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Значимость b-коэффициентов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</w:t>
            </w:r>
          </w:p>
        </w:tc>
      </w:tr>
      <w:tr w:rsidR="005D37DB" w:rsidRPr="005D37DB" w:rsidTr="009E5D33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Дороги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2,2E-09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Уравнение значимо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Значим, значим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2,13%</w:t>
            </w:r>
          </w:p>
        </w:tc>
      </w:tr>
      <w:tr w:rsidR="005D37DB" w:rsidRPr="005D37DB" w:rsidTr="009E5D33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Дороги + Алкоголь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2,0E-13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Уравнение значимо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Значим, значим, значим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1,78%</w:t>
            </w:r>
          </w:p>
        </w:tc>
      </w:tr>
      <w:tr w:rsidR="005D37DB" w:rsidRPr="005D37DB" w:rsidTr="009E5D33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Дороги + Алкоголь + Водопровод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5,6E-16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Уравнение значимо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Значим, значим, значим, значим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1,67%</w:t>
            </w:r>
          </w:p>
        </w:tc>
      </w:tr>
      <w:tr w:rsidR="005D37DB" w:rsidRPr="005D37DB" w:rsidTr="009E5D33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Дороги + Алкоголь + Водопровод + Койки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2,0E-17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Уравнение значимо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Значим, значим, значим, значим, значим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1,65%</w:t>
            </w:r>
          </w:p>
        </w:tc>
      </w:tr>
      <w:tr w:rsidR="005D37DB" w:rsidRPr="005D37DB" w:rsidTr="009E5D33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Дороги + Алкоголь + Водопровод + Миграции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6E-18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Уравнение значимо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Значим, значим, значим, значим, значим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1,51%</w:t>
            </w:r>
          </w:p>
        </w:tc>
      </w:tr>
      <w:tr w:rsidR="005D37DB" w:rsidRPr="005D37DB" w:rsidTr="009E5D33">
        <w:trPr>
          <w:trHeight w:val="288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Дороги + Алкоголь + Водопровод + Койки + Миграция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8,4E-18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Уравнение значимо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Значим, значим, значим, значим, не значим, значим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D37DB" w:rsidRPr="005D37DB" w:rsidRDefault="005D37DB" w:rsidP="005D37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D37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1,55%</w:t>
            </w:r>
          </w:p>
        </w:tc>
      </w:tr>
    </w:tbl>
    <w:p w:rsidR="00B9489C" w:rsidRDefault="00B9489C" w:rsidP="00724F8F">
      <w:pPr>
        <w:jc w:val="both"/>
      </w:pPr>
    </w:p>
    <w:p w:rsidR="00EF66F7" w:rsidRDefault="00EF66F7" w:rsidP="00724F8F">
      <w:pPr>
        <w:jc w:val="both"/>
      </w:pPr>
      <w:r>
        <w:t>Данные таблицы показывают, что наибольшей объяснительной мощностью обладает пятифакторная модель (</w:t>
      </w:r>
      <w:r>
        <w:rPr>
          <w:lang w:val="en-US"/>
        </w:rPr>
        <w:t>R</w:t>
      </w:r>
      <w:r w:rsidRPr="00EF66F7">
        <w:rPr>
          <w:vertAlign w:val="superscript"/>
        </w:rPr>
        <w:t>2</w:t>
      </w:r>
      <w:r w:rsidRPr="00EF66F7">
        <w:t xml:space="preserve">=0,65), </w:t>
      </w:r>
      <w:r>
        <w:t>однако коэффициент уравнения для включённой в неё переменной «Обеспеченность больничными койками 2010</w:t>
      </w:r>
      <w:r w:rsidR="00E016B8">
        <w:t>»</w:t>
      </w:r>
      <w:r>
        <w:t xml:space="preserve"> не значим</w:t>
      </w:r>
      <w:r w:rsidRPr="00EF66F7">
        <w:t xml:space="preserve">; </w:t>
      </w:r>
      <w:r>
        <w:t>исключение данного фактора из уравнения линейной регрессии позволило снизить среднюю ошибку модели (с 1,55% до 1,51%), однако снизилась и доля объяснённой дисперсии (с 0,65 до 0,6)</w:t>
      </w:r>
      <w:r w:rsidR="00E016B8">
        <w:t>.</w:t>
      </w:r>
      <w:r w:rsidR="00D92213">
        <w:t xml:space="preserve"> </w:t>
      </w:r>
      <w:r w:rsidR="00E016B8">
        <w:t>Интерпретировать потерю объясняющей мощности переменной «Обеспеченность больничными койками 2010»</w:t>
      </w:r>
      <w:r w:rsidR="0077011E">
        <w:t xml:space="preserve"> </w:t>
      </w:r>
      <w:r w:rsidR="00E016B8">
        <w:t>можно следующим образом</w:t>
      </w:r>
      <w:r w:rsidR="00E016B8" w:rsidRPr="00E016B8">
        <w:t xml:space="preserve">: </w:t>
      </w:r>
      <w:r w:rsidR="00E016B8">
        <w:t>высокие значения данного фактора, с одной стороны, показывают, что для заболевших людей имеются места для лечения, следовательно, существует вероятность восстановления их здоровья, поэтому ОПЖ растёт</w:t>
      </w:r>
      <w:r w:rsidR="00E016B8" w:rsidRPr="00E016B8">
        <w:t xml:space="preserve">; </w:t>
      </w:r>
      <w:r w:rsidR="00E016B8">
        <w:t>с другой стороны, низкие значения «Обеспеченности» свидетельствуют о высоком уровне здоровья населения в целом, следовательно, в расходные пункты бюджета расширение число больничных коек не включают, в то же время ОПЖ из-за общего здоровья населения высокая (об этом говорят и 95% значения «Обеспеченности больничными койками 2010»</w:t>
      </w:r>
      <w:r w:rsidR="00975278">
        <w:t xml:space="preserve"> при построении пятифакторной модели</w:t>
      </w:r>
      <w:r w:rsidR="00E016B8" w:rsidRPr="00E016B8">
        <w:t xml:space="preserve">: </w:t>
      </w:r>
      <w:r w:rsidR="00E016B8">
        <w:t xml:space="preserve">от повышения ОПЖ на </w:t>
      </w:r>
      <w:r w:rsidR="00E016B8" w:rsidRPr="00E016B8">
        <w:t>0,0016</w:t>
      </w:r>
      <w:r w:rsidR="00E016B8">
        <w:t xml:space="preserve"> при </w:t>
      </w:r>
      <w:r w:rsidR="00E016B8">
        <w:lastRenderedPageBreak/>
        <w:t xml:space="preserve">увеличении «Обеспеченности» на 10000 чел. на единицу до понижения на </w:t>
      </w:r>
      <w:r w:rsidR="00E016B8" w:rsidRPr="00E016B8">
        <w:t>0,039</w:t>
      </w:r>
      <w:r w:rsidR="00E016B8">
        <w:t xml:space="preserve">). </w:t>
      </w:r>
      <w:r w:rsidR="00D92213">
        <w:t xml:space="preserve">по совокупности параметров было принято решение оставить полученную после исключения </w:t>
      </w:r>
      <w:r w:rsidR="00975278">
        <w:t xml:space="preserve">рассмотренного </w:t>
      </w:r>
      <w:r w:rsidR="00D92213">
        <w:t>фактора модель как рабочую.</w:t>
      </w:r>
    </w:p>
    <w:p w:rsidR="007401B6" w:rsidRDefault="000B3AFD" w:rsidP="007401B6">
      <w:pPr>
        <w:ind w:firstLine="851"/>
        <w:jc w:val="center"/>
        <w:rPr>
          <w:b/>
          <w:bCs/>
        </w:rPr>
      </w:pPr>
      <w:r w:rsidRPr="00A556FB">
        <w:rPr>
          <w:b/>
          <w:bCs/>
        </w:rPr>
        <w:t>Вид рабочей модели:</w:t>
      </w:r>
    </w:p>
    <w:p w:rsidR="000B3AFD" w:rsidRPr="00A556FB" w:rsidRDefault="000B3AFD" w:rsidP="00CC0D8B">
      <w:pPr>
        <w:ind w:firstLine="851"/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  <w:r w:rsidRPr="00A556F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ru-RU"/>
          <w14:ligatures w14:val="none"/>
        </w:rPr>
        <w:t>ОПЖ = 71,59 + 0,00128 * Дороги 2023 - 0,472 * Алкоголь 2023 + 0,058 * ВодопроводИКанализация 2022 + 0,146 * Мигр. Прирост 2022</w:t>
      </w:r>
    </w:p>
    <w:tbl>
      <w:tblPr>
        <w:tblW w:w="8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1"/>
        <w:gridCol w:w="1694"/>
        <w:gridCol w:w="1426"/>
        <w:gridCol w:w="1122"/>
        <w:gridCol w:w="1052"/>
        <w:gridCol w:w="1052"/>
      </w:tblGrid>
      <w:tr w:rsidR="00975278" w:rsidRPr="00975278" w:rsidTr="00975278">
        <w:trPr>
          <w:trHeight w:val="288"/>
        </w:trPr>
        <w:tc>
          <w:tcPr>
            <w:tcW w:w="2389" w:type="dxa"/>
            <w:shd w:val="clear" w:color="auto" w:fill="E8E8E8" w:themeFill="background2"/>
            <w:noWrap/>
            <w:vAlign w:val="center"/>
            <w:hideMark/>
          </w:tcPr>
          <w:p w:rsidR="00975278" w:rsidRPr="00975278" w:rsidRDefault="00975278" w:rsidP="0097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1507" w:type="dxa"/>
            <w:shd w:val="clear" w:color="auto" w:fill="E8E8E8" w:themeFill="background2"/>
            <w:noWrap/>
            <w:vAlign w:val="center"/>
            <w:hideMark/>
          </w:tcPr>
          <w:p w:rsidR="00975278" w:rsidRPr="00975278" w:rsidRDefault="00975278" w:rsidP="0097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Коэффициенты</w:t>
            </w:r>
          </w:p>
        </w:tc>
        <w:tc>
          <w:tcPr>
            <w:tcW w:w="1374" w:type="dxa"/>
            <w:shd w:val="clear" w:color="auto" w:fill="E8E8E8" w:themeFill="background2"/>
            <w:noWrap/>
            <w:vAlign w:val="center"/>
            <w:hideMark/>
          </w:tcPr>
          <w:p w:rsidR="00975278" w:rsidRPr="00975278" w:rsidRDefault="00975278" w:rsidP="0097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Стандартная ошибка</w:t>
            </w:r>
          </w:p>
        </w:tc>
        <w:tc>
          <w:tcPr>
            <w:tcW w:w="957" w:type="dxa"/>
            <w:shd w:val="clear" w:color="auto" w:fill="E8E8E8" w:themeFill="background2"/>
            <w:noWrap/>
            <w:vAlign w:val="center"/>
            <w:hideMark/>
          </w:tcPr>
          <w:p w:rsidR="00975278" w:rsidRPr="00975278" w:rsidRDefault="00975278" w:rsidP="0097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P-Значение</w:t>
            </w:r>
          </w:p>
        </w:tc>
        <w:tc>
          <w:tcPr>
            <w:tcW w:w="923" w:type="dxa"/>
            <w:shd w:val="clear" w:color="auto" w:fill="E8E8E8" w:themeFill="background2"/>
            <w:noWrap/>
            <w:vAlign w:val="center"/>
            <w:hideMark/>
          </w:tcPr>
          <w:p w:rsidR="00975278" w:rsidRPr="00975278" w:rsidRDefault="00975278" w:rsidP="0097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Нижние 95%</w:t>
            </w:r>
          </w:p>
        </w:tc>
        <w:tc>
          <w:tcPr>
            <w:tcW w:w="923" w:type="dxa"/>
            <w:shd w:val="clear" w:color="auto" w:fill="E8E8E8" w:themeFill="background2"/>
            <w:noWrap/>
            <w:vAlign w:val="center"/>
            <w:hideMark/>
          </w:tcPr>
          <w:p w:rsidR="00975278" w:rsidRPr="00975278" w:rsidRDefault="00975278" w:rsidP="0097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Верхние 95%</w:t>
            </w:r>
          </w:p>
        </w:tc>
      </w:tr>
      <w:tr w:rsidR="00975278" w:rsidRPr="00975278" w:rsidTr="00975278">
        <w:trPr>
          <w:trHeight w:val="288"/>
        </w:trPr>
        <w:tc>
          <w:tcPr>
            <w:tcW w:w="2389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Y-пересечение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71,59348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1,080681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1,17E-71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69,44286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73,7441</w:t>
            </w:r>
          </w:p>
        </w:tc>
      </w:tr>
      <w:tr w:rsidR="00975278" w:rsidRPr="00975278" w:rsidTr="00975278">
        <w:trPr>
          <w:trHeight w:val="288"/>
        </w:trPr>
        <w:tc>
          <w:tcPr>
            <w:tcW w:w="2389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Дороги 2023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0,001281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0,000507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0,013529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0,000271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0,00229</w:t>
            </w:r>
          </w:p>
        </w:tc>
      </w:tr>
      <w:tr w:rsidR="00975278" w:rsidRPr="00975278" w:rsidTr="00975278">
        <w:trPr>
          <w:trHeight w:val="288"/>
        </w:trPr>
        <w:tc>
          <w:tcPr>
            <w:tcW w:w="2389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Алкоголь 2023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-0,47189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0,075808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2,09E-08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-0,62275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-0,32102</w:t>
            </w:r>
          </w:p>
        </w:tc>
      </w:tr>
      <w:tr w:rsidR="00975278" w:rsidRPr="00975278" w:rsidTr="00975278">
        <w:trPr>
          <w:trHeight w:val="288"/>
        </w:trPr>
        <w:tc>
          <w:tcPr>
            <w:tcW w:w="2389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Водопровод+Канализация 2022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0,058173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0,013742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6,1E-05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0,030825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0,085521</w:t>
            </w:r>
          </w:p>
        </w:tc>
      </w:tr>
      <w:tr w:rsidR="00975278" w:rsidRPr="00975278" w:rsidTr="00975278">
        <w:trPr>
          <w:trHeight w:val="300"/>
        </w:trPr>
        <w:tc>
          <w:tcPr>
            <w:tcW w:w="2389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bookmarkStart w:id="0" w:name="_Hlk180356480"/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Мигр. Прирост 2022</w:t>
            </w:r>
          </w:p>
        </w:tc>
        <w:tc>
          <w:tcPr>
            <w:tcW w:w="150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0,146313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0,03893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0,000324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0,06884</w:t>
            </w: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:rsidR="00975278" w:rsidRPr="00975278" w:rsidRDefault="00975278" w:rsidP="0097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7527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0,223786</w:t>
            </w:r>
          </w:p>
        </w:tc>
      </w:tr>
      <w:bookmarkEnd w:id="0"/>
    </w:tbl>
    <w:p w:rsidR="00975278" w:rsidRDefault="00975278" w:rsidP="00CC0D8B">
      <w:pPr>
        <w:ind w:firstLine="851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</w:pPr>
    </w:p>
    <w:p w:rsidR="00975278" w:rsidRPr="00E75092" w:rsidRDefault="00975278" w:rsidP="00975278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Проведен</w:t>
      </w:r>
      <w:r w:rsidR="00FE5E61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ы тесты на выполнение моделью условий Гаусса-Маркова (следовательно, на соответствие модели </w:t>
      </w:r>
      <w:r w:rsidR="00FE5E6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/>
          <w14:ligatures w14:val="none"/>
        </w:rPr>
        <w:t>Best</w:t>
      </w:r>
      <w:r w:rsidR="00FE5E61" w:rsidRPr="00FE5E61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FE5E6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/>
          <w14:ligatures w14:val="none"/>
        </w:rPr>
        <w:t>Linear</w:t>
      </w:r>
      <w:r w:rsidR="00FE5E61" w:rsidRPr="00FE5E61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FE5E6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/>
          <w14:ligatures w14:val="none"/>
        </w:rPr>
        <w:t>Unbiased</w:t>
      </w:r>
      <w:r w:rsidR="00FE5E61" w:rsidRPr="00FE5E61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FE5E61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/>
          <w14:ligatures w14:val="none"/>
        </w:rPr>
        <w:t>Estimation</w:t>
      </w:r>
      <w:r w:rsidR="00FE5E61" w:rsidRPr="00FE5E61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).</w:t>
      </w:r>
      <w:r w:rsidR="00E75092" w:rsidRPr="00E75092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="00E75092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Выполнены три условия из четырёх</w:t>
      </w:r>
      <w:r w:rsidR="00E75092" w:rsidRPr="00E75092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;</w:t>
      </w:r>
      <w:r w:rsidR="00E75092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значения критерия Дарбина-Уотсона показывают, что автокорреляция остатков, получаемых в ходе использования модели на датасете, не определена, но и не отвергнута, следовательно, о выполнении или невыполнении четвёртого условия сказать нельзя.</w:t>
      </w:r>
    </w:p>
    <w:p w:rsidR="00975278" w:rsidRPr="00A556FB" w:rsidRDefault="00021BA9" w:rsidP="002C311E">
      <w:pPr>
        <w:ind w:firstLine="851"/>
        <w:jc w:val="center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  <w:r w:rsidRPr="00A556F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ru-RU"/>
          <w14:ligatures w14:val="none"/>
        </w:rPr>
        <w:t>Интерпретация коэффициентов модели</w:t>
      </w:r>
      <w:r w:rsidRPr="00A556F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ru-RU"/>
          <w14:ligatures w14:val="none"/>
        </w:rPr>
        <w:t>:</w:t>
      </w:r>
    </w:p>
    <w:p w:rsidR="00021BA9" w:rsidRPr="002C311E" w:rsidRDefault="00021BA9" w:rsidP="00A556FB">
      <w:pPr>
        <w:pStyle w:val="a7"/>
        <w:numPr>
          <w:ilvl w:val="0"/>
          <w:numId w:val="2"/>
        </w:numPr>
        <w:ind w:left="851" w:firstLine="0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</w:pP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/>
          <w14:ligatures w14:val="none"/>
        </w:rPr>
        <w:t>Y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-пересечение: с вероятностью 95% 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региональный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ОПЖ при нулевых значениях всех остальных факторов будет лежать в диапазоне от 69,44 лет до 73,74 лет;</w:t>
      </w:r>
    </w:p>
    <w:p w:rsidR="000B7AAC" w:rsidRPr="002C311E" w:rsidRDefault="00021BA9" w:rsidP="00A556FB">
      <w:pPr>
        <w:pStyle w:val="a7"/>
        <w:numPr>
          <w:ilvl w:val="0"/>
          <w:numId w:val="2"/>
        </w:numPr>
        <w:ind w:left="851" w:firstLine="0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</w:pP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Дороги 2023: с вероятностью 95% увеличение 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п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лотност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и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автомобильных дорог общего пользования с твердым покрытием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на 1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километр на 1000 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к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м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vertAlign w:val="superscript"/>
          <w:lang w:eastAsia="ru-RU"/>
          <w14:ligatures w14:val="none"/>
        </w:rPr>
        <w:t>2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территории региона </w:t>
      </w:r>
      <w:r w:rsidR="000B7AAC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в предыдущем году 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приведёт к росту регионального ОПЖ </w:t>
      </w:r>
      <w:r w:rsidR="000B7AAC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в текущем году 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на 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0,000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3 - 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0,002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3 лет (крайне малые значения, однако они поднимают 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/>
          <w14:ligatures w14:val="none"/>
        </w:rPr>
        <w:t>R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vertAlign w:val="superscript"/>
          <w:lang w:eastAsia="ru-RU"/>
          <w14:ligatures w14:val="none"/>
        </w:rPr>
        <w:t xml:space="preserve">2 </w:t>
      </w:r>
      <w:r w:rsidR="00657E79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модели (были проведены сравнения моделей с «Дорогами» и без «Дорог», первые всегда оказывались лучше), следовательно, «Дороги» могут быть использованы как фактор, вносящий финальные корректировки в модель)</w:t>
      </w:r>
      <w:r w:rsidR="000B7AAC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; прямая связь плотности дорожного покрытия на ОПЖ может быть объяснена следующим образом: наличие дорожного покрытия, покрывающего большую площадь, позволяет людям, остро нуждающимся в медицинской помощи, быстрее прибыть в больничный пункт (или вообще прибыть туда), следовательно, их вероятность выздороветь растёт;</w:t>
      </w:r>
    </w:p>
    <w:p w:rsidR="000B7AAC" w:rsidRPr="002C311E" w:rsidRDefault="000B7AAC" w:rsidP="00A556FB">
      <w:pPr>
        <w:pStyle w:val="a7"/>
        <w:numPr>
          <w:ilvl w:val="0"/>
          <w:numId w:val="2"/>
        </w:numPr>
        <w:ind w:left="851" w:firstLine="0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</w:pP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Алкоголь 2023: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с вероятностью 95% увеличение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р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озничны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х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продаж алкогольной продукции на душу населения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на 1 литр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в предыдущем году приведёт к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падению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регионального ОПЖ в текущем году на 0,32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-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0,62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3 года (от 4 до 7,5 месяцев); данный фактор может быть интерпретирован так: повышение потребления алкоголя приводит к падению ОПЖ в силу вреда алкогольных напитков для здоровья;</w:t>
      </w:r>
    </w:p>
    <w:p w:rsidR="000B7AAC" w:rsidRPr="002C311E" w:rsidRDefault="000B7AAC" w:rsidP="00A556FB">
      <w:pPr>
        <w:pStyle w:val="a7"/>
        <w:numPr>
          <w:ilvl w:val="0"/>
          <w:numId w:val="2"/>
        </w:numPr>
        <w:ind w:left="851" w:firstLine="0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/>
          <w14:ligatures w14:val="none"/>
        </w:rPr>
      </w:pP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Водопровод+Канализация 2022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с вероятностью 95% увеличение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у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дельн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ого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вес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а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общей площади жилых помещений, оборудованной одновременно водопроводом, водоотведением, отоплением, горячим водоснабжением, газом или напольными электроплитами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двумя годами ранее приведёт к росту регионального ОПЖ в текущем году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на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0,03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1 -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0,08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6 лет (на 11 – 31 дней); прямая связь данной переменной и ОПЖ может быть объяснена через улучшение санитарных условий посредством обеспечения населения водопроводом, канализацией и т.п., что позитивно сказывается на здоровье;</w:t>
      </w:r>
    </w:p>
    <w:p w:rsidR="000B7AAC" w:rsidRDefault="000B7AAC" w:rsidP="00A556FB">
      <w:pPr>
        <w:pStyle w:val="a7"/>
        <w:numPr>
          <w:ilvl w:val="0"/>
          <w:numId w:val="2"/>
        </w:numPr>
        <w:ind w:left="851" w:firstLine="0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</w:pP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Мигр. Прирост 2022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с вероятностью 95% увеличение </w:t>
      </w:r>
      <w:r w:rsidR="00FB5920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миграционного прироста на 1 человека на 1000 человек постоянного населения </w:t>
      </w:r>
      <w:r w:rsidR="00FB5920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региона </w:t>
      </w:r>
      <w:r w:rsidR="00FB5920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двумя годами ранее приводит к повышению регионального ОПЖ в текущем году на </w:t>
      </w:r>
      <w:r w:rsidR="00FB5920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0,06</w:t>
      </w:r>
      <w:r w:rsidR="00FB5920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9 - </w:t>
      </w:r>
      <w:r w:rsidR="00FB5920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0,22</w:t>
      </w:r>
      <w:r w:rsidR="00FB5920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4 лет (на 1 – 3 месяца)</w:t>
      </w:r>
      <w:r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; </w:t>
      </w:r>
      <w:r w:rsidR="00FB5920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такое соотношение может быть объяснено следующим образом: </w:t>
      </w:r>
      <w:r w:rsidR="002C311E" w:rsidRPr="002C311E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к миграции (если она не вынужденная) способен человек с нормально-хорошим состоянием здоровья, следовательно, приезд здоровых мигрантов повышает общий уровень здоровья населения региона.</w:t>
      </w:r>
    </w:p>
    <w:p w:rsidR="002C311E" w:rsidRPr="002C311E" w:rsidRDefault="002C311E" w:rsidP="002C311E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</w:pPr>
    </w:p>
    <w:p w:rsidR="00A015B2" w:rsidRPr="000B7AAC" w:rsidRDefault="00A015B2" w:rsidP="000B7AAC">
      <w:pPr>
        <w:ind w:firstLine="851"/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</w:pPr>
    </w:p>
    <w:p w:rsidR="00D92213" w:rsidRPr="00FE5E61" w:rsidRDefault="00D92213" w:rsidP="00D92213">
      <w:pPr>
        <w:ind w:firstLine="851"/>
        <w:jc w:val="both"/>
      </w:pPr>
    </w:p>
    <w:sectPr w:rsidR="00D92213" w:rsidRPr="00FE5E61" w:rsidSect="00490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747B"/>
    <w:multiLevelType w:val="hybridMultilevel"/>
    <w:tmpl w:val="E174C4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C8689F"/>
    <w:multiLevelType w:val="hybridMultilevel"/>
    <w:tmpl w:val="4F3284CE"/>
    <w:lvl w:ilvl="0" w:tplc="A22ACC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716617">
    <w:abstractNumId w:val="1"/>
  </w:num>
  <w:num w:numId="2" w16cid:durableId="21910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7C"/>
    <w:rsid w:val="000053CD"/>
    <w:rsid w:val="00021BA9"/>
    <w:rsid w:val="00040927"/>
    <w:rsid w:val="000B3AFD"/>
    <w:rsid w:val="000B7AAC"/>
    <w:rsid w:val="000B7BE8"/>
    <w:rsid w:val="000E2F48"/>
    <w:rsid w:val="00105CC0"/>
    <w:rsid w:val="001757C5"/>
    <w:rsid w:val="001B2460"/>
    <w:rsid w:val="00203F03"/>
    <w:rsid w:val="002A64ED"/>
    <w:rsid w:val="002C2ED6"/>
    <w:rsid w:val="002C311E"/>
    <w:rsid w:val="002E6452"/>
    <w:rsid w:val="00350B40"/>
    <w:rsid w:val="004172A6"/>
    <w:rsid w:val="00490398"/>
    <w:rsid w:val="00496695"/>
    <w:rsid w:val="004E63D4"/>
    <w:rsid w:val="004F0589"/>
    <w:rsid w:val="005118B9"/>
    <w:rsid w:val="00517205"/>
    <w:rsid w:val="005B4A88"/>
    <w:rsid w:val="005D37DB"/>
    <w:rsid w:val="005E0571"/>
    <w:rsid w:val="00641005"/>
    <w:rsid w:val="00650519"/>
    <w:rsid w:val="0065086B"/>
    <w:rsid w:val="006557A6"/>
    <w:rsid w:val="00657E79"/>
    <w:rsid w:val="007134E1"/>
    <w:rsid w:val="00724F8F"/>
    <w:rsid w:val="007401B6"/>
    <w:rsid w:val="0077011E"/>
    <w:rsid w:val="007A74AD"/>
    <w:rsid w:val="0080531D"/>
    <w:rsid w:val="008641E4"/>
    <w:rsid w:val="0094009A"/>
    <w:rsid w:val="00975278"/>
    <w:rsid w:val="009E5D33"/>
    <w:rsid w:val="00A015B2"/>
    <w:rsid w:val="00A556FB"/>
    <w:rsid w:val="00A86D60"/>
    <w:rsid w:val="00AB0EE3"/>
    <w:rsid w:val="00AB390D"/>
    <w:rsid w:val="00B41866"/>
    <w:rsid w:val="00B43FAC"/>
    <w:rsid w:val="00B56EA5"/>
    <w:rsid w:val="00B7090A"/>
    <w:rsid w:val="00B859CE"/>
    <w:rsid w:val="00B9489C"/>
    <w:rsid w:val="00B94C57"/>
    <w:rsid w:val="00BC2A8A"/>
    <w:rsid w:val="00C91106"/>
    <w:rsid w:val="00CB5479"/>
    <w:rsid w:val="00CC0D8B"/>
    <w:rsid w:val="00D14F41"/>
    <w:rsid w:val="00D92213"/>
    <w:rsid w:val="00DB08DE"/>
    <w:rsid w:val="00DB17EA"/>
    <w:rsid w:val="00DC75C7"/>
    <w:rsid w:val="00DF7825"/>
    <w:rsid w:val="00E016B8"/>
    <w:rsid w:val="00E75092"/>
    <w:rsid w:val="00EC5B57"/>
    <w:rsid w:val="00ED417E"/>
    <w:rsid w:val="00EF66F7"/>
    <w:rsid w:val="00F02563"/>
    <w:rsid w:val="00F05095"/>
    <w:rsid w:val="00F4127C"/>
    <w:rsid w:val="00FB5920"/>
    <w:rsid w:val="00FD0DF6"/>
    <w:rsid w:val="00F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C0B1"/>
  <w15:chartTrackingRefBased/>
  <w15:docId w15:val="{77C5342D-6FEA-4460-B9E4-6EBCF544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12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12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12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12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12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12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12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12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12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12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127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7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64</cp:revision>
  <dcterms:created xsi:type="dcterms:W3CDTF">2024-10-14T10:10:00Z</dcterms:created>
  <dcterms:modified xsi:type="dcterms:W3CDTF">2024-10-20T19:45:00Z</dcterms:modified>
</cp:coreProperties>
</file>