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4CEDA2" w14:textId="77777777" w:rsidR="003252F3" w:rsidRPr="00402649" w:rsidRDefault="003252F3" w:rsidP="003252F3">
      <w:pPr>
        <w:jc w:val="center"/>
        <w:rPr>
          <w:rFonts w:ascii="Times New Roman" w:hAnsi="Times New Roman" w:cs="Times New Roman"/>
          <w:sz w:val="24"/>
          <w:szCs w:val="24"/>
        </w:rPr>
      </w:pPr>
      <w:r w:rsidRPr="00402649">
        <w:rPr>
          <w:rFonts w:ascii="Times New Roman" w:hAnsi="Times New Roman" w:cs="Times New Roman"/>
          <w:noProof/>
          <w:sz w:val="24"/>
          <w:szCs w:val="24"/>
          <w:lang w:val="en-US"/>
        </w:rPr>
        <w:drawing>
          <wp:anchor distT="0" distB="0" distL="114300" distR="114300" simplePos="0" relativeHeight="251659264" behindDoc="0" locked="0" layoutInCell="1" hidden="0" allowOverlap="1" wp14:anchorId="09AA8E55" wp14:editId="6F231556">
            <wp:simplePos x="0" y="0"/>
            <wp:positionH relativeFrom="margin">
              <wp:posOffset>1517015</wp:posOffset>
            </wp:positionH>
            <wp:positionV relativeFrom="paragraph">
              <wp:posOffset>33655</wp:posOffset>
            </wp:positionV>
            <wp:extent cx="2730500" cy="1155700"/>
            <wp:effectExtent l="0" t="0" r="0" b="0"/>
            <wp:wrapSquare wrapText="bothSides"/>
            <wp:docPr id="76" name="image3.png" descr="UNEMI – Universidad Estatal de Milagro"/>
            <wp:cNvGraphicFramePr/>
            <a:graphic xmlns:a="http://schemas.openxmlformats.org/drawingml/2006/main">
              <a:graphicData uri="http://schemas.openxmlformats.org/drawingml/2006/picture">
                <pic:pic xmlns:pic="http://schemas.openxmlformats.org/drawingml/2006/picture">
                  <pic:nvPicPr>
                    <pic:cNvPr id="0" name="image3.png" descr="UNEMI – Universidad Estatal de Milagro"/>
                    <pic:cNvPicPr preferRelativeResize="0"/>
                  </pic:nvPicPr>
                  <pic:blipFill>
                    <a:blip r:embed="rId8"/>
                    <a:srcRect/>
                    <a:stretch>
                      <a:fillRect/>
                    </a:stretch>
                  </pic:blipFill>
                  <pic:spPr>
                    <a:xfrm>
                      <a:off x="0" y="0"/>
                      <a:ext cx="2730500" cy="1155700"/>
                    </a:xfrm>
                    <a:prstGeom prst="rect">
                      <a:avLst/>
                    </a:prstGeom>
                    <a:ln/>
                  </pic:spPr>
                </pic:pic>
              </a:graphicData>
            </a:graphic>
            <wp14:sizeRelH relativeFrom="margin">
              <wp14:pctWidth>0</wp14:pctWidth>
            </wp14:sizeRelH>
            <wp14:sizeRelV relativeFrom="margin">
              <wp14:pctHeight>0</wp14:pctHeight>
            </wp14:sizeRelV>
          </wp:anchor>
        </w:drawing>
      </w:r>
      <w:r w:rsidRPr="00402649">
        <w:rPr>
          <w:rFonts w:ascii="Times New Roman" w:hAnsi="Times New Roman" w:cs="Times New Roman"/>
          <w:sz w:val="24"/>
          <w:szCs w:val="24"/>
        </w:rPr>
        <w:br/>
      </w:r>
    </w:p>
    <w:p w14:paraId="304541A2" w14:textId="77777777" w:rsidR="003252F3" w:rsidRPr="00402649" w:rsidRDefault="003252F3" w:rsidP="003252F3">
      <w:pPr>
        <w:jc w:val="center"/>
        <w:rPr>
          <w:rFonts w:ascii="Times New Roman" w:hAnsi="Times New Roman" w:cs="Times New Roman"/>
          <w:b/>
          <w:bCs/>
          <w:sz w:val="24"/>
          <w:szCs w:val="24"/>
        </w:rPr>
      </w:pPr>
    </w:p>
    <w:p w14:paraId="6BF3BF43" w14:textId="77777777" w:rsidR="003252F3" w:rsidRPr="00402649" w:rsidRDefault="003252F3" w:rsidP="003252F3">
      <w:pPr>
        <w:jc w:val="center"/>
        <w:rPr>
          <w:rFonts w:ascii="Times New Roman" w:hAnsi="Times New Roman" w:cs="Times New Roman"/>
          <w:b/>
          <w:bCs/>
          <w:sz w:val="24"/>
          <w:szCs w:val="24"/>
        </w:rPr>
      </w:pPr>
    </w:p>
    <w:p w14:paraId="00FD5E43" w14:textId="77777777" w:rsidR="003252F3" w:rsidRPr="00402649" w:rsidRDefault="003252F3" w:rsidP="003252F3">
      <w:pPr>
        <w:jc w:val="center"/>
        <w:rPr>
          <w:rFonts w:ascii="Times New Roman" w:hAnsi="Times New Roman" w:cs="Times New Roman"/>
          <w:b/>
          <w:bCs/>
          <w:sz w:val="24"/>
          <w:szCs w:val="24"/>
        </w:rPr>
      </w:pPr>
    </w:p>
    <w:p w14:paraId="1315D9A1" w14:textId="77777777" w:rsidR="003252F3" w:rsidRPr="00402649" w:rsidRDefault="003252F3" w:rsidP="003252F3">
      <w:pPr>
        <w:jc w:val="center"/>
        <w:rPr>
          <w:rFonts w:ascii="Times New Roman" w:hAnsi="Times New Roman" w:cs="Times New Roman"/>
          <w:b/>
          <w:bCs/>
          <w:sz w:val="24"/>
          <w:szCs w:val="24"/>
        </w:rPr>
      </w:pPr>
    </w:p>
    <w:p w14:paraId="484AAC30" w14:textId="77777777" w:rsidR="003252F3" w:rsidRPr="00402649" w:rsidRDefault="003252F3" w:rsidP="003252F3">
      <w:pPr>
        <w:jc w:val="center"/>
        <w:rPr>
          <w:rFonts w:ascii="Times New Roman" w:hAnsi="Times New Roman" w:cs="Times New Roman"/>
          <w:b/>
          <w:bCs/>
          <w:sz w:val="24"/>
          <w:szCs w:val="24"/>
        </w:rPr>
      </w:pPr>
      <w:r w:rsidRPr="00402649">
        <w:rPr>
          <w:rFonts w:ascii="Times New Roman" w:hAnsi="Times New Roman" w:cs="Times New Roman"/>
          <w:b/>
          <w:bCs/>
          <w:sz w:val="24"/>
          <w:szCs w:val="24"/>
        </w:rPr>
        <w:t xml:space="preserve">REPÚBLICA DEL ECUADOR </w:t>
      </w:r>
    </w:p>
    <w:p w14:paraId="73BC8357" w14:textId="77777777" w:rsidR="003252F3" w:rsidRPr="00402649" w:rsidRDefault="003252F3" w:rsidP="003252F3">
      <w:pPr>
        <w:jc w:val="center"/>
        <w:rPr>
          <w:rFonts w:ascii="Times New Roman" w:hAnsi="Times New Roman" w:cs="Times New Roman"/>
          <w:sz w:val="24"/>
          <w:szCs w:val="24"/>
        </w:rPr>
      </w:pPr>
      <w:r w:rsidRPr="00402649">
        <w:rPr>
          <w:rFonts w:ascii="Times New Roman" w:hAnsi="Times New Roman" w:cs="Times New Roman"/>
          <w:b/>
          <w:bCs/>
          <w:sz w:val="24"/>
          <w:szCs w:val="24"/>
        </w:rPr>
        <w:t>UNIVERSIDAD ESTATAL DE MILAGRO</w:t>
      </w:r>
    </w:p>
    <w:p w14:paraId="2207974B" w14:textId="77777777" w:rsidR="003252F3" w:rsidRPr="00402649" w:rsidRDefault="003252F3" w:rsidP="003252F3">
      <w:pPr>
        <w:jc w:val="center"/>
        <w:rPr>
          <w:rFonts w:ascii="Times New Roman" w:hAnsi="Times New Roman" w:cs="Times New Roman"/>
          <w:sz w:val="24"/>
          <w:szCs w:val="24"/>
        </w:rPr>
      </w:pPr>
    </w:p>
    <w:p w14:paraId="000D1A4B" w14:textId="7AF6491E" w:rsidR="003252F3" w:rsidRPr="00402649" w:rsidRDefault="003252F3" w:rsidP="00402649">
      <w:pPr>
        <w:jc w:val="center"/>
        <w:rPr>
          <w:rFonts w:ascii="Times New Roman" w:hAnsi="Times New Roman" w:cs="Times New Roman"/>
          <w:sz w:val="24"/>
          <w:szCs w:val="24"/>
        </w:rPr>
      </w:pPr>
      <w:r w:rsidRPr="00402649">
        <w:rPr>
          <w:rFonts w:ascii="Times New Roman" w:hAnsi="Times New Roman" w:cs="Times New Roman"/>
          <w:b/>
          <w:bCs/>
          <w:sz w:val="24"/>
          <w:szCs w:val="24"/>
        </w:rPr>
        <w:t>VICERRECTORADO DE INVESTIGACIÓN Y POSGRADO</w:t>
      </w:r>
      <w:r w:rsidRPr="00402649">
        <w:rPr>
          <w:rFonts w:ascii="Times New Roman" w:hAnsi="Times New Roman" w:cs="Times New Roman"/>
          <w:sz w:val="24"/>
          <w:szCs w:val="24"/>
        </w:rPr>
        <w:br/>
      </w:r>
    </w:p>
    <w:p w14:paraId="19D708D6" w14:textId="556004A0" w:rsidR="003252F3" w:rsidRPr="00402649" w:rsidRDefault="009E6B1E" w:rsidP="00402649">
      <w:pPr>
        <w:jc w:val="center"/>
        <w:rPr>
          <w:rFonts w:ascii="Times New Roman" w:hAnsi="Times New Roman" w:cs="Times New Roman"/>
          <w:b/>
          <w:bCs/>
          <w:sz w:val="24"/>
          <w:szCs w:val="24"/>
        </w:rPr>
      </w:pPr>
      <w:r w:rsidRPr="00402649">
        <w:rPr>
          <w:rFonts w:ascii="Times New Roman" w:hAnsi="Times New Roman" w:cs="Times New Roman"/>
          <w:b/>
          <w:bCs/>
          <w:sz w:val="24"/>
          <w:szCs w:val="24"/>
        </w:rPr>
        <w:t>FACULTAD</w:t>
      </w:r>
      <w:r w:rsidR="003252F3" w:rsidRPr="00402649">
        <w:rPr>
          <w:rFonts w:ascii="Times New Roman" w:hAnsi="Times New Roman" w:cs="Times New Roman"/>
          <w:b/>
          <w:bCs/>
          <w:sz w:val="24"/>
          <w:szCs w:val="24"/>
        </w:rPr>
        <w:t xml:space="preserve"> DE POSGRADOS</w:t>
      </w:r>
    </w:p>
    <w:p w14:paraId="697AB52D" w14:textId="77777777" w:rsidR="003252F3" w:rsidRPr="00402649" w:rsidRDefault="003252F3" w:rsidP="003252F3">
      <w:pPr>
        <w:jc w:val="center"/>
        <w:rPr>
          <w:rFonts w:ascii="Times New Roman" w:hAnsi="Times New Roman" w:cs="Times New Roman"/>
          <w:sz w:val="24"/>
          <w:szCs w:val="24"/>
        </w:rPr>
      </w:pPr>
      <w:r w:rsidRPr="00402649">
        <w:rPr>
          <w:rFonts w:ascii="Times New Roman" w:hAnsi="Times New Roman" w:cs="Times New Roman"/>
          <w:b/>
          <w:bCs/>
          <w:sz w:val="24"/>
          <w:szCs w:val="24"/>
        </w:rPr>
        <w:t>ENSAYO ACADÉMICO</w:t>
      </w:r>
    </w:p>
    <w:p w14:paraId="23857947" w14:textId="77777777" w:rsidR="003252F3" w:rsidRPr="00402649" w:rsidRDefault="003252F3" w:rsidP="003252F3">
      <w:pPr>
        <w:jc w:val="center"/>
        <w:rPr>
          <w:rFonts w:ascii="Times New Roman" w:hAnsi="Times New Roman" w:cs="Times New Roman"/>
          <w:sz w:val="24"/>
          <w:szCs w:val="24"/>
        </w:rPr>
      </w:pPr>
    </w:p>
    <w:p w14:paraId="528A58B5" w14:textId="77777777" w:rsidR="003252F3" w:rsidRPr="00402649" w:rsidRDefault="003252F3" w:rsidP="003252F3">
      <w:pPr>
        <w:jc w:val="center"/>
        <w:rPr>
          <w:rFonts w:ascii="Times New Roman" w:hAnsi="Times New Roman" w:cs="Times New Roman"/>
          <w:sz w:val="24"/>
          <w:szCs w:val="24"/>
        </w:rPr>
      </w:pPr>
      <w:r w:rsidRPr="00402649">
        <w:rPr>
          <w:rFonts w:ascii="Times New Roman" w:hAnsi="Times New Roman" w:cs="Times New Roman"/>
          <w:b/>
          <w:bCs/>
          <w:sz w:val="24"/>
          <w:szCs w:val="24"/>
        </w:rPr>
        <w:t>COMPONENTE PRÁCTICO DEL EXAMEN COMPLEXIVO PREVIO A LA OBTENCIÓN DEL GRADO DE:</w:t>
      </w:r>
    </w:p>
    <w:p w14:paraId="2079EF46" w14:textId="77777777" w:rsidR="003252F3" w:rsidRPr="00402649" w:rsidRDefault="003252F3" w:rsidP="003252F3">
      <w:pPr>
        <w:jc w:val="center"/>
        <w:rPr>
          <w:rFonts w:ascii="Times New Roman" w:hAnsi="Times New Roman" w:cs="Times New Roman"/>
          <w:sz w:val="24"/>
          <w:szCs w:val="24"/>
        </w:rPr>
      </w:pPr>
    </w:p>
    <w:p w14:paraId="00DD09E7" w14:textId="28DDF575" w:rsidR="003252F3" w:rsidRPr="00402649" w:rsidRDefault="003252F3" w:rsidP="003252F3">
      <w:pPr>
        <w:jc w:val="center"/>
        <w:rPr>
          <w:rFonts w:ascii="Times New Roman" w:hAnsi="Times New Roman" w:cs="Times New Roman"/>
          <w:sz w:val="24"/>
          <w:szCs w:val="24"/>
        </w:rPr>
      </w:pPr>
      <w:r w:rsidRPr="00402649">
        <w:rPr>
          <w:rFonts w:ascii="Times New Roman" w:hAnsi="Times New Roman" w:cs="Times New Roman"/>
          <w:b/>
          <w:bCs/>
          <w:sz w:val="24"/>
          <w:szCs w:val="24"/>
        </w:rPr>
        <w:t xml:space="preserve">MAGÍSTER EN </w:t>
      </w:r>
      <w:r w:rsidR="00402649" w:rsidRPr="00402649">
        <w:rPr>
          <w:rFonts w:ascii="Times New Roman" w:hAnsi="Times New Roman" w:cs="Times New Roman"/>
          <w:b/>
          <w:bCs/>
          <w:sz w:val="24"/>
          <w:szCs w:val="24"/>
        </w:rPr>
        <w:t>FINANZAS CON MENCIÓN EN GESTIÓN BANCARIA</w:t>
      </w:r>
    </w:p>
    <w:p w14:paraId="3AD1A29C" w14:textId="77777777" w:rsidR="003252F3" w:rsidRPr="00402649" w:rsidRDefault="003252F3" w:rsidP="003252F3">
      <w:pPr>
        <w:jc w:val="center"/>
        <w:rPr>
          <w:rFonts w:ascii="Times New Roman" w:hAnsi="Times New Roman" w:cs="Times New Roman"/>
          <w:sz w:val="24"/>
          <w:szCs w:val="24"/>
        </w:rPr>
      </w:pPr>
    </w:p>
    <w:p w14:paraId="1757FD49" w14:textId="4607B265" w:rsidR="003252F3" w:rsidRPr="00402649" w:rsidRDefault="003252F3" w:rsidP="003252F3">
      <w:pPr>
        <w:jc w:val="center"/>
        <w:rPr>
          <w:rFonts w:ascii="Times New Roman" w:hAnsi="Times New Roman" w:cs="Times New Roman"/>
          <w:sz w:val="24"/>
          <w:szCs w:val="24"/>
        </w:rPr>
      </w:pPr>
      <w:r w:rsidRPr="00402649">
        <w:rPr>
          <w:rFonts w:ascii="Times New Roman" w:hAnsi="Times New Roman" w:cs="Times New Roman"/>
          <w:b/>
          <w:bCs/>
          <w:sz w:val="24"/>
          <w:szCs w:val="24"/>
        </w:rPr>
        <w:t>TEMA:</w:t>
      </w:r>
      <w:r w:rsidR="00402649" w:rsidRPr="00402649">
        <w:rPr>
          <w:rFonts w:ascii="Times New Roman" w:hAnsi="Times New Roman" w:cs="Times New Roman"/>
          <w:b/>
          <w:bCs/>
          <w:sz w:val="24"/>
          <w:szCs w:val="24"/>
        </w:rPr>
        <w:t xml:space="preserve"> </w:t>
      </w:r>
      <w:r w:rsidR="00402649" w:rsidRPr="00402649">
        <w:rPr>
          <w:rFonts w:ascii="Times New Roman" w:hAnsi="Times New Roman" w:cs="Times New Roman"/>
          <w:sz w:val="24"/>
          <w:szCs w:val="24"/>
        </w:rPr>
        <w:t>Modelo de negocio versus entorno regulatorio: El retro estratégico y ético de Uber y Cabify en los mercados Latinoamericanos.</w:t>
      </w:r>
      <w:r w:rsidRPr="00402649">
        <w:rPr>
          <w:rFonts w:ascii="Times New Roman" w:hAnsi="Times New Roman" w:cs="Times New Roman"/>
          <w:sz w:val="24"/>
          <w:szCs w:val="24"/>
        </w:rPr>
        <w:t xml:space="preserve"> </w:t>
      </w:r>
    </w:p>
    <w:p w14:paraId="259CAAD2" w14:textId="77777777" w:rsidR="007C22CB" w:rsidRPr="00402649" w:rsidRDefault="007C22CB" w:rsidP="003252F3">
      <w:pPr>
        <w:jc w:val="center"/>
        <w:rPr>
          <w:rFonts w:ascii="Times New Roman" w:hAnsi="Times New Roman" w:cs="Times New Roman"/>
          <w:b/>
          <w:bCs/>
          <w:sz w:val="24"/>
          <w:szCs w:val="24"/>
        </w:rPr>
      </w:pPr>
    </w:p>
    <w:p w14:paraId="0651F0D7" w14:textId="1DA5A295" w:rsidR="003252F3" w:rsidRPr="00402649" w:rsidRDefault="003252F3" w:rsidP="003252F3">
      <w:pPr>
        <w:jc w:val="center"/>
        <w:rPr>
          <w:rFonts w:ascii="Times New Roman" w:hAnsi="Times New Roman" w:cs="Times New Roman"/>
          <w:b/>
          <w:bCs/>
          <w:sz w:val="24"/>
          <w:szCs w:val="24"/>
        </w:rPr>
      </w:pPr>
      <w:r w:rsidRPr="00402649">
        <w:rPr>
          <w:rFonts w:ascii="Times New Roman" w:hAnsi="Times New Roman" w:cs="Times New Roman"/>
          <w:b/>
          <w:bCs/>
          <w:sz w:val="24"/>
          <w:szCs w:val="24"/>
        </w:rPr>
        <w:t>Autor</w:t>
      </w:r>
      <w:r w:rsidR="00402649" w:rsidRPr="00402649">
        <w:rPr>
          <w:rFonts w:ascii="Times New Roman" w:hAnsi="Times New Roman" w:cs="Times New Roman"/>
          <w:b/>
          <w:bCs/>
          <w:sz w:val="24"/>
          <w:szCs w:val="24"/>
        </w:rPr>
        <w:t>es</w:t>
      </w:r>
      <w:r w:rsidRPr="00402649">
        <w:rPr>
          <w:rFonts w:ascii="Times New Roman" w:hAnsi="Times New Roman" w:cs="Times New Roman"/>
          <w:sz w:val="24"/>
          <w:szCs w:val="24"/>
        </w:rPr>
        <w:t xml:space="preserve">: </w:t>
      </w:r>
    </w:p>
    <w:p w14:paraId="765AF515" w14:textId="38147BA9" w:rsidR="00402649" w:rsidRPr="00402649" w:rsidRDefault="00402649" w:rsidP="003252F3">
      <w:pPr>
        <w:jc w:val="center"/>
        <w:rPr>
          <w:rFonts w:ascii="Times New Roman" w:hAnsi="Times New Roman" w:cs="Times New Roman"/>
          <w:sz w:val="24"/>
          <w:szCs w:val="24"/>
        </w:rPr>
      </w:pPr>
      <w:r w:rsidRPr="00402649">
        <w:rPr>
          <w:rFonts w:ascii="Times New Roman" w:hAnsi="Times New Roman" w:cs="Times New Roman"/>
          <w:sz w:val="24"/>
          <w:szCs w:val="24"/>
        </w:rPr>
        <w:t>Christian Andrés Torres González</w:t>
      </w:r>
    </w:p>
    <w:p w14:paraId="04D8C3D0" w14:textId="6A0ECD2E" w:rsidR="00402649" w:rsidRPr="00402649" w:rsidRDefault="00402649" w:rsidP="003252F3">
      <w:pPr>
        <w:jc w:val="center"/>
        <w:rPr>
          <w:rFonts w:ascii="Times New Roman" w:hAnsi="Times New Roman" w:cs="Times New Roman"/>
          <w:sz w:val="24"/>
          <w:szCs w:val="24"/>
        </w:rPr>
      </w:pPr>
      <w:r w:rsidRPr="00402649">
        <w:rPr>
          <w:rFonts w:ascii="Times New Roman" w:hAnsi="Times New Roman" w:cs="Times New Roman"/>
          <w:sz w:val="24"/>
          <w:szCs w:val="24"/>
        </w:rPr>
        <w:t>Carlos Israel Jaramillo Jiménez</w:t>
      </w:r>
    </w:p>
    <w:p w14:paraId="5B2AA400" w14:textId="77777777" w:rsidR="00402649" w:rsidRPr="00402649" w:rsidRDefault="00402649" w:rsidP="003252F3">
      <w:pPr>
        <w:jc w:val="center"/>
        <w:rPr>
          <w:rFonts w:ascii="Times New Roman" w:hAnsi="Times New Roman" w:cs="Times New Roman"/>
          <w:sz w:val="24"/>
          <w:szCs w:val="24"/>
        </w:rPr>
      </w:pPr>
    </w:p>
    <w:p w14:paraId="10912493" w14:textId="5F9E4A5C" w:rsidR="007C22CB" w:rsidRDefault="007C22CB" w:rsidP="003252F3">
      <w:pPr>
        <w:jc w:val="center"/>
        <w:rPr>
          <w:rFonts w:ascii="Times New Roman" w:hAnsi="Times New Roman" w:cs="Times New Roman"/>
          <w:b/>
          <w:bCs/>
          <w:sz w:val="24"/>
          <w:szCs w:val="24"/>
        </w:rPr>
      </w:pPr>
    </w:p>
    <w:p w14:paraId="56979C43" w14:textId="77777777" w:rsidR="00402649" w:rsidRPr="00402649" w:rsidRDefault="00402649" w:rsidP="003252F3">
      <w:pPr>
        <w:jc w:val="center"/>
        <w:rPr>
          <w:rFonts w:ascii="Times New Roman" w:hAnsi="Times New Roman" w:cs="Times New Roman"/>
          <w:b/>
          <w:bCs/>
          <w:sz w:val="24"/>
          <w:szCs w:val="24"/>
        </w:rPr>
      </w:pPr>
    </w:p>
    <w:p w14:paraId="4A23C5D8" w14:textId="77777777" w:rsidR="003252F3" w:rsidRPr="00402649" w:rsidRDefault="003252F3" w:rsidP="003252F3">
      <w:pPr>
        <w:jc w:val="center"/>
        <w:rPr>
          <w:rFonts w:ascii="Times New Roman" w:hAnsi="Times New Roman" w:cs="Times New Roman"/>
          <w:sz w:val="24"/>
          <w:szCs w:val="24"/>
        </w:rPr>
      </w:pPr>
    </w:p>
    <w:p w14:paraId="482946B8" w14:textId="2A9CA1EA" w:rsidR="003252F3" w:rsidRPr="00402649" w:rsidRDefault="003252F3" w:rsidP="00402649">
      <w:pPr>
        <w:jc w:val="center"/>
        <w:rPr>
          <w:rFonts w:ascii="Times New Roman" w:hAnsi="Times New Roman" w:cs="Times New Roman"/>
          <w:sz w:val="24"/>
          <w:szCs w:val="24"/>
        </w:rPr>
      </w:pPr>
      <w:r w:rsidRPr="00402649">
        <w:rPr>
          <w:rFonts w:ascii="Times New Roman" w:hAnsi="Times New Roman" w:cs="Times New Roman"/>
          <w:i/>
          <w:iCs/>
          <w:sz w:val="24"/>
          <w:szCs w:val="24"/>
        </w:rPr>
        <w:t xml:space="preserve">Milagro, </w:t>
      </w:r>
      <w:r w:rsidR="00402649" w:rsidRPr="00402649">
        <w:rPr>
          <w:rFonts w:ascii="Times New Roman" w:hAnsi="Times New Roman" w:cs="Times New Roman"/>
          <w:sz w:val="24"/>
          <w:szCs w:val="24"/>
        </w:rPr>
        <w:t>2026</w:t>
      </w:r>
      <w:r w:rsidRPr="00402649">
        <w:rPr>
          <w:rFonts w:ascii="Times New Roman" w:hAnsi="Times New Roman" w:cs="Times New Roman"/>
          <w:sz w:val="24"/>
          <w:szCs w:val="24"/>
        </w:rPr>
        <w:br/>
      </w:r>
    </w:p>
    <w:p w14:paraId="54337A66" w14:textId="364E9A29" w:rsidR="003252F3" w:rsidRPr="0020558B" w:rsidRDefault="003252F3" w:rsidP="0020558B">
      <w:pPr>
        <w:spacing w:line="360" w:lineRule="auto"/>
        <w:rPr>
          <w:rFonts w:ascii="Times New Roman" w:hAnsi="Times New Roman" w:cs="Times New Roman"/>
          <w:b/>
          <w:sz w:val="24"/>
          <w:szCs w:val="24"/>
        </w:rPr>
      </w:pPr>
      <w:r w:rsidRPr="0020558B">
        <w:rPr>
          <w:rFonts w:ascii="Times New Roman" w:hAnsi="Times New Roman" w:cs="Times New Roman"/>
          <w:b/>
          <w:sz w:val="24"/>
          <w:szCs w:val="24"/>
        </w:rPr>
        <w:lastRenderedPageBreak/>
        <w:t>DERECHOS DE AUTOR</w:t>
      </w:r>
    </w:p>
    <w:p w14:paraId="55EB8CDF" w14:textId="77777777" w:rsidR="003252F3" w:rsidRPr="0020558B" w:rsidRDefault="003252F3" w:rsidP="0020558B">
      <w:pPr>
        <w:spacing w:line="360" w:lineRule="auto"/>
        <w:jc w:val="both"/>
        <w:rPr>
          <w:rFonts w:ascii="Times New Roman" w:hAnsi="Times New Roman" w:cs="Times New Roman"/>
          <w:sz w:val="24"/>
          <w:szCs w:val="24"/>
        </w:rPr>
      </w:pPr>
      <w:r w:rsidRPr="0020558B">
        <w:rPr>
          <w:rFonts w:ascii="Times New Roman" w:hAnsi="Times New Roman" w:cs="Times New Roman"/>
          <w:b/>
          <w:bCs/>
          <w:sz w:val="24"/>
          <w:szCs w:val="24"/>
        </w:rPr>
        <w:t>Sr. Dr.</w:t>
      </w:r>
    </w:p>
    <w:p w14:paraId="48881D7B" w14:textId="77777777" w:rsidR="003252F3" w:rsidRPr="0020558B" w:rsidRDefault="003252F3" w:rsidP="0020558B">
      <w:pPr>
        <w:spacing w:line="360" w:lineRule="auto"/>
        <w:jc w:val="both"/>
        <w:rPr>
          <w:rFonts w:ascii="Times New Roman" w:hAnsi="Times New Roman" w:cs="Times New Roman"/>
          <w:sz w:val="24"/>
          <w:szCs w:val="24"/>
        </w:rPr>
      </w:pPr>
      <w:r w:rsidRPr="0020558B">
        <w:rPr>
          <w:rFonts w:ascii="Times New Roman" w:hAnsi="Times New Roman" w:cs="Times New Roman"/>
          <w:b/>
          <w:bCs/>
          <w:sz w:val="24"/>
          <w:szCs w:val="24"/>
        </w:rPr>
        <w:t>Fabricio Guevara Viejó</w:t>
      </w:r>
    </w:p>
    <w:p w14:paraId="2B3CACF6" w14:textId="007CDB15" w:rsidR="003252F3" w:rsidRPr="0020558B" w:rsidRDefault="007C22CB" w:rsidP="0020558B">
      <w:pPr>
        <w:spacing w:line="360" w:lineRule="auto"/>
        <w:jc w:val="both"/>
        <w:rPr>
          <w:rFonts w:ascii="Times New Roman" w:hAnsi="Times New Roman" w:cs="Times New Roman"/>
          <w:sz w:val="24"/>
          <w:szCs w:val="24"/>
        </w:rPr>
      </w:pPr>
      <w:r w:rsidRPr="0020558B">
        <w:rPr>
          <w:rFonts w:ascii="Times New Roman" w:hAnsi="Times New Roman" w:cs="Times New Roman"/>
          <w:sz w:val="24"/>
          <w:szCs w:val="24"/>
        </w:rPr>
        <w:t xml:space="preserve">Rector de la Universidad Estatal de </w:t>
      </w:r>
      <w:r w:rsidR="003252F3" w:rsidRPr="0020558B">
        <w:rPr>
          <w:rFonts w:ascii="Times New Roman" w:hAnsi="Times New Roman" w:cs="Times New Roman"/>
          <w:sz w:val="24"/>
          <w:szCs w:val="24"/>
        </w:rPr>
        <w:t>Milagro</w:t>
      </w:r>
    </w:p>
    <w:p w14:paraId="51C416BC" w14:textId="77777777" w:rsidR="003252F3" w:rsidRPr="0020558B" w:rsidRDefault="003252F3" w:rsidP="0020558B">
      <w:pPr>
        <w:spacing w:line="360" w:lineRule="auto"/>
        <w:jc w:val="both"/>
        <w:rPr>
          <w:rFonts w:ascii="Times New Roman" w:hAnsi="Times New Roman" w:cs="Times New Roman"/>
          <w:sz w:val="24"/>
          <w:szCs w:val="24"/>
        </w:rPr>
      </w:pPr>
      <w:r w:rsidRPr="0020558B">
        <w:rPr>
          <w:rFonts w:ascii="Times New Roman" w:hAnsi="Times New Roman" w:cs="Times New Roman"/>
          <w:sz w:val="24"/>
          <w:szCs w:val="24"/>
        </w:rPr>
        <w:t>Presente.</w:t>
      </w:r>
    </w:p>
    <w:p w14:paraId="6FB4B408" w14:textId="2AF61B18" w:rsidR="003252F3" w:rsidRPr="0020558B" w:rsidRDefault="003252F3" w:rsidP="0020558B">
      <w:pPr>
        <w:spacing w:line="360" w:lineRule="auto"/>
        <w:jc w:val="both"/>
        <w:rPr>
          <w:rFonts w:ascii="Times New Roman" w:hAnsi="Times New Roman" w:cs="Times New Roman"/>
          <w:sz w:val="24"/>
          <w:szCs w:val="24"/>
        </w:rPr>
      </w:pPr>
      <w:r w:rsidRPr="0020558B">
        <w:rPr>
          <w:rFonts w:ascii="Times New Roman" w:hAnsi="Times New Roman" w:cs="Times New Roman"/>
          <w:sz w:val="24"/>
          <w:szCs w:val="24"/>
        </w:rPr>
        <w:t xml:space="preserve">Yo, </w:t>
      </w:r>
      <w:r w:rsidR="00402649" w:rsidRPr="0020558B">
        <w:rPr>
          <w:rFonts w:ascii="Times New Roman" w:hAnsi="Times New Roman" w:cs="Times New Roman"/>
          <w:b/>
          <w:bCs/>
          <w:sz w:val="24"/>
          <w:szCs w:val="24"/>
        </w:rPr>
        <w:t>Christian Andrés Torres González</w:t>
      </w:r>
      <w:r w:rsidRPr="0020558B">
        <w:rPr>
          <w:rFonts w:ascii="Times New Roman" w:hAnsi="Times New Roman" w:cs="Times New Roman"/>
          <w:b/>
          <w:bCs/>
          <w:sz w:val="24"/>
          <w:szCs w:val="24"/>
        </w:rPr>
        <w:t xml:space="preserve"> </w:t>
      </w:r>
      <w:r w:rsidRPr="0020558B">
        <w:rPr>
          <w:rFonts w:ascii="Times New Roman" w:hAnsi="Times New Roman" w:cs="Times New Roman"/>
          <w:sz w:val="24"/>
          <w:szCs w:val="24"/>
        </w:rPr>
        <w:t xml:space="preserve">en calidad de autor y titular de los derechos   morales y patrimoniales   de este ensayo académico, mediante el presente documento, libre y voluntariamente cedo los derechos de Autor, que fue realizada como requisito previo para la obtención de mi Grado, de </w:t>
      </w:r>
      <w:r w:rsidRPr="0020558B">
        <w:rPr>
          <w:rFonts w:ascii="Times New Roman" w:hAnsi="Times New Roman" w:cs="Times New Roman"/>
          <w:b/>
          <w:bCs/>
          <w:sz w:val="24"/>
          <w:szCs w:val="24"/>
        </w:rPr>
        <w:t>Magíster en</w:t>
      </w:r>
      <w:r w:rsidR="00402649" w:rsidRPr="0020558B">
        <w:rPr>
          <w:rFonts w:ascii="Times New Roman" w:hAnsi="Times New Roman" w:cs="Times New Roman"/>
          <w:b/>
          <w:bCs/>
          <w:sz w:val="24"/>
          <w:szCs w:val="24"/>
        </w:rPr>
        <w:t xml:space="preserve"> finanzas con mención en gestión bancaria</w:t>
      </w:r>
      <w:r w:rsidRPr="0020558B">
        <w:rPr>
          <w:rFonts w:ascii="Times New Roman" w:hAnsi="Times New Roman" w:cs="Times New Roman"/>
          <w:sz w:val="24"/>
          <w:szCs w:val="24"/>
        </w:rPr>
        <w:t xml:space="preserve">, como aporte a la Línea de Investigación </w:t>
      </w:r>
      <w:r w:rsidRPr="0020558B">
        <w:rPr>
          <w:rFonts w:ascii="Times New Roman" w:hAnsi="Times New Roman" w:cs="Times New Roman"/>
          <w:b/>
          <w:bCs/>
          <w:sz w:val="24"/>
          <w:szCs w:val="24"/>
        </w:rPr>
        <w:t xml:space="preserve">[línea de investigación] </w:t>
      </w:r>
      <w:r w:rsidRPr="0020558B">
        <w:rPr>
          <w:rFonts w:ascii="Times New Roman" w:hAnsi="Times New Roman" w:cs="Times New Roman"/>
          <w:sz w:val="24"/>
          <w:szCs w:val="24"/>
        </w:rPr>
        <w:t>de conformidad con el Art. 114 del Código Orgánico de la Economía Social de los Conocimientos, Creatividad e Innovación, concedo a favor de la Universidad Estatal de Milagro una licencia gratuita, intransferible y no exclusiva para el uso no comercial de la obra, con fines estrictamente académicos. Conservo a mi favor todos los derechos de autor sobre la obra, establecidos en la normativa citada.</w:t>
      </w:r>
    </w:p>
    <w:p w14:paraId="747CBFBF" w14:textId="3E7A3B30" w:rsidR="003252F3" w:rsidRPr="0020558B" w:rsidRDefault="003252F3" w:rsidP="0020558B">
      <w:pPr>
        <w:spacing w:line="360" w:lineRule="auto"/>
        <w:jc w:val="both"/>
        <w:rPr>
          <w:rFonts w:ascii="Times New Roman" w:hAnsi="Times New Roman" w:cs="Times New Roman"/>
          <w:sz w:val="24"/>
          <w:szCs w:val="24"/>
        </w:rPr>
      </w:pPr>
      <w:r w:rsidRPr="0020558B">
        <w:rPr>
          <w:rFonts w:ascii="Times New Roman" w:hAnsi="Times New Roman" w:cs="Times New Roman"/>
          <w:sz w:val="24"/>
          <w:szCs w:val="24"/>
        </w:rPr>
        <w:t>Así mismo, autorizo a la Universidad Estatal de Milagro para que realice la digitalización y publicación de este Ensayo académico en el repositorio virtual, de conformidad a lo dispuesto en el Art. 144 de la Ley Orgánica de Educación Superior.</w:t>
      </w:r>
    </w:p>
    <w:p w14:paraId="3552F4CE" w14:textId="50ED7358" w:rsidR="003252F3" w:rsidRPr="0020558B" w:rsidRDefault="003252F3" w:rsidP="0020558B">
      <w:pPr>
        <w:spacing w:line="360" w:lineRule="auto"/>
        <w:jc w:val="both"/>
        <w:rPr>
          <w:rFonts w:ascii="Times New Roman" w:hAnsi="Times New Roman" w:cs="Times New Roman"/>
          <w:sz w:val="24"/>
          <w:szCs w:val="24"/>
        </w:rPr>
      </w:pPr>
      <w:r w:rsidRPr="0020558B">
        <w:rPr>
          <w:rFonts w:ascii="Times New Roman" w:hAnsi="Times New Roman" w:cs="Times New Roman"/>
          <w:sz w:val="24"/>
          <w:szCs w:val="24"/>
        </w:rPr>
        <w:t>El autor declara que la obra objeto de la presente autorización es original en su forma de expresión y no infringe el derecho de autor de terceros, asumiendo la responsabilidad por cualquier reclamación que pudiera presentarse por esta causa y liberando a la Universidad de toda responsabilidad.</w:t>
      </w:r>
    </w:p>
    <w:p w14:paraId="20E5DBC7" w14:textId="767E5022" w:rsidR="003252F3" w:rsidRPr="0020558B" w:rsidRDefault="003252F3" w:rsidP="0020558B">
      <w:pPr>
        <w:spacing w:line="360" w:lineRule="auto"/>
        <w:jc w:val="right"/>
        <w:rPr>
          <w:rFonts w:ascii="Times New Roman" w:hAnsi="Times New Roman" w:cs="Times New Roman"/>
          <w:sz w:val="24"/>
          <w:szCs w:val="24"/>
        </w:rPr>
      </w:pPr>
      <w:r w:rsidRPr="0020558B">
        <w:rPr>
          <w:rFonts w:ascii="Times New Roman" w:hAnsi="Times New Roman" w:cs="Times New Roman"/>
          <w:sz w:val="24"/>
          <w:szCs w:val="24"/>
        </w:rPr>
        <w:t xml:space="preserve">Milagro, </w:t>
      </w:r>
      <w:r w:rsidR="0020558B" w:rsidRPr="0020558B">
        <w:rPr>
          <w:rFonts w:ascii="Times New Roman" w:hAnsi="Times New Roman" w:cs="Times New Roman"/>
          <w:sz w:val="24"/>
          <w:szCs w:val="24"/>
        </w:rPr>
        <w:t>junio 2026</w:t>
      </w:r>
    </w:p>
    <w:p w14:paraId="2D2D313E" w14:textId="727C2439" w:rsidR="003252F3" w:rsidRPr="0020558B" w:rsidRDefault="003252F3" w:rsidP="0020558B">
      <w:pPr>
        <w:spacing w:line="360" w:lineRule="auto"/>
        <w:jc w:val="both"/>
        <w:rPr>
          <w:rFonts w:ascii="Times New Roman" w:hAnsi="Times New Roman" w:cs="Times New Roman"/>
          <w:sz w:val="24"/>
          <w:szCs w:val="24"/>
        </w:rPr>
      </w:pPr>
    </w:p>
    <w:p w14:paraId="467ABE6C" w14:textId="77777777" w:rsidR="0020558B" w:rsidRPr="0020558B" w:rsidRDefault="0020558B" w:rsidP="0020558B">
      <w:pPr>
        <w:spacing w:line="360" w:lineRule="auto"/>
        <w:jc w:val="both"/>
        <w:rPr>
          <w:rFonts w:ascii="Times New Roman" w:hAnsi="Times New Roman" w:cs="Times New Roman"/>
          <w:b/>
          <w:bCs/>
          <w:sz w:val="24"/>
          <w:szCs w:val="24"/>
        </w:rPr>
      </w:pPr>
      <w:r w:rsidRPr="0020558B">
        <w:rPr>
          <w:rFonts w:ascii="Times New Roman" w:hAnsi="Times New Roman" w:cs="Times New Roman"/>
          <w:b/>
          <w:bCs/>
          <w:sz w:val="24"/>
          <w:szCs w:val="24"/>
        </w:rPr>
        <w:t>Christian Andrés Torres González</w:t>
      </w:r>
    </w:p>
    <w:p w14:paraId="39C6EA18" w14:textId="5499079A" w:rsidR="003252F3" w:rsidRDefault="0020558B" w:rsidP="0020558B">
      <w:pPr>
        <w:spacing w:line="360" w:lineRule="auto"/>
        <w:rPr>
          <w:rFonts w:ascii="Times New Roman" w:hAnsi="Times New Roman" w:cs="Times New Roman"/>
          <w:b/>
          <w:bCs/>
          <w:sz w:val="24"/>
          <w:szCs w:val="24"/>
        </w:rPr>
      </w:pPr>
      <w:r w:rsidRPr="0020558B">
        <w:rPr>
          <w:rFonts w:ascii="Times New Roman" w:hAnsi="Times New Roman" w:cs="Times New Roman"/>
          <w:b/>
          <w:bCs/>
          <w:sz w:val="24"/>
          <w:szCs w:val="24"/>
        </w:rPr>
        <w:t xml:space="preserve">          # ced. 0706225562</w:t>
      </w:r>
      <w:r w:rsidR="003252F3" w:rsidRPr="0020558B">
        <w:rPr>
          <w:rFonts w:ascii="Times New Roman" w:hAnsi="Times New Roman" w:cs="Times New Roman"/>
          <w:b/>
          <w:bCs/>
          <w:sz w:val="24"/>
          <w:szCs w:val="24"/>
        </w:rPr>
        <w:br/>
      </w:r>
    </w:p>
    <w:p w14:paraId="0DC58B85" w14:textId="77777777" w:rsidR="00766B8E" w:rsidRPr="0020558B" w:rsidRDefault="00766B8E" w:rsidP="0020558B">
      <w:pPr>
        <w:spacing w:line="360" w:lineRule="auto"/>
        <w:rPr>
          <w:rFonts w:ascii="Times New Roman" w:hAnsi="Times New Roman" w:cs="Times New Roman"/>
          <w:b/>
          <w:bCs/>
          <w:sz w:val="24"/>
          <w:szCs w:val="24"/>
        </w:rPr>
      </w:pPr>
    </w:p>
    <w:p w14:paraId="769B701D" w14:textId="77777777" w:rsidR="0020558B" w:rsidRPr="0020558B" w:rsidRDefault="0020558B" w:rsidP="0020558B">
      <w:pPr>
        <w:spacing w:line="360" w:lineRule="auto"/>
        <w:rPr>
          <w:rFonts w:ascii="Times New Roman" w:hAnsi="Times New Roman" w:cs="Times New Roman"/>
          <w:b/>
          <w:sz w:val="24"/>
          <w:szCs w:val="24"/>
        </w:rPr>
      </w:pPr>
      <w:r w:rsidRPr="0020558B">
        <w:rPr>
          <w:rFonts w:ascii="Times New Roman" w:hAnsi="Times New Roman" w:cs="Times New Roman"/>
          <w:b/>
          <w:sz w:val="24"/>
          <w:szCs w:val="24"/>
        </w:rPr>
        <w:lastRenderedPageBreak/>
        <w:t>DERECHOS DE AUTOR</w:t>
      </w:r>
    </w:p>
    <w:p w14:paraId="4428ED2A" w14:textId="77777777" w:rsidR="0020558B" w:rsidRPr="0020558B" w:rsidRDefault="0020558B" w:rsidP="0020558B">
      <w:pPr>
        <w:spacing w:line="360" w:lineRule="auto"/>
        <w:jc w:val="both"/>
        <w:rPr>
          <w:rFonts w:ascii="Times New Roman" w:hAnsi="Times New Roman" w:cs="Times New Roman"/>
          <w:sz w:val="24"/>
          <w:szCs w:val="24"/>
        </w:rPr>
      </w:pPr>
      <w:r w:rsidRPr="0020558B">
        <w:rPr>
          <w:rFonts w:ascii="Times New Roman" w:hAnsi="Times New Roman" w:cs="Times New Roman"/>
          <w:b/>
          <w:bCs/>
          <w:sz w:val="24"/>
          <w:szCs w:val="24"/>
        </w:rPr>
        <w:t>Sr. Dr.</w:t>
      </w:r>
    </w:p>
    <w:p w14:paraId="711F3BFF" w14:textId="77777777" w:rsidR="0020558B" w:rsidRPr="0020558B" w:rsidRDefault="0020558B" w:rsidP="0020558B">
      <w:pPr>
        <w:spacing w:line="360" w:lineRule="auto"/>
        <w:jc w:val="both"/>
        <w:rPr>
          <w:rFonts w:ascii="Times New Roman" w:hAnsi="Times New Roman" w:cs="Times New Roman"/>
          <w:sz w:val="24"/>
          <w:szCs w:val="24"/>
        </w:rPr>
      </w:pPr>
      <w:r w:rsidRPr="0020558B">
        <w:rPr>
          <w:rFonts w:ascii="Times New Roman" w:hAnsi="Times New Roman" w:cs="Times New Roman"/>
          <w:b/>
          <w:bCs/>
          <w:sz w:val="24"/>
          <w:szCs w:val="24"/>
        </w:rPr>
        <w:t xml:space="preserve">Fabricio Guevara </w:t>
      </w:r>
      <w:proofErr w:type="spellStart"/>
      <w:r w:rsidRPr="0020558B">
        <w:rPr>
          <w:rFonts w:ascii="Times New Roman" w:hAnsi="Times New Roman" w:cs="Times New Roman"/>
          <w:b/>
          <w:bCs/>
          <w:sz w:val="24"/>
          <w:szCs w:val="24"/>
        </w:rPr>
        <w:t>Viejó</w:t>
      </w:r>
      <w:proofErr w:type="spellEnd"/>
    </w:p>
    <w:p w14:paraId="564D9A60" w14:textId="77777777" w:rsidR="0020558B" w:rsidRPr="0020558B" w:rsidRDefault="0020558B" w:rsidP="0020558B">
      <w:pPr>
        <w:spacing w:line="360" w:lineRule="auto"/>
        <w:jc w:val="both"/>
        <w:rPr>
          <w:rFonts w:ascii="Times New Roman" w:hAnsi="Times New Roman" w:cs="Times New Roman"/>
          <w:sz w:val="24"/>
          <w:szCs w:val="24"/>
        </w:rPr>
      </w:pPr>
      <w:r w:rsidRPr="0020558B">
        <w:rPr>
          <w:rFonts w:ascii="Times New Roman" w:hAnsi="Times New Roman" w:cs="Times New Roman"/>
          <w:sz w:val="24"/>
          <w:szCs w:val="24"/>
        </w:rPr>
        <w:t>Rector de la Universidad Estatal de Milagro</w:t>
      </w:r>
    </w:p>
    <w:p w14:paraId="7A282EB6" w14:textId="77777777" w:rsidR="0020558B" w:rsidRPr="0020558B" w:rsidRDefault="0020558B" w:rsidP="0020558B">
      <w:pPr>
        <w:spacing w:line="360" w:lineRule="auto"/>
        <w:jc w:val="both"/>
        <w:rPr>
          <w:rFonts w:ascii="Times New Roman" w:hAnsi="Times New Roman" w:cs="Times New Roman"/>
          <w:sz w:val="24"/>
          <w:szCs w:val="24"/>
        </w:rPr>
      </w:pPr>
      <w:r w:rsidRPr="0020558B">
        <w:rPr>
          <w:rFonts w:ascii="Times New Roman" w:hAnsi="Times New Roman" w:cs="Times New Roman"/>
          <w:sz w:val="24"/>
          <w:szCs w:val="24"/>
        </w:rPr>
        <w:t>Presente.</w:t>
      </w:r>
    </w:p>
    <w:p w14:paraId="7294F426" w14:textId="3C46FEFB" w:rsidR="0020558B" w:rsidRPr="0020558B" w:rsidRDefault="0020558B" w:rsidP="0020558B">
      <w:pPr>
        <w:spacing w:line="360" w:lineRule="auto"/>
        <w:jc w:val="both"/>
        <w:rPr>
          <w:rFonts w:ascii="Times New Roman" w:hAnsi="Times New Roman" w:cs="Times New Roman"/>
          <w:sz w:val="24"/>
          <w:szCs w:val="24"/>
        </w:rPr>
      </w:pPr>
      <w:r w:rsidRPr="0020558B">
        <w:rPr>
          <w:rFonts w:ascii="Times New Roman" w:hAnsi="Times New Roman" w:cs="Times New Roman"/>
          <w:sz w:val="24"/>
          <w:szCs w:val="24"/>
        </w:rPr>
        <w:t xml:space="preserve">Yo, </w:t>
      </w:r>
      <w:r w:rsidRPr="0020558B">
        <w:rPr>
          <w:rFonts w:ascii="Times New Roman" w:hAnsi="Times New Roman" w:cs="Times New Roman"/>
          <w:b/>
          <w:bCs/>
          <w:sz w:val="24"/>
          <w:szCs w:val="24"/>
        </w:rPr>
        <w:t>C</w:t>
      </w:r>
      <w:r>
        <w:rPr>
          <w:rFonts w:ascii="Times New Roman" w:hAnsi="Times New Roman" w:cs="Times New Roman"/>
          <w:b/>
          <w:bCs/>
          <w:sz w:val="24"/>
          <w:szCs w:val="24"/>
        </w:rPr>
        <w:t xml:space="preserve">arlos Israel Jaramillo Jiménez </w:t>
      </w:r>
      <w:r w:rsidRPr="0020558B">
        <w:rPr>
          <w:rFonts w:ascii="Times New Roman" w:hAnsi="Times New Roman" w:cs="Times New Roman"/>
          <w:sz w:val="24"/>
          <w:szCs w:val="24"/>
        </w:rPr>
        <w:t xml:space="preserve">en calidad de autor y titular de los derechos   morales y patrimoniales   de este ensayo académico, mediante el presente documento, libre y voluntariamente cedo los derechos de Autor, que fue realizada como requisito previo para la obtención de mi Grado, de </w:t>
      </w:r>
      <w:r w:rsidRPr="0020558B">
        <w:rPr>
          <w:rFonts w:ascii="Times New Roman" w:hAnsi="Times New Roman" w:cs="Times New Roman"/>
          <w:b/>
          <w:bCs/>
          <w:sz w:val="24"/>
          <w:szCs w:val="24"/>
        </w:rPr>
        <w:t>Magíster en finanzas con mención en gestión bancaria</w:t>
      </w:r>
      <w:r w:rsidRPr="0020558B">
        <w:rPr>
          <w:rFonts w:ascii="Times New Roman" w:hAnsi="Times New Roman" w:cs="Times New Roman"/>
          <w:sz w:val="24"/>
          <w:szCs w:val="24"/>
        </w:rPr>
        <w:t xml:space="preserve">, como aporte a la Línea de Investigación </w:t>
      </w:r>
      <w:r w:rsidRPr="0020558B">
        <w:rPr>
          <w:rFonts w:ascii="Times New Roman" w:hAnsi="Times New Roman" w:cs="Times New Roman"/>
          <w:b/>
          <w:bCs/>
          <w:sz w:val="24"/>
          <w:szCs w:val="24"/>
        </w:rPr>
        <w:t xml:space="preserve">[línea de investigación] </w:t>
      </w:r>
      <w:r w:rsidRPr="0020558B">
        <w:rPr>
          <w:rFonts w:ascii="Times New Roman" w:hAnsi="Times New Roman" w:cs="Times New Roman"/>
          <w:sz w:val="24"/>
          <w:szCs w:val="24"/>
        </w:rPr>
        <w:t>de conformidad con el Art. 114 del Código Orgánico de la Economía Social de los Conocimientos, Creatividad e Innovación, concedo a favor de la Universidad Estatal de Milagro una licencia gratuita, intransferible y no exclusiva para el uso no comercial de la obra, con fines estrictamente académicos. Conservo a mi favor todos los derechos de autor sobre la obra, establecidos en la normativa citada.</w:t>
      </w:r>
    </w:p>
    <w:p w14:paraId="576755B5" w14:textId="77777777" w:rsidR="0020558B" w:rsidRPr="0020558B" w:rsidRDefault="0020558B" w:rsidP="0020558B">
      <w:pPr>
        <w:spacing w:line="360" w:lineRule="auto"/>
        <w:jc w:val="both"/>
        <w:rPr>
          <w:rFonts w:ascii="Times New Roman" w:hAnsi="Times New Roman" w:cs="Times New Roman"/>
          <w:sz w:val="24"/>
          <w:szCs w:val="24"/>
        </w:rPr>
      </w:pPr>
      <w:r w:rsidRPr="0020558B">
        <w:rPr>
          <w:rFonts w:ascii="Times New Roman" w:hAnsi="Times New Roman" w:cs="Times New Roman"/>
          <w:sz w:val="24"/>
          <w:szCs w:val="24"/>
        </w:rPr>
        <w:t>Así mismo, autorizo a la Universidad Estatal de Milagro para que realice la digitalización y publicación de este Ensayo académico en el repositorio virtual, de conformidad a lo dispuesto en el Art. 144 de la Ley Orgánica de Educación Superior.</w:t>
      </w:r>
    </w:p>
    <w:p w14:paraId="324FDCFE" w14:textId="77777777" w:rsidR="0020558B" w:rsidRPr="0020558B" w:rsidRDefault="0020558B" w:rsidP="0020558B">
      <w:pPr>
        <w:spacing w:line="360" w:lineRule="auto"/>
        <w:jc w:val="both"/>
        <w:rPr>
          <w:rFonts w:ascii="Times New Roman" w:hAnsi="Times New Roman" w:cs="Times New Roman"/>
          <w:sz w:val="24"/>
          <w:szCs w:val="24"/>
        </w:rPr>
      </w:pPr>
      <w:r w:rsidRPr="0020558B">
        <w:rPr>
          <w:rFonts w:ascii="Times New Roman" w:hAnsi="Times New Roman" w:cs="Times New Roman"/>
          <w:sz w:val="24"/>
          <w:szCs w:val="24"/>
        </w:rPr>
        <w:t>El autor declara que la obra objeto de la presente autorización es original en su forma de expresión y no infringe el derecho de autor de terceros, asumiendo la responsabilidad por cualquier reclamación que pudiera presentarse por esta causa y liberando a la Universidad de toda responsabilidad.</w:t>
      </w:r>
    </w:p>
    <w:p w14:paraId="3CDDC6C1" w14:textId="77777777" w:rsidR="0020558B" w:rsidRPr="0020558B" w:rsidRDefault="0020558B" w:rsidP="0020558B">
      <w:pPr>
        <w:spacing w:line="360" w:lineRule="auto"/>
        <w:jc w:val="right"/>
        <w:rPr>
          <w:rFonts w:ascii="Times New Roman" w:hAnsi="Times New Roman" w:cs="Times New Roman"/>
          <w:sz w:val="24"/>
          <w:szCs w:val="24"/>
        </w:rPr>
      </w:pPr>
      <w:r w:rsidRPr="0020558B">
        <w:rPr>
          <w:rFonts w:ascii="Times New Roman" w:hAnsi="Times New Roman" w:cs="Times New Roman"/>
          <w:sz w:val="24"/>
          <w:szCs w:val="24"/>
        </w:rPr>
        <w:t>Milagro, junio 2026</w:t>
      </w:r>
    </w:p>
    <w:p w14:paraId="231EA2B9" w14:textId="77777777" w:rsidR="0020558B" w:rsidRPr="0020558B" w:rsidRDefault="0020558B" w:rsidP="0020558B">
      <w:pPr>
        <w:spacing w:line="360" w:lineRule="auto"/>
        <w:jc w:val="both"/>
        <w:rPr>
          <w:rFonts w:ascii="Times New Roman" w:hAnsi="Times New Roman" w:cs="Times New Roman"/>
          <w:sz w:val="24"/>
          <w:szCs w:val="24"/>
        </w:rPr>
      </w:pPr>
    </w:p>
    <w:p w14:paraId="62377020" w14:textId="77777777" w:rsidR="0020558B" w:rsidRDefault="0020558B" w:rsidP="0020558B">
      <w:pPr>
        <w:spacing w:line="360" w:lineRule="auto"/>
        <w:rPr>
          <w:rFonts w:ascii="Times New Roman" w:hAnsi="Times New Roman" w:cs="Times New Roman"/>
          <w:b/>
          <w:bCs/>
          <w:sz w:val="24"/>
          <w:szCs w:val="24"/>
        </w:rPr>
      </w:pPr>
      <w:r w:rsidRPr="0020558B">
        <w:rPr>
          <w:rFonts w:ascii="Times New Roman" w:hAnsi="Times New Roman" w:cs="Times New Roman"/>
          <w:b/>
          <w:bCs/>
          <w:sz w:val="24"/>
          <w:szCs w:val="24"/>
        </w:rPr>
        <w:t>C</w:t>
      </w:r>
      <w:r>
        <w:rPr>
          <w:rFonts w:ascii="Times New Roman" w:hAnsi="Times New Roman" w:cs="Times New Roman"/>
          <w:b/>
          <w:bCs/>
          <w:sz w:val="24"/>
          <w:szCs w:val="24"/>
        </w:rPr>
        <w:t>arlos Israel Jaramillo Jiménez</w:t>
      </w:r>
    </w:p>
    <w:p w14:paraId="0793D89A" w14:textId="2FB9CCB2" w:rsidR="0020558B" w:rsidRDefault="0020558B" w:rsidP="0020558B">
      <w:pPr>
        <w:spacing w:line="360" w:lineRule="auto"/>
        <w:rPr>
          <w:rFonts w:ascii="Times New Roman" w:hAnsi="Times New Roman" w:cs="Times New Roman"/>
          <w:b/>
          <w:bCs/>
          <w:sz w:val="24"/>
          <w:szCs w:val="24"/>
        </w:rPr>
      </w:pPr>
      <w:r w:rsidRPr="0020558B">
        <w:rPr>
          <w:rFonts w:ascii="Times New Roman" w:hAnsi="Times New Roman" w:cs="Times New Roman"/>
          <w:b/>
          <w:bCs/>
          <w:sz w:val="24"/>
          <w:szCs w:val="24"/>
        </w:rPr>
        <w:t xml:space="preserve">          # ced. </w:t>
      </w:r>
      <w:r>
        <w:rPr>
          <w:rFonts w:ascii="Times New Roman" w:hAnsi="Times New Roman" w:cs="Times New Roman"/>
          <w:b/>
          <w:bCs/>
          <w:sz w:val="24"/>
          <w:szCs w:val="24"/>
        </w:rPr>
        <w:t>1724367139</w:t>
      </w:r>
      <w:r w:rsidRPr="0020558B">
        <w:rPr>
          <w:rFonts w:ascii="Times New Roman" w:hAnsi="Times New Roman" w:cs="Times New Roman"/>
          <w:b/>
          <w:bCs/>
          <w:sz w:val="24"/>
          <w:szCs w:val="24"/>
        </w:rPr>
        <w:br/>
      </w:r>
    </w:p>
    <w:p w14:paraId="05EE9F5C" w14:textId="2E6445F8" w:rsidR="00766B8E" w:rsidRDefault="00766B8E" w:rsidP="0020558B">
      <w:pPr>
        <w:spacing w:line="360" w:lineRule="auto"/>
        <w:rPr>
          <w:rFonts w:ascii="Times New Roman" w:hAnsi="Times New Roman" w:cs="Times New Roman"/>
          <w:b/>
          <w:bCs/>
          <w:sz w:val="24"/>
          <w:szCs w:val="24"/>
        </w:rPr>
      </w:pPr>
    </w:p>
    <w:p w14:paraId="57DD01C0" w14:textId="77777777" w:rsidR="00766B8E" w:rsidRPr="0020558B" w:rsidRDefault="00766B8E" w:rsidP="0020558B">
      <w:pPr>
        <w:spacing w:line="360" w:lineRule="auto"/>
        <w:rPr>
          <w:rFonts w:ascii="Times New Roman" w:hAnsi="Times New Roman" w:cs="Times New Roman"/>
          <w:b/>
          <w:bCs/>
          <w:sz w:val="24"/>
          <w:szCs w:val="24"/>
        </w:rPr>
      </w:pPr>
    </w:p>
    <w:p w14:paraId="204AA5D1" w14:textId="61E664CF" w:rsidR="003B795A" w:rsidRDefault="003B795A" w:rsidP="003B795A">
      <w:pPr>
        <w:spacing w:line="360" w:lineRule="auto"/>
        <w:jc w:val="both"/>
        <w:rPr>
          <w:rFonts w:ascii="Times New Roman" w:hAnsi="Times New Roman" w:cs="Times New Roman"/>
          <w:b/>
          <w:bCs/>
        </w:rPr>
      </w:pPr>
      <w:r w:rsidRPr="003B795A">
        <w:rPr>
          <w:rFonts w:ascii="Times New Roman" w:hAnsi="Times New Roman" w:cs="Times New Roman"/>
          <w:b/>
          <w:bCs/>
        </w:rPr>
        <w:t>Introducción</w:t>
      </w:r>
    </w:p>
    <w:p w14:paraId="0F665195" w14:textId="64B1183A"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¿De qué manera la incertidumbre del entorno regulatorio condiciona las decisiones estratégicas y éticas de las plataformas de movilidad en el Ecuador? La respuesta parece evidente para quienes han observado el ingreso de empresas como Uber y Cabify al mercado ecuatoriano desde 2017: un modelo de negocio basado en la intermediación tecnológica difícilmente puede sostenerse sin una estrategia deliberada cuando el marco legal que lo rige es ambiguo o inexistente</w:t>
      </w:r>
      <w:r w:rsidR="005D1C34">
        <w:rPr>
          <w:rFonts w:ascii="Times New Roman" w:hAnsi="Times New Roman" w:cs="Times New Roman"/>
          <w:sz w:val="24"/>
          <w:szCs w:val="24"/>
        </w:rPr>
        <w:t>, l</w:t>
      </w:r>
      <w:r w:rsidRPr="00AF5189">
        <w:rPr>
          <w:rFonts w:ascii="Times New Roman" w:hAnsi="Times New Roman" w:cs="Times New Roman"/>
          <w:sz w:val="24"/>
          <w:szCs w:val="24"/>
        </w:rPr>
        <w:t>a relevancia de este tema es considerable, pues un modelo disruptivo que no gestiona adecuadamente su entorno regulatorio queda expuesto a sanciones, pérdida de legitimidad y conflictos con los grupos de interés, comprometiendo su permanencia en el mercado.</w:t>
      </w:r>
    </w:p>
    <w:p w14:paraId="6354840A"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 xml:space="preserve">En el ámbito de la estrategia, Hill et al. (2019) describen que las organizaciones modernas enfrentan problemas no estructurados caracterizados por información incompleta, múltiples grupos de interés y entornos cambiantes, que exigen criterios económicos, organizacionales y éticos de forma simultánea. A su vez, David (2017) sostiene que la dirección estratégica integra el análisis del entorno con la toma de decisiones, especialmente en su dimensión político-legal. </w:t>
      </w:r>
      <w:proofErr w:type="spellStart"/>
      <w:r w:rsidRPr="00AF5189">
        <w:rPr>
          <w:rFonts w:ascii="Times New Roman" w:hAnsi="Times New Roman" w:cs="Times New Roman"/>
          <w:sz w:val="24"/>
          <w:szCs w:val="24"/>
        </w:rPr>
        <w:t>Simon</w:t>
      </w:r>
      <w:proofErr w:type="spellEnd"/>
      <w:r w:rsidRPr="00AF5189">
        <w:rPr>
          <w:rFonts w:ascii="Times New Roman" w:hAnsi="Times New Roman" w:cs="Times New Roman"/>
          <w:sz w:val="24"/>
          <w:szCs w:val="24"/>
        </w:rPr>
        <w:t xml:space="preserve"> (1977) clasifica como decisiones no estructuradas aquellas que involucran alta incertidumbre y carácter estratégico, categoría en la que se inscribe el caso analizado. Finalmente, Ackoff (1999) advierte que un problema bien definido está medio resuelto, lo que obliga a distinguir el síntoma de la causa raíz.</w:t>
      </w:r>
    </w:p>
    <w:p w14:paraId="3C5A5557" w14:textId="6ED9381D"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El objetivo de este ensayo es analizar de qué forma la incertidumbre regulatoria incide en las decisiones estratégicas y éticas de Uber y Cabify en el Ecuador, partiendo del supuesto de que, si estas plataformas no adoptan decisiones deliberadas frente a un marco legal ambiguo, su modelo de negocio se torna insostenible y pierde legitimidad institucional</w:t>
      </w:r>
      <w:r w:rsidR="005D1C34">
        <w:rPr>
          <w:rFonts w:ascii="Times New Roman" w:hAnsi="Times New Roman" w:cs="Times New Roman"/>
          <w:sz w:val="24"/>
          <w:szCs w:val="24"/>
        </w:rPr>
        <w:t>, p</w:t>
      </w:r>
      <w:r w:rsidRPr="00AF5189">
        <w:rPr>
          <w:rFonts w:ascii="Times New Roman" w:hAnsi="Times New Roman" w:cs="Times New Roman"/>
          <w:sz w:val="24"/>
          <w:szCs w:val="24"/>
        </w:rPr>
        <w:t>ara ello se desarrolla una revisión teórica del problema y un análisis del caso sustentado en normativa, sentencias y fuentes de prensa especializada, complementado con una propuesta metodológica de carácter mixto.</w:t>
      </w:r>
    </w:p>
    <w:p w14:paraId="03AC842F" w14:textId="77777777" w:rsidR="005D1C34" w:rsidRDefault="005D1C34" w:rsidP="00AF5189">
      <w:pPr>
        <w:spacing w:line="360" w:lineRule="auto"/>
        <w:jc w:val="both"/>
        <w:rPr>
          <w:rFonts w:ascii="Times New Roman" w:hAnsi="Times New Roman" w:cs="Times New Roman"/>
          <w:b/>
          <w:bCs/>
          <w:sz w:val="24"/>
          <w:szCs w:val="24"/>
        </w:rPr>
      </w:pPr>
    </w:p>
    <w:p w14:paraId="1ADCC33C" w14:textId="77777777" w:rsidR="005D1C34" w:rsidRDefault="005D1C34" w:rsidP="00AF5189">
      <w:pPr>
        <w:spacing w:line="360" w:lineRule="auto"/>
        <w:jc w:val="both"/>
        <w:rPr>
          <w:rFonts w:ascii="Times New Roman" w:hAnsi="Times New Roman" w:cs="Times New Roman"/>
          <w:b/>
          <w:bCs/>
          <w:sz w:val="24"/>
          <w:szCs w:val="24"/>
        </w:rPr>
      </w:pPr>
    </w:p>
    <w:p w14:paraId="3BFD866B" w14:textId="77777777" w:rsidR="005D1C34" w:rsidRDefault="005D1C34" w:rsidP="00AF5189">
      <w:pPr>
        <w:spacing w:line="360" w:lineRule="auto"/>
        <w:jc w:val="both"/>
        <w:rPr>
          <w:rFonts w:ascii="Times New Roman" w:hAnsi="Times New Roman" w:cs="Times New Roman"/>
          <w:b/>
          <w:bCs/>
          <w:sz w:val="24"/>
          <w:szCs w:val="24"/>
        </w:rPr>
      </w:pPr>
    </w:p>
    <w:p w14:paraId="7088BF0C" w14:textId="223A91F1"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lastRenderedPageBreak/>
        <w:t>Desarrollo</w:t>
      </w:r>
    </w:p>
    <w:p w14:paraId="49162466" w14:textId="79BC20CB"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La incertidumbre del entorno regulatorio constituye la variable independiente de este análisis</w:t>
      </w:r>
      <w:r w:rsidR="005D1C34">
        <w:rPr>
          <w:rFonts w:ascii="Times New Roman" w:hAnsi="Times New Roman" w:cs="Times New Roman"/>
          <w:sz w:val="24"/>
          <w:szCs w:val="24"/>
        </w:rPr>
        <w:t>, s</w:t>
      </w:r>
      <w:r w:rsidRPr="00AF5189">
        <w:rPr>
          <w:rFonts w:ascii="Times New Roman" w:hAnsi="Times New Roman" w:cs="Times New Roman"/>
          <w:sz w:val="24"/>
          <w:szCs w:val="24"/>
        </w:rPr>
        <w:t>u importancia radica en que el grado de ambigüedad, vacío o variabilidad del marco legal determina el margen de maniobra de las plataformas y el nivel de riesgo de su operación. Cuando Uber y Cabify ingresaron al Ecuador, lo hicieron amparadas en el principio de que lo no prohibido se entiende permitido, ante la ausencia de una norma que regulara expresamente la intermediación tecnológica de transporte (</w:t>
      </w:r>
      <w:proofErr w:type="spellStart"/>
      <w:r w:rsidRPr="00AF5189">
        <w:rPr>
          <w:rFonts w:ascii="Times New Roman" w:hAnsi="Times New Roman" w:cs="Times New Roman"/>
          <w:sz w:val="24"/>
          <w:szCs w:val="24"/>
        </w:rPr>
        <w:t>LexLatin</w:t>
      </w:r>
      <w:proofErr w:type="spellEnd"/>
      <w:r w:rsidRPr="00AF5189">
        <w:rPr>
          <w:rFonts w:ascii="Times New Roman" w:hAnsi="Times New Roman" w:cs="Times New Roman"/>
          <w:sz w:val="24"/>
          <w:szCs w:val="24"/>
        </w:rPr>
        <w:t>, 2017). Esta indefinición generó interpretaciones contradictorias entre las autoridades de tránsito y las empresas, configurando un entorno de alta incertidumbre.</w:t>
      </w:r>
    </w:p>
    <w:p w14:paraId="717F2C67" w14:textId="2DC83698"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El conflicto recurrente entre taxistas tradicionales y conductores de aplicaciones constituye, en realidad, un síntoma observable</w:t>
      </w:r>
      <w:r w:rsidR="005D1C34">
        <w:rPr>
          <w:rFonts w:ascii="Times New Roman" w:hAnsi="Times New Roman" w:cs="Times New Roman"/>
          <w:sz w:val="24"/>
          <w:szCs w:val="24"/>
        </w:rPr>
        <w:t>, e</w:t>
      </w:r>
      <w:r w:rsidRPr="00AF5189">
        <w:rPr>
          <w:rFonts w:ascii="Times New Roman" w:hAnsi="Times New Roman" w:cs="Times New Roman"/>
          <w:sz w:val="24"/>
          <w:szCs w:val="24"/>
        </w:rPr>
        <w:t xml:space="preserve"> problema de fondo es de naturaleza estratégica: la incompatibilidad estructural entre un modelo de negocio digital y la Ley Orgánica de Transporte Terrestre, Tránsito y Seguridad Vial, concebida para un servicio comercial tradicional sujeto a títulos habilitantes (GK, 2022). La aplicación de la técnica de los cinco porqués revela que la causa raíz no es la competencia desleal, sino la dificultad del Estado para adaptar las categorías regulatorias existentes a un modelo surgido de la economía colaborativa (Primicias, 2020).</w:t>
      </w:r>
    </w:p>
    <w:p w14:paraId="36D752F8"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 xml:space="preserve">La toma de decisiones estratégicas y éticas conforma la variable dependiente del estudio. Frente a la incertidumbre descrita, las empresas debieron decidir entre tres alternativas: replicar sin cambios su modelo global, adaptarse a las exigencias regulatorias locales, o retirarse del mercado. Esta disyuntiva es análoga a la que la literatura estratégica plantea para la expansión internacional, donde una organización debe optar entre replicar un modelo exitoso, adaptarlo o abandonar el mercado cuando las condiciones no garantizan su viabilidad (David, 2017). Las trayectorias de ambas plataformas ilustran decisiones opuestas ante el mismo entorno: Uber optó por permanecer y adaptarse parcialmente, evidenciado en el cumplimiento tributario asumido desde 2020, cuando el Servicio de Rentas Internas comenzó a recaudar el impuesto al valor agregado por servicios digitales de plataformas sin residencia fiscal en el país (El Telégrafo, 2022). Cabify, en cambio, tras seis años de operación (2016–2023), decidió retirarse del Ecuador en marzo de 2023 al considerar que su modelo de negocio no alcanzó la rentabilidad esperada (Primicias, 2023). Esta decisión de salida constituye, en sí misma, una respuesta estratégica ante un entorno percibido </w:t>
      </w:r>
      <w:r w:rsidRPr="00AF5189">
        <w:rPr>
          <w:rFonts w:ascii="Times New Roman" w:hAnsi="Times New Roman" w:cs="Times New Roman"/>
          <w:sz w:val="24"/>
          <w:szCs w:val="24"/>
        </w:rPr>
        <w:lastRenderedPageBreak/>
        <w:t>como adverso y refuerza la tesis de que la sostenibilidad de estas plataformas depende de la calidad de sus decisiones gerenciales.</w:t>
      </w:r>
    </w:p>
    <w:p w14:paraId="7D96CF21"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El contexto teórico se articula en torno al modelo de los seis pasos de resolución de problemas, que organiza el razonamiento directivo desde la definición del problema hasta el plan de acción, integrando el análisis estratégico y el pensamiento sistémico (Ackoff, 1999; Mintzberg et al., 1976). Bajo este modelo, la decisión de las plataformas se estructura como una secuencia que parte de la definición del problema, selecciona criterios económicos, de legitimidad y de cumplimiento, desarrolla alternativas, las analiza y deriva en una decisión implementada. Este enfoque se complementa con las herramientas de diagnóstico de Fred David (2017) y con el análisis PESTEL, útil para examinar la dimensión político-legal del entorno (</w:t>
      </w:r>
      <w:proofErr w:type="spellStart"/>
      <w:r w:rsidRPr="00AF5189">
        <w:rPr>
          <w:rFonts w:ascii="Times New Roman" w:hAnsi="Times New Roman" w:cs="Times New Roman"/>
          <w:sz w:val="24"/>
          <w:szCs w:val="24"/>
        </w:rPr>
        <w:t>Wheelen</w:t>
      </w:r>
      <w:proofErr w:type="spellEnd"/>
      <w:r w:rsidRPr="00AF5189">
        <w:rPr>
          <w:rFonts w:ascii="Times New Roman" w:hAnsi="Times New Roman" w:cs="Times New Roman"/>
          <w:sz w:val="24"/>
          <w:szCs w:val="24"/>
        </w:rPr>
        <w:t xml:space="preserve"> &amp; </w:t>
      </w:r>
      <w:proofErr w:type="spellStart"/>
      <w:r w:rsidRPr="00AF5189">
        <w:rPr>
          <w:rFonts w:ascii="Times New Roman" w:hAnsi="Times New Roman" w:cs="Times New Roman"/>
          <w:sz w:val="24"/>
          <w:szCs w:val="24"/>
        </w:rPr>
        <w:t>Hunger</w:t>
      </w:r>
      <w:proofErr w:type="spellEnd"/>
      <w:r w:rsidRPr="00AF5189">
        <w:rPr>
          <w:rFonts w:ascii="Times New Roman" w:hAnsi="Times New Roman" w:cs="Times New Roman"/>
          <w:sz w:val="24"/>
          <w:szCs w:val="24"/>
        </w:rPr>
        <w:t>, 2012).</w:t>
      </w:r>
    </w:p>
    <w:p w14:paraId="1D95196E"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Un punto de inflexión decisivo ocurrió en septiembre de 2024, cuando la Corte Constitucional del Ecuador aceptó parcialmente una acción de inconstitucionalidad y exhortó a la Asamblea Nacional y a las autoridades de tránsito a emitir las regulaciones necesarias para que los conductores de plataformas puedan obtener la autorización correspondiente (Primicias, 2024). Este fallo redujo la incertidumbre que había caracterizado al sector durante siete años y modificó las condiciones bajo las cuales las plataformas toman sus decisiones estratégicas, abriendo un proceso de regulación aún en construcción.</w:t>
      </w:r>
    </w:p>
    <w:p w14:paraId="7BFD4EEC"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La revisión de la literatura confirma la pertinencia del problema. Estudios en repositorios universitarios ecuatorianos han documentado el ingreso de estas plataformas y la tensión con los gremios tradicionales (López Jordán, 2021; Burbano, 2020). A escala regional, la experiencia comparada muestra trayectorias divergentes: mientras Colombia llegó a prohibir temporalmente la operación de Uber en 2020, otras jurisdicciones reconocieron una categoría regulatoria diferenciada para el transporte intermediado por plataformas (El Comercio, 2020).</w:t>
      </w:r>
    </w:p>
    <w:p w14:paraId="47FAAD8B" w14:textId="77777777" w:rsidR="005D1C34" w:rsidRDefault="005D1C34" w:rsidP="00AF5189">
      <w:pPr>
        <w:spacing w:line="360" w:lineRule="auto"/>
        <w:jc w:val="both"/>
        <w:rPr>
          <w:rFonts w:ascii="Times New Roman" w:hAnsi="Times New Roman" w:cs="Times New Roman"/>
          <w:b/>
          <w:bCs/>
          <w:sz w:val="24"/>
          <w:szCs w:val="24"/>
        </w:rPr>
      </w:pPr>
    </w:p>
    <w:p w14:paraId="1CE8D49C" w14:textId="77777777" w:rsidR="005D1C34" w:rsidRDefault="005D1C34" w:rsidP="00AF5189">
      <w:pPr>
        <w:spacing w:line="360" w:lineRule="auto"/>
        <w:jc w:val="both"/>
        <w:rPr>
          <w:rFonts w:ascii="Times New Roman" w:hAnsi="Times New Roman" w:cs="Times New Roman"/>
          <w:b/>
          <w:bCs/>
          <w:sz w:val="24"/>
          <w:szCs w:val="24"/>
        </w:rPr>
      </w:pPr>
    </w:p>
    <w:p w14:paraId="1680AF95" w14:textId="77777777" w:rsidR="005D1C34" w:rsidRDefault="005D1C34" w:rsidP="00AF5189">
      <w:pPr>
        <w:spacing w:line="360" w:lineRule="auto"/>
        <w:jc w:val="both"/>
        <w:rPr>
          <w:rFonts w:ascii="Times New Roman" w:hAnsi="Times New Roman" w:cs="Times New Roman"/>
          <w:b/>
          <w:bCs/>
          <w:sz w:val="24"/>
          <w:szCs w:val="24"/>
        </w:rPr>
      </w:pPr>
    </w:p>
    <w:p w14:paraId="67BF36FF" w14:textId="77777777" w:rsidR="005D1C34" w:rsidRDefault="005D1C34" w:rsidP="00AF5189">
      <w:pPr>
        <w:spacing w:line="360" w:lineRule="auto"/>
        <w:jc w:val="both"/>
        <w:rPr>
          <w:rFonts w:ascii="Times New Roman" w:hAnsi="Times New Roman" w:cs="Times New Roman"/>
          <w:b/>
          <w:bCs/>
          <w:sz w:val="24"/>
          <w:szCs w:val="24"/>
        </w:rPr>
      </w:pPr>
    </w:p>
    <w:p w14:paraId="7C1F4393" w14:textId="77777777" w:rsidR="005D1C34" w:rsidRDefault="005D1C34" w:rsidP="00AF5189">
      <w:pPr>
        <w:spacing w:line="360" w:lineRule="auto"/>
        <w:jc w:val="both"/>
        <w:rPr>
          <w:rFonts w:ascii="Times New Roman" w:hAnsi="Times New Roman" w:cs="Times New Roman"/>
          <w:b/>
          <w:bCs/>
          <w:sz w:val="24"/>
          <w:szCs w:val="24"/>
        </w:rPr>
      </w:pPr>
    </w:p>
    <w:p w14:paraId="3FC9BC41" w14:textId="2DADB5AC"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lastRenderedPageBreak/>
        <w:t>Conclusión</w:t>
      </w:r>
    </w:p>
    <w:p w14:paraId="3947E1A8"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El análisis preliminar permite afirmar que el caso de Uber y Cabify en el Ecuador constituye un problema gerencial no estructurado paradigmático, en el que la incertidumbre del entorno regulatorio opera como variable determinante de las decisiones estratégicas y éticas de las firmas. El prolongado vacío normativo, atenuado por la sentencia de la Corte Constitucional de 2024, obligó a estas plataformas a decidir bajo alta incertidumbre. El contraste entre ambas resulta revelador: mientras Uber optó por permanecer y adaptarse, Cabify decidió retirarse del mercado en 2023, lo que demuestra que ante un mismo entorno las decisiones estratégicas pueden divergir y determinar la continuidad o la salida de la empresa.</w:t>
      </w:r>
    </w:p>
    <w:p w14:paraId="15A8ADEB"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Se concluye, de manera provisional, que la sostenibilidad del modelo de negocio en contextos de ambigüedad regulatoria depende menos de la disrupción tecnológica que de la calidad del proceso decisional directivo, lo que valida el supuesto inicial del ensayo y confirma la pertinencia de los modelos estratégicos estudiados. Como líneas de profundización, se prevé aplicar un instrumento a conductores de plataformas y triangular sus resultados con el análisis documental, conforme a la propuesta metodológica que se detalla en los talleres siguientes.</w:t>
      </w:r>
    </w:p>
    <w:p w14:paraId="0324D994"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br w:type="page"/>
      </w:r>
    </w:p>
    <w:p w14:paraId="37BBC800" w14:textId="77777777"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lastRenderedPageBreak/>
        <w:t>Anexo A. Desarrollo de los Talleres 1 y 2</w:t>
      </w:r>
    </w:p>
    <w:p w14:paraId="39F47B8C"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Este anexo responde de forma explícita cada actividad de los Talleres 1 y 2, conforme a la consigna de la asignatura, y constituye el sustento metodológico del ensayo precedente.</w:t>
      </w:r>
    </w:p>
    <w:p w14:paraId="733488A4" w14:textId="77777777"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t>Taller 1 — Identificación y Fundamentación del Problema</w:t>
      </w:r>
    </w:p>
    <w:p w14:paraId="416AF32A" w14:textId="77777777"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t>Pregunta 1. Formule la pregunta de investigación que exprese la relación entre dos variables y justifique su viabilidad, relevancia y novedad.</w:t>
      </w:r>
    </w:p>
    <w:p w14:paraId="3EFF6833"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Pregunta de investigación: ¿De qué manera la incertidumbre del entorno regulatorio incide en las decisiones estratégicas y éticas adoptadas por las plataformas de movilidad (Uber y Cabify) para sostener su modelo de negocio en el Ecuador durante el período 2017–2025?</w:t>
      </w:r>
    </w:p>
    <w:p w14:paraId="674D537A"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La pregunta relaciona la incertidumbre del entorno regulatorio (variable independiente) con la toma de decisiones estratégicas y éticas de las plataformas (variable dependiente). Es viable porque existe abundante información secundaria verificable y acceso a conductores mediante muestreo por referencia; es relevante porque aborda un problema de pertinencia nacional con repercusiones económicas, laborales y sociales; y es novedosa porque la literatura previa se ha centrado en la dimensión jurídica, mientras que este estudio la aborda desde la toma de decisiones gerenciales ante problemas no estructurados (Hernández-Sampieri et al., 2014).</w:t>
      </w:r>
    </w:p>
    <w:p w14:paraId="1C885F31" w14:textId="77777777"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t>Pregunta 2. Defina conceptual y operacionalmente las dos variables, con indicadores y fuentes de datos.</w:t>
      </w:r>
    </w:p>
    <w:p w14:paraId="2E0D0786" w14:textId="77777777" w:rsidR="005D1C34" w:rsidRDefault="005D1C34" w:rsidP="00AF5189">
      <w:pPr>
        <w:spacing w:line="360" w:lineRule="auto"/>
        <w:jc w:val="both"/>
        <w:rPr>
          <w:rFonts w:ascii="Times New Roman" w:hAnsi="Times New Roman" w:cs="Times New Roman"/>
          <w:b/>
          <w:bCs/>
          <w:sz w:val="24"/>
          <w:szCs w:val="24"/>
        </w:rPr>
      </w:pPr>
    </w:p>
    <w:p w14:paraId="58D394DC" w14:textId="77777777" w:rsidR="005D1C34" w:rsidRDefault="005D1C34" w:rsidP="00AF5189">
      <w:pPr>
        <w:spacing w:line="360" w:lineRule="auto"/>
        <w:jc w:val="both"/>
        <w:rPr>
          <w:rFonts w:ascii="Times New Roman" w:hAnsi="Times New Roman" w:cs="Times New Roman"/>
          <w:b/>
          <w:bCs/>
          <w:sz w:val="24"/>
          <w:szCs w:val="24"/>
        </w:rPr>
      </w:pPr>
    </w:p>
    <w:p w14:paraId="2588D367" w14:textId="77777777" w:rsidR="005D1C34" w:rsidRDefault="005D1C34" w:rsidP="00AF5189">
      <w:pPr>
        <w:spacing w:line="360" w:lineRule="auto"/>
        <w:jc w:val="both"/>
        <w:rPr>
          <w:rFonts w:ascii="Times New Roman" w:hAnsi="Times New Roman" w:cs="Times New Roman"/>
          <w:b/>
          <w:bCs/>
          <w:sz w:val="24"/>
          <w:szCs w:val="24"/>
        </w:rPr>
      </w:pPr>
    </w:p>
    <w:p w14:paraId="0DC4640B" w14:textId="77777777" w:rsidR="005D1C34" w:rsidRDefault="005D1C34" w:rsidP="00AF5189">
      <w:pPr>
        <w:spacing w:line="360" w:lineRule="auto"/>
        <w:jc w:val="both"/>
        <w:rPr>
          <w:rFonts w:ascii="Times New Roman" w:hAnsi="Times New Roman" w:cs="Times New Roman"/>
          <w:b/>
          <w:bCs/>
          <w:sz w:val="24"/>
          <w:szCs w:val="24"/>
        </w:rPr>
      </w:pPr>
    </w:p>
    <w:p w14:paraId="7AE7DD3C" w14:textId="77777777" w:rsidR="005D1C34" w:rsidRDefault="005D1C34" w:rsidP="00AF5189">
      <w:pPr>
        <w:spacing w:line="360" w:lineRule="auto"/>
        <w:jc w:val="both"/>
        <w:rPr>
          <w:rFonts w:ascii="Times New Roman" w:hAnsi="Times New Roman" w:cs="Times New Roman"/>
          <w:b/>
          <w:bCs/>
          <w:sz w:val="24"/>
          <w:szCs w:val="24"/>
        </w:rPr>
      </w:pPr>
    </w:p>
    <w:p w14:paraId="48216F18" w14:textId="77777777" w:rsidR="005D1C34" w:rsidRDefault="005D1C34" w:rsidP="00AF5189">
      <w:pPr>
        <w:spacing w:line="360" w:lineRule="auto"/>
        <w:jc w:val="both"/>
        <w:rPr>
          <w:rFonts w:ascii="Times New Roman" w:hAnsi="Times New Roman" w:cs="Times New Roman"/>
          <w:b/>
          <w:bCs/>
          <w:sz w:val="24"/>
          <w:szCs w:val="24"/>
        </w:rPr>
      </w:pPr>
    </w:p>
    <w:p w14:paraId="018E83E5" w14:textId="77777777" w:rsidR="005D1C34" w:rsidRDefault="005D1C34" w:rsidP="00AF5189">
      <w:pPr>
        <w:spacing w:line="360" w:lineRule="auto"/>
        <w:jc w:val="both"/>
        <w:rPr>
          <w:rFonts w:ascii="Times New Roman" w:hAnsi="Times New Roman" w:cs="Times New Roman"/>
          <w:b/>
          <w:bCs/>
          <w:sz w:val="24"/>
          <w:szCs w:val="24"/>
        </w:rPr>
      </w:pPr>
    </w:p>
    <w:p w14:paraId="2266212F" w14:textId="77777777" w:rsidR="005D1C34" w:rsidRDefault="005D1C34" w:rsidP="00AF5189">
      <w:pPr>
        <w:spacing w:line="360" w:lineRule="auto"/>
        <w:jc w:val="both"/>
        <w:rPr>
          <w:rFonts w:ascii="Times New Roman" w:hAnsi="Times New Roman" w:cs="Times New Roman"/>
          <w:b/>
          <w:bCs/>
          <w:sz w:val="24"/>
          <w:szCs w:val="24"/>
        </w:rPr>
      </w:pPr>
    </w:p>
    <w:p w14:paraId="36B8958C" w14:textId="53669B71"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lastRenderedPageBreak/>
        <w:t>Tabla 1</w:t>
      </w:r>
    </w:p>
    <w:p w14:paraId="624DDEEB"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Operacionalización de las variables</w:t>
      </w:r>
    </w:p>
    <w:tbl>
      <w:tblPr>
        <w:tblStyle w:val="Tablanormal2"/>
        <w:tblW w:w="9360" w:type="dxa"/>
        <w:tblLook w:val="04A0" w:firstRow="1" w:lastRow="0" w:firstColumn="1" w:lastColumn="0" w:noHBand="0" w:noVBand="1"/>
      </w:tblPr>
      <w:tblGrid>
        <w:gridCol w:w="1900"/>
        <w:gridCol w:w="2700"/>
        <w:gridCol w:w="2660"/>
        <w:gridCol w:w="2100"/>
      </w:tblGrid>
      <w:tr w:rsidR="00AF5189" w:rsidRPr="00AF5189" w14:paraId="19326C2A" w14:textId="77777777" w:rsidTr="005D1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06DCD03"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Variable</w:t>
            </w:r>
          </w:p>
        </w:tc>
        <w:tc>
          <w:tcPr>
            <w:tcW w:w="2700" w:type="dxa"/>
          </w:tcPr>
          <w:p w14:paraId="6F5EDEA7" w14:textId="77777777" w:rsidR="00AF5189" w:rsidRPr="00AF5189" w:rsidRDefault="00AF5189" w:rsidP="00AF518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Definición conceptual</w:t>
            </w:r>
          </w:p>
        </w:tc>
        <w:tc>
          <w:tcPr>
            <w:tcW w:w="2660" w:type="dxa"/>
          </w:tcPr>
          <w:p w14:paraId="2590A275" w14:textId="77777777" w:rsidR="00AF5189" w:rsidRPr="00AF5189" w:rsidRDefault="00AF5189" w:rsidP="00AF518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Indicadores</w:t>
            </w:r>
          </w:p>
        </w:tc>
        <w:tc>
          <w:tcPr>
            <w:tcW w:w="2100" w:type="dxa"/>
          </w:tcPr>
          <w:p w14:paraId="38B52AA9" w14:textId="77777777" w:rsidR="00AF5189" w:rsidRPr="00AF5189" w:rsidRDefault="00AF5189" w:rsidP="00AF518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Fuentes</w:t>
            </w:r>
          </w:p>
        </w:tc>
      </w:tr>
      <w:tr w:rsidR="00AF5189" w:rsidRPr="00AF5189" w14:paraId="79244862" w14:textId="77777777" w:rsidTr="005D1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E6C47C6"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Independiente: Incertidumbre del entorno regulatorio</w:t>
            </w:r>
          </w:p>
        </w:tc>
        <w:tc>
          <w:tcPr>
            <w:tcW w:w="2700" w:type="dxa"/>
          </w:tcPr>
          <w:p w14:paraId="5B0A3977"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Grado de ambigüedad, vacío o variabilidad del marco legal aplicable a la intermediación tecnológica de transporte.</w:t>
            </w:r>
          </w:p>
        </w:tc>
        <w:tc>
          <w:tcPr>
            <w:tcW w:w="2660" w:type="dxa"/>
          </w:tcPr>
          <w:p w14:paraId="324B6F76"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Existencia de norma específica; sentencias; ordenanzas; reformas legales.</w:t>
            </w:r>
          </w:p>
        </w:tc>
        <w:tc>
          <w:tcPr>
            <w:tcW w:w="2100" w:type="dxa"/>
          </w:tcPr>
          <w:p w14:paraId="12FFC48E"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Corte Constitucional; LOTTTSV; COIP; ANT; prensa.</w:t>
            </w:r>
          </w:p>
        </w:tc>
      </w:tr>
      <w:tr w:rsidR="00AF5189" w:rsidRPr="00AF5189" w14:paraId="28960716" w14:textId="77777777" w:rsidTr="005D1C34">
        <w:tc>
          <w:tcPr>
            <w:cnfStyle w:val="001000000000" w:firstRow="0" w:lastRow="0" w:firstColumn="1" w:lastColumn="0" w:oddVBand="0" w:evenVBand="0" w:oddHBand="0" w:evenHBand="0" w:firstRowFirstColumn="0" w:firstRowLastColumn="0" w:lastRowFirstColumn="0" w:lastRowLastColumn="0"/>
            <w:tcW w:w="1900" w:type="dxa"/>
          </w:tcPr>
          <w:p w14:paraId="7FF9DEC5"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Dependiente: Toma de decisiones estratégicas y éticas</w:t>
            </w:r>
          </w:p>
        </w:tc>
        <w:tc>
          <w:tcPr>
            <w:tcW w:w="2700" w:type="dxa"/>
          </w:tcPr>
          <w:p w14:paraId="2FE41F7B" w14:textId="77777777" w:rsidR="00AF5189" w:rsidRPr="00AF5189" w:rsidRDefault="00AF5189" w:rsidP="00AF518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Decisiones gerenciales orientadas a sostener el modelo de negocio equilibrando criterios económicos, organizacionales y éticos.</w:t>
            </w:r>
          </w:p>
        </w:tc>
        <w:tc>
          <w:tcPr>
            <w:tcW w:w="2660" w:type="dxa"/>
          </w:tcPr>
          <w:p w14:paraId="5D988B85" w14:textId="77777777" w:rsidR="00AF5189" w:rsidRPr="00AF5189" w:rsidRDefault="00AF5189" w:rsidP="00AF518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Permanencia; adaptación del modelo; cumplimiento tributario; gestión de legitimidad.</w:t>
            </w:r>
          </w:p>
        </w:tc>
        <w:tc>
          <w:tcPr>
            <w:tcW w:w="2100" w:type="dxa"/>
          </w:tcPr>
          <w:p w14:paraId="402D655A" w14:textId="77777777" w:rsidR="00AF5189" w:rsidRPr="00AF5189" w:rsidRDefault="00AF5189" w:rsidP="00AF518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Comunicados de empresas; SRI; encuesta a conductores.</w:t>
            </w:r>
          </w:p>
        </w:tc>
      </w:tr>
    </w:tbl>
    <w:p w14:paraId="1E9AA538" w14:textId="77777777" w:rsidR="00AF5189" w:rsidRPr="00AF5189" w:rsidRDefault="00AF5189" w:rsidP="00AF5189">
      <w:pPr>
        <w:spacing w:line="360" w:lineRule="auto"/>
        <w:jc w:val="both"/>
        <w:rPr>
          <w:rFonts w:ascii="Times New Roman" w:hAnsi="Times New Roman" w:cs="Times New Roman"/>
          <w:sz w:val="24"/>
          <w:szCs w:val="24"/>
        </w:rPr>
      </w:pPr>
      <w:r w:rsidRPr="005D1C34">
        <w:rPr>
          <w:rFonts w:ascii="Times New Roman" w:hAnsi="Times New Roman" w:cs="Times New Roman"/>
          <w:b/>
          <w:bCs/>
          <w:sz w:val="24"/>
          <w:szCs w:val="24"/>
        </w:rPr>
        <w:t>Nota.</w:t>
      </w:r>
      <w:r w:rsidRPr="00AF5189">
        <w:rPr>
          <w:rFonts w:ascii="Times New Roman" w:hAnsi="Times New Roman" w:cs="Times New Roman"/>
          <w:sz w:val="24"/>
          <w:szCs w:val="24"/>
        </w:rPr>
        <w:t xml:space="preserve"> Elaboración propia con base en Bernal (2016) y Hernández-Sampieri et al. (2014).</w:t>
      </w:r>
    </w:p>
    <w:p w14:paraId="2DC12119" w14:textId="77777777"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t>Pregunta 3. Cite tres antecedentes investigativos de al menos dos bases de datos, en formato APA 7.</w:t>
      </w:r>
    </w:p>
    <w:p w14:paraId="651F880F"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López Jordán, E. S. (2021). Regulación de las plataformas digitales que ofrecen servicios de transporte en el Ecuador [Tesis, Pontificia Universidad Católica del Ecuador]. Repositorio PUCE.</w:t>
      </w:r>
    </w:p>
    <w:p w14:paraId="05B38856"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Burbano, M. (2020). Economía colaborativa y regulación del transporte: el caso de Uber y Cabify en el Ecuador [Tesis de maestría, Universidad Andina Simón Bolívar]. Repositorio UASB.</w:t>
      </w:r>
    </w:p>
    <w:p w14:paraId="5381F966"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El Comercio. (2020, 27 de febrero). Regularización de plataformas digitales de transporte se definirá tras la vacancia legislativa. https://www.elcomercio.com/</w:t>
      </w:r>
    </w:p>
    <w:p w14:paraId="3C4993B3" w14:textId="0B5AD8CB"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t xml:space="preserve">Pregunta 4. Identifique dos teorías que sustenten la relación entre las variables y explique cómo apoyan la </w:t>
      </w:r>
      <w:r w:rsidR="005D1C34" w:rsidRPr="005D1C34">
        <w:rPr>
          <w:rFonts w:ascii="Times New Roman" w:hAnsi="Times New Roman" w:cs="Times New Roman"/>
          <w:b/>
          <w:bCs/>
          <w:sz w:val="24"/>
          <w:szCs w:val="24"/>
        </w:rPr>
        <w:t>hipó tesis</w:t>
      </w:r>
      <w:r w:rsidRPr="005D1C34">
        <w:rPr>
          <w:rFonts w:ascii="Times New Roman" w:hAnsi="Times New Roman" w:cs="Times New Roman"/>
          <w:b/>
          <w:bCs/>
          <w:sz w:val="24"/>
          <w:szCs w:val="24"/>
        </w:rPr>
        <w:t>.</w:t>
      </w:r>
    </w:p>
    <w:p w14:paraId="6DB4051A"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Teoría de la decisión ante problemas no estructurados (</w:t>
      </w:r>
      <w:proofErr w:type="spellStart"/>
      <w:r w:rsidRPr="00AF5189">
        <w:rPr>
          <w:rFonts w:ascii="Times New Roman" w:hAnsi="Times New Roman" w:cs="Times New Roman"/>
          <w:sz w:val="24"/>
          <w:szCs w:val="24"/>
        </w:rPr>
        <w:t>Simon</w:t>
      </w:r>
      <w:proofErr w:type="spellEnd"/>
      <w:r w:rsidRPr="00AF5189">
        <w:rPr>
          <w:rFonts w:ascii="Times New Roman" w:hAnsi="Times New Roman" w:cs="Times New Roman"/>
          <w:sz w:val="24"/>
          <w:szCs w:val="24"/>
        </w:rPr>
        <w:t xml:space="preserve">, 1977; Ackoff, 1999). Sostiene que las decisiones de alta incertidumbre se toman con información imperfecta y múltiples grupos de </w:t>
      </w:r>
      <w:r w:rsidRPr="00AF5189">
        <w:rPr>
          <w:rFonts w:ascii="Times New Roman" w:hAnsi="Times New Roman" w:cs="Times New Roman"/>
          <w:sz w:val="24"/>
          <w:szCs w:val="24"/>
        </w:rPr>
        <w:lastRenderedPageBreak/>
        <w:t xml:space="preserve">interés. Apoya la </w:t>
      </w:r>
      <w:proofErr w:type="spellStart"/>
      <w:r w:rsidRPr="00AF5189">
        <w:rPr>
          <w:rFonts w:ascii="Times New Roman" w:hAnsi="Times New Roman" w:cs="Times New Roman"/>
          <w:sz w:val="24"/>
          <w:szCs w:val="24"/>
        </w:rPr>
        <w:t>hipótesis</w:t>
      </w:r>
      <w:proofErr w:type="spellEnd"/>
      <w:r w:rsidRPr="00AF5189">
        <w:rPr>
          <w:rFonts w:ascii="Times New Roman" w:hAnsi="Times New Roman" w:cs="Times New Roman"/>
          <w:sz w:val="24"/>
          <w:szCs w:val="24"/>
        </w:rPr>
        <w:t xml:space="preserve"> porque, a mayor incertidumbre regulatoria, mayor es la exigencia de un proceso decisional deliberado.</w:t>
      </w:r>
    </w:p>
    <w:p w14:paraId="2E34B6CD"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 xml:space="preserve">Modelo de administración estratégica integral (David, 2017). Integra el análisis del entorno político-legal con la formulación e implementación de la estrategia. Apoya la </w:t>
      </w:r>
      <w:proofErr w:type="spellStart"/>
      <w:r w:rsidRPr="00AF5189">
        <w:rPr>
          <w:rFonts w:ascii="Times New Roman" w:hAnsi="Times New Roman" w:cs="Times New Roman"/>
          <w:sz w:val="24"/>
          <w:szCs w:val="24"/>
        </w:rPr>
        <w:t>hipótesis</w:t>
      </w:r>
      <w:proofErr w:type="spellEnd"/>
      <w:r w:rsidRPr="00AF5189">
        <w:rPr>
          <w:rFonts w:ascii="Times New Roman" w:hAnsi="Times New Roman" w:cs="Times New Roman"/>
          <w:sz w:val="24"/>
          <w:szCs w:val="24"/>
        </w:rPr>
        <w:t xml:space="preserve"> al vincular las variaciones del marco regulatorio con las decisiones de permanencia, adaptación o alianza de las firmas.</w:t>
      </w:r>
    </w:p>
    <w:p w14:paraId="37558FCB" w14:textId="77777777"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t>Pregunta 5. Elabore un esquema o mapa conceptual que relacione variables, marco teórico y pregunta.</w:t>
      </w:r>
    </w:p>
    <w:p w14:paraId="37F58354" w14:textId="77777777" w:rsidR="005D1C34" w:rsidRPr="005D1C34" w:rsidRDefault="005D1C34"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t>Pregunta de Investigación</w:t>
      </w:r>
    </w:p>
    <w:p w14:paraId="33978724" w14:textId="668C85CA" w:rsidR="00AF5189" w:rsidRPr="005D1C34" w:rsidRDefault="00AF5189" w:rsidP="00AF5189">
      <w:pPr>
        <w:spacing w:line="360" w:lineRule="auto"/>
        <w:jc w:val="both"/>
        <w:rPr>
          <w:rFonts w:ascii="Times New Roman" w:hAnsi="Times New Roman" w:cs="Times New Roman"/>
          <w:b/>
          <w:bCs/>
          <w:sz w:val="24"/>
          <w:szCs w:val="24"/>
        </w:rPr>
      </w:pPr>
      <w:r w:rsidRPr="005D1C34">
        <w:rPr>
          <w:rFonts w:ascii="Times New Roman" w:hAnsi="Times New Roman" w:cs="Times New Roman"/>
          <w:b/>
          <w:bCs/>
          <w:sz w:val="24"/>
          <w:szCs w:val="24"/>
        </w:rPr>
        <w:t>¿Cómo incide la incertidumbre regulatoria en las decisiones de las plataformas?</w:t>
      </w:r>
    </w:p>
    <w:p w14:paraId="62D47D06" w14:textId="1ECF4AAE" w:rsidR="00AF5189" w:rsidRPr="00AF5189" w:rsidRDefault="005D1C34" w:rsidP="00AF518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0F0D05" wp14:editId="6EF91F1A">
            <wp:extent cx="5486400" cy="3200400"/>
            <wp:effectExtent l="0" t="0" r="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bookmarkStart w:id="0" w:name="_GoBack"/>
      <w:bookmarkEnd w:id="0"/>
    </w:p>
    <w:p w14:paraId="0CCD2B6B" w14:textId="042813B4"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sustentado por e</w:t>
      </w:r>
      <w:r w:rsidR="003E1B21">
        <w:rPr>
          <w:rFonts w:ascii="Times New Roman" w:hAnsi="Times New Roman" w:cs="Times New Roman"/>
          <w:b/>
          <w:bCs/>
          <w:sz w:val="24"/>
          <w:szCs w:val="24"/>
        </w:rPr>
        <w:t xml:space="preserve">l Marco </w:t>
      </w:r>
      <w:r w:rsidRPr="003E1B21">
        <w:rPr>
          <w:rFonts w:ascii="Times New Roman" w:hAnsi="Times New Roman" w:cs="Times New Roman"/>
          <w:b/>
          <w:bCs/>
          <w:sz w:val="24"/>
          <w:szCs w:val="24"/>
        </w:rPr>
        <w:t>T</w:t>
      </w:r>
      <w:r w:rsidR="003E1B21">
        <w:rPr>
          <w:rFonts w:ascii="Times New Roman" w:hAnsi="Times New Roman" w:cs="Times New Roman"/>
          <w:b/>
          <w:bCs/>
          <w:sz w:val="24"/>
          <w:szCs w:val="24"/>
        </w:rPr>
        <w:t>eórico</w:t>
      </w:r>
    </w:p>
    <w:p w14:paraId="3607725A"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Decisión ante problemas no estructurados (</w:t>
      </w:r>
      <w:proofErr w:type="spellStart"/>
      <w:r w:rsidRPr="00AF5189">
        <w:rPr>
          <w:rFonts w:ascii="Times New Roman" w:hAnsi="Times New Roman" w:cs="Times New Roman"/>
          <w:sz w:val="24"/>
          <w:szCs w:val="24"/>
        </w:rPr>
        <w:t>Simon</w:t>
      </w:r>
      <w:proofErr w:type="spellEnd"/>
      <w:r w:rsidRPr="00AF5189">
        <w:rPr>
          <w:rFonts w:ascii="Times New Roman" w:hAnsi="Times New Roman" w:cs="Times New Roman"/>
          <w:sz w:val="24"/>
          <w:szCs w:val="24"/>
        </w:rPr>
        <w:t>; Ackoff) · Administración estratégica (David)</w:t>
      </w:r>
    </w:p>
    <w:p w14:paraId="649A466D" w14:textId="77777777" w:rsidR="003E1B21" w:rsidRDefault="003E1B21" w:rsidP="00AF5189">
      <w:pPr>
        <w:spacing w:line="360" w:lineRule="auto"/>
        <w:jc w:val="both"/>
        <w:rPr>
          <w:rFonts w:ascii="Times New Roman" w:hAnsi="Times New Roman" w:cs="Times New Roman"/>
          <w:b/>
          <w:bCs/>
          <w:sz w:val="24"/>
          <w:szCs w:val="24"/>
        </w:rPr>
      </w:pPr>
    </w:p>
    <w:p w14:paraId="6C1B02D3" w14:textId="77777777" w:rsidR="003E1B21" w:rsidRDefault="003E1B21" w:rsidP="00AF5189">
      <w:pPr>
        <w:spacing w:line="360" w:lineRule="auto"/>
        <w:jc w:val="both"/>
        <w:rPr>
          <w:rFonts w:ascii="Times New Roman" w:hAnsi="Times New Roman" w:cs="Times New Roman"/>
          <w:b/>
          <w:bCs/>
          <w:sz w:val="24"/>
          <w:szCs w:val="24"/>
        </w:rPr>
      </w:pPr>
    </w:p>
    <w:p w14:paraId="65FC23F7" w14:textId="77777777" w:rsidR="003E1B21" w:rsidRDefault="003E1B21" w:rsidP="00AF5189">
      <w:pPr>
        <w:spacing w:line="360" w:lineRule="auto"/>
        <w:jc w:val="both"/>
        <w:rPr>
          <w:rFonts w:ascii="Times New Roman" w:hAnsi="Times New Roman" w:cs="Times New Roman"/>
          <w:b/>
          <w:bCs/>
          <w:sz w:val="24"/>
          <w:szCs w:val="24"/>
        </w:rPr>
      </w:pPr>
    </w:p>
    <w:p w14:paraId="56BAAF4D" w14:textId="63484140"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lastRenderedPageBreak/>
        <w:t>Taller 2 — Desarrollo del Marco Teórico e Instrumentos</w:t>
      </w:r>
    </w:p>
    <w:p w14:paraId="52E3F72F"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Pregunta 1. Justifique teóricamente la relevancia de la variable independiente (dos autores).</w:t>
      </w:r>
    </w:p>
    <w:p w14:paraId="0E8EBA97"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 xml:space="preserve">La incertidumbre del entorno regulatorio es relevante porque posee sustento teórico y variabilidad observable. </w:t>
      </w:r>
      <w:proofErr w:type="spellStart"/>
      <w:r w:rsidRPr="00AF5189">
        <w:rPr>
          <w:rFonts w:ascii="Times New Roman" w:hAnsi="Times New Roman" w:cs="Times New Roman"/>
          <w:sz w:val="24"/>
          <w:szCs w:val="24"/>
        </w:rPr>
        <w:t>Simon</w:t>
      </w:r>
      <w:proofErr w:type="spellEnd"/>
      <w:r w:rsidRPr="00AF5189">
        <w:rPr>
          <w:rFonts w:ascii="Times New Roman" w:hAnsi="Times New Roman" w:cs="Times New Roman"/>
          <w:sz w:val="24"/>
          <w:szCs w:val="24"/>
        </w:rPr>
        <w:t xml:space="preserve"> (1977) demuestra que el grado de estructuración del entorno determina la complejidad de la decisión gerencial. </w:t>
      </w:r>
      <w:proofErr w:type="spellStart"/>
      <w:r w:rsidRPr="00AF5189">
        <w:rPr>
          <w:rFonts w:ascii="Times New Roman" w:hAnsi="Times New Roman" w:cs="Times New Roman"/>
          <w:sz w:val="24"/>
          <w:szCs w:val="24"/>
        </w:rPr>
        <w:t>Wheelen</w:t>
      </w:r>
      <w:proofErr w:type="spellEnd"/>
      <w:r w:rsidRPr="00AF5189">
        <w:rPr>
          <w:rFonts w:ascii="Times New Roman" w:hAnsi="Times New Roman" w:cs="Times New Roman"/>
          <w:sz w:val="24"/>
          <w:szCs w:val="24"/>
        </w:rPr>
        <w:t xml:space="preserve"> y </w:t>
      </w:r>
      <w:proofErr w:type="spellStart"/>
      <w:r w:rsidRPr="00AF5189">
        <w:rPr>
          <w:rFonts w:ascii="Times New Roman" w:hAnsi="Times New Roman" w:cs="Times New Roman"/>
          <w:sz w:val="24"/>
          <w:szCs w:val="24"/>
        </w:rPr>
        <w:t>Hunger</w:t>
      </w:r>
      <w:proofErr w:type="spellEnd"/>
      <w:r w:rsidRPr="00AF5189">
        <w:rPr>
          <w:rFonts w:ascii="Times New Roman" w:hAnsi="Times New Roman" w:cs="Times New Roman"/>
          <w:sz w:val="24"/>
          <w:szCs w:val="24"/>
        </w:rPr>
        <w:t xml:space="preserve"> (2012) ubican el factor político-legal como una de las dimensiones críticas del análisis PESTEL, capaz de alterar la viabilidad de un modelo de negocio. Ambos respaldan que las variaciones del marco regulatorio producen cambios en el comportamiento estratégico de las firmas.</w:t>
      </w:r>
    </w:p>
    <w:p w14:paraId="1498F7A5"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Pregunta 2. Justifique teóricamente la relevancia de la variable dependiente.</w:t>
      </w:r>
    </w:p>
    <w:p w14:paraId="4B611EAD"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La toma de decisiones estratégicas y éticas es el constructo central porque es la respuesta organizacional que determina la supervivencia del modelo de negocio. David (2017) sostiene que la dirección estratégica se define por la calidad de las decisiones de formulación, implementación y evaluación frente al entorno. Hill et al. (2019) añaden que en los problemas no estructurados no existen respuestas únicas, sino procesos rigurosos de decisión que equilibran criterios económicos, organizacionales y éticos.</w:t>
      </w:r>
    </w:p>
    <w:p w14:paraId="67E2B35A"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Pregunta 3. Diseñe la estructura del instrumento: nombre, objetivo, población, escala y 8 ítems.</w:t>
      </w:r>
    </w:p>
    <w:p w14:paraId="7F078219" w14:textId="77777777" w:rsidR="00AF5189" w:rsidRPr="00AF5189" w:rsidRDefault="00AF5189" w:rsidP="00AF5189">
      <w:pPr>
        <w:spacing w:line="360" w:lineRule="auto"/>
        <w:jc w:val="both"/>
        <w:rPr>
          <w:rFonts w:ascii="Times New Roman" w:hAnsi="Times New Roman" w:cs="Times New Roman"/>
          <w:sz w:val="24"/>
          <w:szCs w:val="24"/>
        </w:rPr>
      </w:pPr>
      <w:r w:rsidRPr="003E1B21">
        <w:rPr>
          <w:rFonts w:ascii="Times New Roman" w:hAnsi="Times New Roman" w:cs="Times New Roman"/>
          <w:b/>
          <w:bCs/>
          <w:sz w:val="24"/>
          <w:szCs w:val="24"/>
        </w:rPr>
        <w:t>(a) Nombre:</w:t>
      </w:r>
      <w:r w:rsidRPr="00AF5189">
        <w:rPr>
          <w:rFonts w:ascii="Times New Roman" w:hAnsi="Times New Roman" w:cs="Times New Roman"/>
          <w:sz w:val="24"/>
          <w:szCs w:val="24"/>
        </w:rPr>
        <w:t xml:space="preserve"> Cuestionario de percepción sobre la gestión estratégica de la incertidumbre regulatoria en plataformas de movilidad.</w:t>
      </w:r>
    </w:p>
    <w:p w14:paraId="5E16E354" w14:textId="77777777" w:rsidR="00AF5189" w:rsidRPr="00AF5189" w:rsidRDefault="00AF5189" w:rsidP="00AF5189">
      <w:pPr>
        <w:spacing w:line="360" w:lineRule="auto"/>
        <w:jc w:val="both"/>
        <w:rPr>
          <w:rFonts w:ascii="Times New Roman" w:hAnsi="Times New Roman" w:cs="Times New Roman"/>
          <w:sz w:val="24"/>
          <w:szCs w:val="24"/>
        </w:rPr>
      </w:pPr>
      <w:r w:rsidRPr="003E1B21">
        <w:rPr>
          <w:rFonts w:ascii="Times New Roman" w:hAnsi="Times New Roman" w:cs="Times New Roman"/>
          <w:b/>
          <w:bCs/>
          <w:sz w:val="24"/>
          <w:szCs w:val="24"/>
        </w:rPr>
        <w:t>(b) Objetivo:</w:t>
      </w:r>
      <w:r w:rsidRPr="00AF5189">
        <w:rPr>
          <w:rFonts w:ascii="Times New Roman" w:hAnsi="Times New Roman" w:cs="Times New Roman"/>
          <w:sz w:val="24"/>
          <w:szCs w:val="24"/>
        </w:rPr>
        <w:t xml:space="preserve"> Valorar cómo los conductores perciben la incidencia del entorno regulatorio en las decisiones estratégicas y éticas de las plataformas.</w:t>
      </w:r>
    </w:p>
    <w:p w14:paraId="2F1BFD3C" w14:textId="77777777" w:rsidR="00AF5189" w:rsidRPr="00AF5189" w:rsidRDefault="00AF5189" w:rsidP="00AF5189">
      <w:pPr>
        <w:spacing w:line="360" w:lineRule="auto"/>
        <w:jc w:val="both"/>
        <w:rPr>
          <w:rFonts w:ascii="Times New Roman" w:hAnsi="Times New Roman" w:cs="Times New Roman"/>
          <w:sz w:val="24"/>
          <w:szCs w:val="24"/>
        </w:rPr>
      </w:pPr>
      <w:r w:rsidRPr="003E1B21">
        <w:rPr>
          <w:rFonts w:ascii="Times New Roman" w:hAnsi="Times New Roman" w:cs="Times New Roman"/>
          <w:b/>
          <w:bCs/>
          <w:sz w:val="24"/>
          <w:szCs w:val="24"/>
        </w:rPr>
        <w:t>(c) Población:</w:t>
      </w:r>
      <w:r w:rsidRPr="00AF5189">
        <w:rPr>
          <w:rFonts w:ascii="Times New Roman" w:hAnsi="Times New Roman" w:cs="Times New Roman"/>
          <w:sz w:val="24"/>
          <w:szCs w:val="24"/>
        </w:rPr>
        <w:t xml:space="preserve"> Conductores activos de la plataforma de movilidad Uber en la ciudad de Quito. Se considera únicamente a Uber por ser la plataforma de mayor presencia que mantiene operaciones en el país, dado que Cabify se retiró del mercado ecuatoriano en marzo de 2023.</w:t>
      </w:r>
    </w:p>
    <w:p w14:paraId="5FCEB9F7" w14:textId="77777777" w:rsidR="00AF5189" w:rsidRPr="00AF5189" w:rsidRDefault="00AF5189" w:rsidP="00AF5189">
      <w:pPr>
        <w:spacing w:line="360" w:lineRule="auto"/>
        <w:jc w:val="both"/>
        <w:rPr>
          <w:rFonts w:ascii="Times New Roman" w:hAnsi="Times New Roman" w:cs="Times New Roman"/>
          <w:sz w:val="24"/>
          <w:szCs w:val="24"/>
        </w:rPr>
      </w:pPr>
      <w:r w:rsidRPr="003E1B21">
        <w:rPr>
          <w:rFonts w:ascii="Times New Roman" w:hAnsi="Times New Roman" w:cs="Times New Roman"/>
          <w:b/>
          <w:bCs/>
          <w:sz w:val="24"/>
          <w:szCs w:val="24"/>
        </w:rPr>
        <w:t>(d) Escala:</w:t>
      </w:r>
      <w:r w:rsidRPr="00AF5189">
        <w:rPr>
          <w:rFonts w:ascii="Times New Roman" w:hAnsi="Times New Roman" w:cs="Times New Roman"/>
          <w:sz w:val="24"/>
          <w:szCs w:val="24"/>
        </w:rPr>
        <w:t xml:space="preserve"> Likert de cinco niveles (1 = Totalmente en desacuerdo; 5 = Totalmente de acuerdo).</w:t>
      </w:r>
    </w:p>
    <w:p w14:paraId="3D9C6002" w14:textId="77777777" w:rsidR="003E1B21" w:rsidRDefault="003E1B21" w:rsidP="00AF5189">
      <w:pPr>
        <w:spacing w:line="360" w:lineRule="auto"/>
        <w:jc w:val="both"/>
        <w:rPr>
          <w:rFonts w:ascii="Times New Roman" w:hAnsi="Times New Roman" w:cs="Times New Roman"/>
          <w:b/>
          <w:bCs/>
          <w:sz w:val="24"/>
          <w:szCs w:val="24"/>
        </w:rPr>
      </w:pPr>
    </w:p>
    <w:p w14:paraId="529CB839" w14:textId="77777777" w:rsidR="003E1B21" w:rsidRDefault="003E1B21" w:rsidP="00AF5189">
      <w:pPr>
        <w:spacing w:line="360" w:lineRule="auto"/>
        <w:jc w:val="both"/>
        <w:rPr>
          <w:rFonts w:ascii="Times New Roman" w:hAnsi="Times New Roman" w:cs="Times New Roman"/>
          <w:b/>
          <w:bCs/>
          <w:sz w:val="24"/>
          <w:szCs w:val="24"/>
        </w:rPr>
      </w:pPr>
    </w:p>
    <w:p w14:paraId="18C12A66" w14:textId="331BF542"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lastRenderedPageBreak/>
        <w:t>(e) Ítems:</w:t>
      </w:r>
    </w:p>
    <w:p w14:paraId="45845396" w14:textId="5857ABD6" w:rsidR="00AF5189" w:rsidRPr="00AF5189" w:rsidRDefault="003E1B21" w:rsidP="00AF51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AF5189" w:rsidRPr="00AF5189">
        <w:rPr>
          <w:rFonts w:ascii="Times New Roman" w:hAnsi="Times New Roman" w:cs="Times New Roman"/>
          <w:sz w:val="24"/>
          <w:szCs w:val="24"/>
        </w:rPr>
        <w:t>El vacío legal existente antes de 2024 generaba inseguridad para los conductores de plataformas. (VI)</w:t>
      </w:r>
    </w:p>
    <w:p w14:paraId="008774BE" w14:textId="779E6D0F" w:rsidR="00AF5189" w:rsidRPr="00AF5189" w:rsidRDefault="003E1B21" w:rsidP="00AF51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AF5189" w:rsidRPr="00AF5189">
        <w:rPr>
          <w:rFonts w:ascii="Times New Roman" w:hAnsi="Times New Roman" w:cs="Times New Roman"/>
          <w:sz w:val="24"/>
          <w:szCs w:val="24"/>
        </w:rPr>
        <w:t>Las sanciones de las autoridades de tránsito afectaban la operación de la plataforma. (VI)</w:t>
      </w:r>
    </w:p>
    <w:p w14:paraId="679648EE" w14:textId="1B204EE5" w:rsidR="00AF5189" w:rsidRPr="00AF5189" w:rsidRDefault="003E1B21" w:rsidP="00AF51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AF5189" w:rsidRPr="00AF5189">
        <w:rPr>
          <w:rFonts w:ascii="Times New Roman" w:hAnsi="Times New Roman" w:cs="Times New Roman"/>
          <w:sz w:val="24"/>
          <w:szCs w:val="24"/>
        </w:rPr>
        <w:t>La sentencia de la Corte Constitucional de 2024 redujo la incertidumbre del sector. (VI)</w:t>
      </w:r>
    </w:p>
    <w:p w14:paraId="0B78BD3D" w14:textId="4B4AE28A" w:rsidR="00AF5189" w:rsidRPr="00AF5189" w:rsidRDefault="003E1B21" w:rsidP="00AF51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AF5189" w:rsidRPr="00AF5189">
        <w:rPr>
          <w:rFonts w:ascii="Times New Roman" w:hAnsi="Times New Roman" w:cs="Times New Roman"/>
          <w:sz w:val="24"/>
          <w:szCs w:val="24"/>
        </w:rPr>
        <w:t>La ausencia de regulación clara dificultaba planificar la actividad a largo plazo. (VI)</w:t>
      </w:r>
    </w:p>
    <w:p w14:paraId="320085E2" w14:textId="5948B95F" w:rsidR="00AF5189" w:rsidRPr="00AF5189" w:rsidRDefault="003E1B21" w:rsidP="00AF51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AF5189" w:rsidRPr="00AF5189">
        <w:rPr>
          <w:rFonts w:ascii="Times New Roman" w:hAnsi="Times New Roman" w:cs="Times New Roman"/>
          <w:sz w:val="24"/>
          <w:szCs w:val="24"/>
        </w:rPr>
        <w:t>Uber tomó decisiones adecuadas para permanecer en el mercado pese a la incertidumbre. (VD)</w:t>
      </w:r>
    </w:p>
    <w:p w14:paraId="591CF5D5" w14:textId="361A526A" w:rsidR="00AF5189" w:rsidRPr="00AF5189" w:rsidRDefault="003E1B21" w:rsidP="00AF51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00AF5189" w:rsidRPr="00AF5189">
        <w:rPr>
          <w:rFonts w:ascii="Times New Roman" w:hAnsi="Times New Roman" w:cs="Times New Roman"/>
          <w:sz w:val="24"/>
          <w:szCs w:val="24"/>
        </w:rPr>
        <w:t>Uber adaptó su modelo de negocio a las condiciones legales del Ecuador. (VD)</w:t>
      </w:r>
    </w:p>
    <w:p w14:paraId="470FD833" w14:textId="26CE7216" w:rsidR="00AF5189" w:rsidRPr="00AF5189" w:rsidRDefault="003E1B21" w:rsidP="00AF51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7. </w:t>
      </w:r>
      <w:r w:rsidR="00AF5189" w:rsidRPr="00AF5189">
        <w:rPr>
          <w:rFonts w:ascii="Times New Roman" w:hAnsi="Times New Roman" w:cs="Times New Roman"/>
          <w:sz w:val="24"/>
          <w:szCs w:val="24"/>
        </w:rPr>
        <w:t>El cumplimiento tributario de la plataforma fortaleció su legitimidad ante la sociedad. (VD)</w:t>
      </w:r>
    </w:p>
    <w:p w14:paraId="45E604FA" w14:textId="4DE65CB4" w:rsidR="00AF5189" w:rsidRPr="00AF5189" w:rsidRDefault="003E1B21" w:rsidP="00AF51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w:t>
      </w:r>
      <w:r w:rsidR="00AF5189" w:rsidRPr="00AF5189">
        <w:rPr>
          <w:rFonts w:ascii="Times New Roman" w:hAnsi="Times New Roman" w:cs="Times New Roman"/>
          <w:sz w:val="24"/>
          <w:szCs w:val="24"/>
        </w:rPr>
        <w:t>Uber actuó de forma ética con los conductores ante el vacío regulatorio. (VD)</w:t>
      </w:r>
    </w:p>
    <w:p w14:paraId="2459CC9B"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Pregunta 4. Proponga el procedimiento de validación: número de expertos, criterios y fórmula V de Aiken.</w:t>
      </w:r>
    </w:p>
    <w:p w14:paraId="240B0B5C"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La validez de contenido se establecerá mediante juicio de tres expertos en estrategia, transporte y metodología, que calificarán cada ítem según claridad, pertinencia y relevancia (Bernal, 2016). La concordancia se cuantificará con el coeficiente V de Aiken:</w:t>
      </w:r>
    </w:p>
    <w:p w14:paraId="56BF92F9" w14:textId="77777777" w:rsidR="00AF5189" w:rsidRPr="003E1B21" w:rsidRDefault="00AF5189" w:rsidP="003E1B21">
      <w:pPr>
        <w:spacing w:line="360" w:lineRule="auto"/>
        <w:jc w:val="center"/>
        <w:rPr>
          <w:rFonts w:ascii="Times New Roman" w:hAnsi="Times New Roman" w:cs="Times New Roman"/>
          <w:b/>
          <w:bCs/>
          <w:sz w:val="24"/>
          <w:szCs w:val="24"/>
        </w:rPr>
      </w:pPr>
      <w:r w:rsidRPr="003E1B21">
        <w:rPr>
          <w:rFonts w:ascii="Times New Roman" w:hAnsi="Times New Roman" w:cs="Times New Roman"/>
          <w:b/>
          <w:bCs/>
          <w:sz w:val="24"/>
          <w:szCs w:val="24"/>
        </w:rPr>
        <w:t>V = S / [ n · (c − 1</w:t>
      </w:r>
      <w:proofErr w:type="gramStart"/>
      <w:r w:rsidRPr="003E1B21">
        <w:rPr>
          <w:rFonts w:ascii="Times New Roman" w:hAnsi="Times New Roman" w:cs="Times New Roman"/>
          <w:b/>
          <w:bCs/>
          <w:sz w:val="24"/>
          <w:szCs w:val="24"/>
        </w:rPr>
        <w:t>) ]</w:t>
      </w:r>
      <w:proofErr w:type="gramEnd"/>
    </w:p>
    <w:p w14:paraId="0E765066"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donde S es la suma de las valoraciones, n el número de expertos y c el número de categorías. Se considerarán válidos los ítems con V ≥ 0,80 (Hernández-Sampieri et al., 2014).</w:t>
      </w:r>
    </w:p>
    <w:p w14:paraId="6BF708C8"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Pregunta 5. Explique cómo evaluará la confiabilidad: coeficiente, software y valor mínimo.</w:t>
      </w:r>
    </w:p>
    <w:p w14:paraId="7F18D58A"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La confiabilidad se evaluará con el coeficiente Alfa de Cronbach, idóneo para escalas de Likert, procesado en SPSS (Hernández-Sampieri et al., 2014). Se considerará aceptable un valor ≥ 0,70 y alto si supera 0,80. Previo a la aplicación definitiva se realizará una prueba piloto con el 10 %–15 % de la muestra (</w:t>
      </w:r>
      <w:proofErr w:type="spellStart"/>
      <w:r w:rsidRPr="00AF5189">
        <w:rPr>
          <w:rFonts w:ascii="Times New Roman" w:hAnsi="Times New Roman" w:cs="Times New Roman"/>
          <w:sz w:val="24"/>
          <w:szCs w:val="24"/>
        </w:rPr>
        <w:t>Baas</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Chable</w:t>
      </w:r>
      <w:proofErr w:type="spellEnd"/>
      <w:r w:rsidRPr="00AF5189">
        <w:rPr>
          <w:rFonts w:ascii="Times New Roman" w:hAnsi="Times New Roman" w:cs="Times New Roman"/>
          <w:sz w:val="24"/>
          <w:szCs w:val="24"/>
        </w:rPr>
        <w:t xml:space="preserve"> et al., 2015).</w:t>
      </w:r>
    </w:p>
    <w:p w14:paraId="76C51D1E"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br w:type="page"/>
      </w:r>
    </w:p>
    <w:p w14:paraId="02FB1032"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lastRenderedPageBreak/>
        <w:t>Anexo B. Desarrollo del Taller 3 — Sección Metodológica y de Resultados</w:t>
      </w:r>
    </w:p>
    <w:p w14:paraId="74A91139"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Este anexo desarrolla las actividades del Taller 3 y constituye la sección metodológica, de resultados y de discusión del ensayo, dando continuidad a la pregunta de investigación, las variables y el instrumento definidos en el Anexo A.</w:t>
      </w:r>
    </w:p>
    <w:p w14:paraId="1506A75B"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B.1. Justificación metodológica</w:t>
      </w:r>
    </w:p>
    <w:p w14:paraId="3B4F0AFA"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La presente investigación adopta un enfoque mixto, que combina el análisis documental de fuentes secundarias con la recolección de datos primarios mediante encuesta, en concordancia con Hernández-Sampieri et al. (2014), quienes sostienen que el enfoque mixto permite una comprensión más completa de fenómenos complejos al integrar la profundidad cualitativa con la precisión cuantitativa. El tipo de investigación es aplicada y de alcance descriptivo-correlacional, pues busca describir el comportamiento de las variables y establecer el grado de relación entre la incertidumbre del entorno regulatorio y la toma de decisiones estratégicas y éticas de las plataformas de movilidad. El diseño es no experimental y de corte transversal, ya que las variables se observan en su contexto natural y en un único momento temporal, sin manipulación deliberada (Bernal, 2016). La dimensión documental se sustenta en normativa, sentencias y prensa especializada, mientras que la dimensión empírica se apoya en un cuestionario aplicado a conductores de Uber, lo que confiere al estudio rigor metodológico y pertinencia práctica para el contexto ecuatoriano.</w:t>
      </w:r>
    </w:p>
    <w:p w14:paraId="6264E625"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B.2. Población, muestra e instrumento</w:t>
      </w:r>
    </w:p>
    <w:p w14:paraId="53DE04AA" w14:textId="05829D90" w:rsidR="00AF5189" w:rsidRPr="00AF5189" w:rsidRDefault="00AF5189" w:rsidP="00AF5189">
      <w:pPr>
        <w:spacing w:line="360" w:lineRule="auto"/>
        <w:jc w:val="both"/>
        <w:rPr>
          <w:rFonts w:ascii="Times New Roman" w:hAnsi="Times New Roman" w:cs="Times New Roman"/>
          <w:sz w:val="24"/>
          <w:szCs w:val="24"/>
        </w:rPr>
      </w:pPr>
      <w:r w:rsidRPr="003E1B21">
        <w:rPr>
          <w:rFonts w:ascii="Times New Roman" w:hAnsi="Times New Roman" w:cs="Times New Roman"/>
          <w:b/>
          <w:bCs/>
          <w:sz w:val="24"/>
          <w:szCs w:val="24"/>
        </w:rPr>
        <w:t>Población</w:t>
      </w:r>
      <w:r w:rsidR="003E1B21">
        <w:rPr>
          <w:rFonts w:ascii="Times New Roman" w:hAnsi="Times New Roman" w:cs="Times New Roman"/>
          <w:b/>
          <w:bCs/>
          <w:sz w:val="24"/>
          <w:szCs w:val="24"/>
        </w:rPr>
        <w:t>:</w:t>
      </w:r>
      <w:r w:rsidRPr="00AF5189">
        <w:rPr>
          <w:rFonts w:ascii="Times New Roman" w:hAnsi="Times New Roman" w:cs="Times New Roman"/>
          <w:sz w:val="24"/>
          <w:szCs w:val="24"/>
        </w:rPr>
        <w:t xml:space="preserve"> La población objetivo está conformada por los conductores activos de la plataforma Uber que operan en la ciudad de Quito. Se delimita el estudio a Uber por ser la plataforma con mayor presencia que mantiene operaciones en el país, dado que Cabify se retiró del mercado ecuatoriano en marzo de 2023 por baja rentabilidad (Primicias, 2023). Al no existir un registro oficial público del número de conductores afiliados, la población se considera infinita o desconocida (</w:t>
      </w:r>
      <w:proofErr w:type="spellStart"/>
      <w:r w:rsidRPr="00AF5189">
        <w:rPr>
          <w:rFonts w:ascii="Times New Roman" w:hAnsi="Times New Roman" w:cs="Times New Roman"/>
          <w:sz w:val="24"/>
          <w:szCs w:val="24"/>
        </w:rPr>
        <w:t>Munch</w:t>
      </w:r>
      <w:proofErr w:type="spellEnd"/>
      <w:r w:rsidRPr="00AF5189">
        <w:rPr>
          <w:rFonts w:ascii="Times New Roman" w:hAnsi="Times New Roman" w:cs="Times New Roman"/>
          <w:sz w:val="24"/>
          <w:szCs w:val="24"/>
        </w:rPr>
        <w:t>, 2009).</w:t>
      </w:r>
    </w:p>
    <w:p w14:paraId="0765C4D4" w14:textId="43501918" w:rsidR="00AF5189" w:rsidRPr="00AF5189" w:rsidRDefault="00AF5189" w:rsidP="00AF5189">
      <w:pPr>
        <w:spacing w:line="360" w:lineRule="auto"/>
        <w:jc w:val="both"/>
        <w:rPr>
          <w:rFonts w:ascii="Times New Roman" w:hAnsi="Times New Roman" w:cs="Times New Roman"/>
          <w:sz w:val="24"/>
          <w:szCs w:val="24"/>
        </w:rPr>
      </w:pPr>
      <w:r w:rsidRPr="003E1B21">
        <w:rPr>
          <w:rFonts w:ascii="Times New Roman" w:hAnsi="Times New Roman" w:cs="Times New Roman"/>
          <w:b/>
          <w:bCs/>
          <w:sz w:val="24"/>
          <w:szCs w:val="24"/>
        </w:rPr>
        <w:t>Muestra</w:t>
      </w:r>
      <w:r w:rsidR="003E1B21">
        <w:rPr>
          <w:rFonts w:ascii="Times New Roman" w:hAnsi="Times New Roman" w:cs="Times New Roman"/>
          <w:b/>
          <w:bCs/>
          <w:sz w:val="24"/>
          <w:szCs w:val="24"/>
        </w:rPr>
        <w:t>:</w:t>
      </w:r>
      <w:r w:rsidRPr="00AF5189">
        <w:rPr>
          <w:rFonts w:ascii="Times New Roman" w:hAnsi="Times New Roman" w:cs="Times New Roman"/>
          <w:sz w:val="24"/>
          <w:szCs w:val="24"/>
        </w:rPr>
        <w:t xml:space="preserve"> El tamaño de la muestra se calcula mediante la fórmula para poblaciones infinitas:</w:t>
      </w:r>
    </w:p>
    <w:p w14:paraId="663CAF09" w14:textId="77777777" w:rsidR="00AF5189" w:rsidRPr="003E1B21" w:rsidRDefault="00AF5189" w:rsidP="003E1B21">
      <w:pPr>
        <w:spacing w:line="360" w:lineRule="auto"/>
        <w:jc w:val="center"/>
        <w:rPr>
          <w:rFonts w:ascii="Times New Roman" w:hAnsi="Times New Roman" w:cs="Times New Roman"/>
          <w:b/>
          <w:bCs/>
          <w:sz w:val="24"/>
          <w:szCs w:val="24"/>
        </w:rPr>
      </w:pPr>
      <w:r w:rsidRPr="003E1B21">
        <w:rPr>
          <w:rFonts w:ascii="Times New Roman" w:hAnsi="Times New Roman" w:cs="Times New Roman"/>
          <w:b/>
          <w:bCs/>
          <w:sz w:val="24"/>
          <w:szCs w:val="24"/>
        </w:rPr>
        <w:t>n = (Z² · p · q) / e²</w:t>
      </w:r>
    </w:p>
    <w:p w14:paraId="4113EB0C"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lastRenderedPageBreak/>
        <w:t>donde Z = 1,96 (95 % de confianza), p = q = 0,5 (máxima variabilidad) y e = 0,18 (margen de error). Al sustituir, n = (1,96² × 0,5 × 0,5) / 0,18² = 30 conductores. El margen del 18 % se justifica por el carácter exploratorio del estudio y el acceso limitado a una población dispersa (Bernal, 2016). La selección se realiza por muestreo no probabilístico de bola de nieve, apropiado cuando la población es de difícil acceso (</w:t>
      </w:r>
      <w:proofErr w:type="spellStart"/>
      <w:r w:rsidRPr="00AF5189">
        <w:rPr>
          <w:rFonts w:ascii="Times New Roman" w:hAnsi="Times New Roman" w:cs="Times New Roman"/>
          <w:sz w:val="24"/>
          <w:szCs w:val="24"/>
        </w:rPr>
        <w:t>Baas</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Chable</w:t>
      </w:r>
      <w:proofErr w:type="spellEnd"/>
      <w:r w:rsidRPr="00AF5189">
        <w:rPr>
          <w:rFonts w:ascii="Times New Roman" w:hAnsi="Times New Roman" w:cs="Times New Roman"/>
          <w:sz w:val="24"/>
          <w:szCs w:val="24"/>
        </w:rPr>
        <w:t xml:space="preserve"> et al., 2015).</w:t>
      </w:r>
    </w:p>
    <w:p w14:paraId="342D1216" w14:textId="63B5EDF6" w:rsidR="00AF5189" w:rsidRPr="00AF5189" w:rsidRDefault="00AF5189" w:rsidP="00AF5189">
      <w:pPr>
        <w:spacing w:line="360" w:lineRule="auto"/>
        <w:jc w:val="both"/>
        <w:rPr>
          <w:rFonts w:ascii="Times New Roman" w:hAnsi="Times New Roman" w:cs="Times New Roman"/>
          <w:sz w:val="24"/>
          <w:szCs w:val="24"/>
        </w:rPr>
      </w:pPr>
      <w:r w:rsidRPr="003E1B21">
        <w:rPr>
          <w:rFonts w:ascii="Times New Roman" w:hAnsi="Times New Roman" w:cs="Times New Roman"/>
          <w:b/>
          <w:bCs/>
          <w:sz w:val="24"/>
          <w:szCs w:val="24"/>
        </w:rPr>
        <w:t>Instrumento</w:t>
      </w:r>
      <w:r w:rsidR="003E1B21" w:rsidRPr="003E1B21">
        <w:rPr>
          <w:rFonts w:ascii="Times New Roman" w:hAnsi="Times New Roman" w:cs="Times New Roman"/>
          <w:b/>
          <w:bCs/>
          <w:sz w:val="24"/>
          <w:szCs w:val="24"/>
        </w:rPr>
        <w:t>:</w:t>
      </w:r>
      <w:r w:rsidR="003E1B21">
        <w:rPr>
          <w:rFonts w:ascii="Times New Roman" w:hAnsi="Times New Roman" w:cs="Times New Roman"/>
          <w:sz w:val="24"/>
          <w:szCs w:val="24"/>
        </w:rPr>
        <w:t xml:space="preserve"> </w:t>
      </w:r>
      <w:r w:rsidRPr="00AF5189">
        <w:rPr>
          <w:rFonts w:ascii="Times New Roman" w:hAnsi="Times New Roman" w:cs="Times New Roman"/>
          <w:sz w:val="24"/>
          <w:szCs w:val="24"/>
        </w:rPr>
        <w:t>Se emplea el cuestionario de ocho ítems en escala de Likert de cinco niveles descrito en el Anexo A, dirigido a conductores de Uber. La validez de contenido se determinará por juicio de tres expertos mediante el coeficiente V de Aiken (≥ 0,80) y la confiabilidad mediante Alfa de Cronbach (≥ 0,70), procesado en SPSS (Hernández-Sampieri et al., 2014).</w:t>
      </w:r>
    </w:p>
    <w:p w14:paraId="401BB0F5"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B.3. Resultados</w:t>
      </w:r>
    </w:p>
    <w:p w14:paraId="6B6D1078" w14:textId="5B5A239F"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 xml:space="preserve">Una vez aplicado el instrumento a la muestra de 30 conductores, los datos se tabularán y procesarán en SPSS. A </w:t>
      </w:r>
      <w:r w:rsidR="003E1B21" w:rsidRPr="00AF5189">
        <w:rPr>
          <w:rFonts w:ascii="Times New Roman" w:hAnsi="Times New Roman" w:cs="Times New Roman"/>
          <w:sz w:val="24"/>
          <w:szCs w:val="24"/>
        </w:rPr>
        <w:t>continuación,</w:t>
      </w:r>
      <w:r w:rsidRPr="00AF5189">
        <w:rPr>
          <w:rFonts w:ascii="Times New Roman" w:hAnsi="Times New Roman" w:cs="Times New Roman"/>
          <w:sz w:val="24"/>
          <w:szCs w:val="24"/>
        </w:rPr>
        <w:t xml:space="preserve"> se presenta la estructura de análisis prevista. Nota: los valores corresponden a la matriz de captura prevista; se reemplazarán por los datos reales una vez aplicada la encuesta.</w:t>
      </w:r>
    </w:p>
    <w:p w14:paraId="521DC5CD"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Tabla 2</w:t>
      </w:r>
    </w:p>
    <w:p w14:paraId="5B3A38BD"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Estadística descriptiva de las variables</w:t>
      </w:r>
    </w:p>
    <w:tbl>
      <w:tblPr>
        <w:tblStyle w:val="Tablanormal2"/>
        <w:tblW w:w="9360" w:type="dxa"/>
        <w:tblLook w:val="04A0" w:firstRow="1" w:lastRow="0" w:firstColumn="1" w:lastColumn="0" w:noHBand="0" w:noVBand="1"/>
      </w:tblPr>
      <w:tblGrid>
        <w:gridCol w:w="3360"/>
        <w:gridCol w:w="1500"/>
        <w:gridCol w:w="1500"/>
        <w:gridCol w:w="1500"/>
        <w:gridCol w:w="1500"/>
      </w:tblGrid>
      <w:tr w:rsidR="00AF5189" w:rsidRPr="00AF5189" w14:paraId="477CFB2A" w14:textId="77777777" w:rsidTr="003E1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39FA0BF"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Variable</w:t>
            </w:r>
          </w:p>
        </w:tc>
        <w:tc>
          <w:tcPr>
            <w:tcW w:w="1500" w:type="dxa"/>
          </w:tcPr>
          <w:p w14:paraId="7DE6A36A" w14:textId="77777777" w:rsidR="00AF5189" w:rsidRPr="00AF5189" w:rsidRDefault="00AF5189" w:rsidP="00AF518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Media</w:t>
            </w:r>
          </w:p>
        </w:tc>
        <w:tc>
          <w:tcPr>
            <w:tcW w:w="1500" w:type="dxa"/>
          </w:tcPr>
          <w:p w14:paraId="14180628" w14:textId="77777777" w:rsidR="00AF5189" w:rsidRPr="00AF5189" w:rsidRDefault="00AF5189" w:rsidP="00AF518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D. típica</w:t>
            </w:r>
          </w:p>
        </w:tc>
        <w:tc>
          <w:tcPr>
            <w:tcW w:w="1500" w:type="dxa"/>
          </w:tcPr>
          <w:p w14:paraId="78B0EEB1" w14:textId="77777777" w:rsidR="00AF5189" w:rsidRPr="00AF5189" w:rsidRDefault="00AF5189" w:rsidP="00AF518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Mín.</w:t>
            </w:r>
          </w:p>
        </w:tc>
        <w:tc>
          <w:tcPr>
            <w:tcW w:w="1500" w:type="dxa"/>
          </w:tcPr>
          <w:p w14:paraId="36C1E50D" w14:textId="77777777" w:rsidR="00AF5189" w:rsidRPr="00AF5189" w:rsidRDefault="00AF5189" w:rsidP="00AF518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Máx.</w:t>
            </w:r>
          </w:p>
        </w:tc>
      </w:tr>
      <w:tr w:rsidR="00AF5189" w:rsidRPr="00AF5189" w14:paraId="4E44C684" w14:textId="77777777" w:rsidTr="003E1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0BC5320"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Incertidumbre del entorno regulatorio (VI)</w:t>
            </w:r>
          </w:p>
        </w:tc>
        <w:tc>
          <w:tcPr>
            <w:tcW w:w="1500" w:type="dxa"/>
          </w:tcPr>
          <w:p w14:paraId="73CDB66F"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  ]</w:t>
            </w:r>
          </w:p>
        </w:tc>
        <w:tc>
          <w:tcPr>
            <w:tcW w:w="1500" w:type="dxa"/>
          </w:tcPr>
          <w:p w14:paraId="35DCA8ED"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  ]</w:t>
            </w:r>
          </w:p>
        </w:tc>
        <w:tc>
          <w:tcPr>
            <w:tcW w:w="1500" w:type="dxa"/>
          </w:tcPr>
          <w:p w14:paraId="6D495573"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1</w:t>
            </w:r>
          </w:p>
        </w:tc>
        <w:tc>
          <w:tcPr>
            <w:tcW w:w="1500" w:type="dxa"/>
          </w:tcPr>
          <w:p w14:paraId="31601650"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5</w:t>
            </w:r>
          </w:p>
        </w:tc>
      </w:tr>
      <w:tr w:rsidR="00AF5189" w:rsidRPr="00AF5189" w14:paraId="1DFD4519" w14:textId="77777777" w:rsidTr="003E1B21">
        <w:tc>
          <w:tcPr>
            <w:cnfStyle w:val="001000000000" w:firstRow="0" w:lastRow="0" w:firstColumn="1" w:lastColumn="0" w:oddVBand="0" w:evenVBand="0" w:oddHBand="0" w:evenHBand="0" w:firstRowFirstColumn="0" w:firstRowLastColumn="0" w:lastRowFirstColumn="0" w:lastRowLastColumn="0"/>
            <w:tcW w:w="3360" w:type="dxa"/>
          </w:tcPr>
          <w:p w14:paraId="3F808C6C"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Toma de decisiones estratégicas y éticas (VD)</w:t>
            </w:r>
          </w:p>
        </w:tc>
        <w:tc>
          <w:tcPr>
            <w:tcW w:w="1500" w:type="dxa"/>
          </w:tcPr>
          <w:p w14:paraId="4197D63D" w14:textId="77777777" w:rsidR="00AF5189" w:rsidRPr="00AF5189" w:rsidRDefault="00AF5189" w:rsidP="00AF518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  ]</w:t>
            </w:r>
          </w:p>
        </w:tc>
        <w:tc>
          <w:tcPr>
            <w:tcW w:w="1500" w:type="dxa"/>
          </w:tcPr>
          <w:p w14:paraId="7902B52D" w14:textId="77777777" w:rsidR="00AF5189" w:rsidRPr="00AF5189" w:rsidRDefault="00AF5189" w:rsidP="00AF518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  ]</w:t>
            </w:r>
          </w:p>
        </w:tc>
        <w:tc>
          <w:tcPr>
            <w:tcW w:w="1500" w:type="dxa"/>
          </w:tcPr>
          <w:p w14:paraId="77ED8970" w14:textId="77777777" w:rsidR="00AF5189" w:rsidRPr="00AF5189" w:rsidRDefault="00AF5189" w:rsidP="00AF518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1</w:t>
            </w:r>
          </w:p>
        </w:tc>
        <w:tc>
          <w:tcPr>
            <w:tcW w:w="1500" w:type="dxa"/>
          </w:tcPr>
          <w:p w14:paraId="6EBE84E5" w14:textId="77777777" w:rsidR="00AF5189" w:rsidRPr="00AF5189" w:rsidRDefault="00AF5189" w:rsidP="00AF518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5</w:t>
            </w:r>
          </w:p>
        </w:tc>
      </w:tr>
    </w:tbl>
    <w:p w14:paraId="185085F5" w14:textId="77777777" w:rsidR="00AF5189" w:rsidRPr="00AF5189" w:rsidRDefault="00AF5189" w:rsidP="00AF5189">
      <w:pPr>
        <w:spacing w:line="360" w:lineRule="auto"/>
        <w:jc w:val="both"/>
        <w:rPr>
          <w:rFonts w:ascii="Times New Roman" w:hAnsi="Times New Roman" w:cs="Times New Roman"/>
          <w:sz w:val="24"/>
          <w:szCs w:val="24"/>
        </w:rPr>
      </w:pPr>
      <w:r w:rsidRPr="003E1B21">
        <w:rPr>
          <w:rFonts w:ascii="Times New Roman" w:hAnsi="Times New Roman" w:cs="Times New Roman"/>
          <w:b/>
          <w:bCs/>
          <w:sz w:val="24"/>
          <w:szCs w:val="24"/>
        </w:rPr>
        <w:t>Nota.</w:t>
      </w:r>
      <w:r w:rsidRPr="00AF5189">
        <w:rPr>
          <w:rFonts w:ascii="Times New Roman" w:hAnsi="Times New Roman" w:cs="Times New Roman"/>
          <w:sz w:val="24"/>
          <w:szCs w:val="24"/>
        </w:rPr>
        <w:t xml:space="preserve"> Elaboración propia a partir de la encuesta (n = 30).</w:t>
      </w:r>
    </w:p>
    <w:p w14:paraId="4C48538A" w14:textId="77777777" w:rsidR="003E1B21" w:rsidRDefault="003E1B21" w:rsidP="00AF5189">
      <w:pPr>
        <w:spacing w:line="360" w:lineRule="auto"/>
        <w:jc w:val="both"/>
        <w:rPr>
          <w:rFonts w:ascii="Times New Roman" w:hAnsi="Times New Roman" w:cs="Times New Roman"/>
          <w:sz w:val="24"/>
          <w:szCs w:val="24"/>
        </w:rPr>
      </w:pPr>
    </w:p>
    <w:p w14:paraId="27213C24" w14:textId="77777777" w:rsidR="003E1B21" w:rsidRDefault="003E1B21" w:rsidP="00AF5189">
      <w:pPr>
        <w:spacing w:line="360" w:lineRule="auto"/>
        <w:jc w:val="both"/>
        <w:rPr>
          <w:rFonts w:ascii="Times New Roman" w:hAnsi="Times New Roman" w:cs="Times New Roman"/>
          <w:sz w:val="24"/>
          <w:szCs w:val="24"/>
        </w:rPr>
      </w:pPr>
    </w:p>
    <w:p w14:paraId="287D782E" w14:textId="77777777" w:rsidR="003E1B21" w:rsidRDefault="003E1B21" w:rsidP="00AF5189">
      <w:pPr>
        <w:spacing w:line="360" w:lineRule="auto"/>
        <w:jc w:val="both"/>
        <w:rPr>
          <w:rFonts w:ascii="Times New Roman" w:hAnsi="Times New Roman" w:cs="Times New Roman"/>
          <w:sz w:val="24"/>
          <w:szCs w:val="24"/>
        </w:rPr>
      </w:pPr>
    </w:p>
    <w:p w14:paraId="509DB36C" w14:textId="77777777" w:rsidR="003E1B21" w:rsidRDefault="003E1B21" w:rsidP="00AF5189">
      <w:pPr>
        <w:spacing w:line="360" w:lineRule="auto"/>
        <w:jc w:val="both"/>
        <w:rPr>
          <w:rFonts w:ascii="Times New Roman" w:hAnsi="Times New Roman" w:cs="Times New Roman"/>
          <w:sz w:val="24"/>
          <w:szCs w:val="24"/>
        </w:rPr>
      </w:pPr>
    </w:p>
    <w:p w14:paraId="0DC74E17" w14:textId="77777777" w:rsidR="003E1B21" w:rsidRDefault="003E1B21" w:rsidP="00AF5189">
      <w:pPr>
        <w:spacing w:line="360" w:lineRule="auto"/>
        <w:jc w:val="both"/>
        <w:rPr>
          <w:rFonts w:ascii="Times New Roman" w:hAnsi="Times New Roman" w:cs="Times New Roman"/>
          <w:sz w:val="24"/>
          <w:szCs w:val="24"/>
        </w:rPr>
      </w:pPr>
    </w:p>
    <w:p w14:paraId="642FD27B" w14:textId="4CF929D9"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lastRenderedPageBreak/>
        <w:t>Tabla 3</w:t>
      </w:r>
    </w:p>
    <w:p w14:paraId="19AAA7A8"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Correlación de Pearson entre las variables</w:t>
      </w:r>
    </w:p>
    <w:tbl>
      <w:tblPr>
        <w:tblStyle w:val="Tablanormal2"/>
        <w:tblW w:w="9360" w:type="dxa"/>
        <w:tblLook w:val="04A0" w:firstRow="1" w:lastRow="0" w:firstColumn="1" w:lastColumn="0" w:noHBand="0" w:noVBand="1"/>
      </w:tblPr>
      <w:tblGrid>
        <w:gridCol w:w="4680"/>
        <w:gridCol w:w="2340"/>
        <w:gridCol w:w="2340"/>
      </w:tblGrid>
      <w:tr w:rsidR="00AF5189" w:rsidRPr="00AF5189" w14:paraId="26771628" w14:textId="77777777" w:rsidTr="003E1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EE8BE2" w14:textId="77777777" w:rsidR="00AF5189" w:rsidRPr="00AF5189" w:rsidRDefault="00AF5189" w:rsidP="00AF5189">
            <w:pPr>
              <w:spacing w:line="360" w:lineRule="auto"/>
              <w:jc w:val="both"/>
              <w:rPr>
                <w:rFonts w:ascii="Times New Roman" w:hAnsi="Times New Roman" w:cs="Times New Roman"/>
                <w:sz w:val="24"/>
                <w:szCs w:val="24"/>
              </w:rPr>
            </w:pPr>
          </w:p>
        </w:tc>
        <w:tc>
          <w:tcPr>
            <w:tcW w:w="2340" w:type="dxa"/>
          </w:tcPr>
          <w:p w14:paraId="54792B40" w14:textId="77777777" w:rsidR="00AF5189" w:rsidRPr="00AF5189" w:rsidRDefault="00AF5189" w:rsidP="00AF518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VI</w:t>
            </w:r>
          </w:p>
        </w:tc>
        <w:tc>
          <w:tcPr>
            <w:tcW w:w="2340" w:type="dxa"/>
          </w:tcPr>
          <w:p w14:paraId="477D2166" w14:textId="77777777" w:rsidR="00AF5189" w:rsidRPr="00AF5189" w:rsidRDefault="00AF5189" w:rsidP="00AF518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VD</w:t>
            </w:r>
          </w:p>
        </w:tc>
      </w:tr>
      <w:tr w:rsidR="00AF5189" w:rsidRPr="00AF5189" w14:paraId="7EDD1DAF" w14:textId="77777777" w:rsidTr="003E1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99B6AD"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Incertidumbre regulatoria (VI) — r</w:t>
            </w:r>
          </w:p>
        </w:tc>
        <w:tc>
          <w:tcPr>
            <w:tcW w:w="2340" w:type="dxa"/>
          </w:tcPr>
          <w:p w14:paraId="4101E2E3"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1</w:t>
            </w:r>
          </w:p>
        </w:tc>
        <w:tc>
          <w:tcPr>
            <w:tcW w:w="2340" w:type="dxa"/>
          </w:tcPr>
          <w:p w14:paraId="006A08B8"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 xml:space="preserve">[ </w:t>
            </w:r>
            <w:proofErr w:type="gramStart"/>
            <w:r w:rsidRPr="00AF5189">
              <w:rPr>
                <w:rFonts w:ascii="Times New Roman" w:hAnsi="Times New Roman" w:cs="Times New Roman"/>
                <w:sz w:val="24"/>
                <w:szCs w:val="24"/>
              </w:rPr>
              <w:t>r ]</w:t>
            </w:r>
            <w:proofErr w:type="gramEnd"/>
          </w:p>
        </w:tc>
      </w:tr>
      <w:tr w:rsidR="00AF5189" w:rsidRPr="00AF5189" w14:paraId="491EC4BC" w14:textId="77777777" w:rsidTr="003E1B21">
        <w:tc>
          <w:tcPr>
            <w:cnfStyle w:val="001000000000" w:firstRow="0" w:lastRow="0" w:firstColumn="1" w:lastColumn="0" w:oddVBand="0" w:evenVBand="0" w:oddHBand="0" w:evenHBand="0" w:firstRowFirstColumn="0" w:firstRowLastColumn="0" w:lastRowFirstColumn="0" w:lastRowLastColumn="0"/>
            <w:tcW w:w="4680" w:type="dxa"/>
          </w:tcPr>
          <w:p w14:paraId="03C8AE2D"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Decisiones estratégicas y éticas (VD) — r</w:t>
            </w:r>
          </w:p>
        </w:tc>
        <w:tc>
          <w:tcPr>
            <w:tcW w:w="2340" w:type="dxa"/>
          </w:tcPr>
          <w:p w14:paraId="44CEAFEA" w14:textId="77777777" w:rsidR="00AF5189" w:rsidRPr="00AF5189" w:rsidRDefault="00AF5189" w:rsidP="00AF518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 xml:space="preserve">[ </w:t>
            </w:r>
            <w:proofErr w:type="gramStart"/>
            <w:r w:rsidRPr="00AF5189">
              <w:rPr>
                <w:rFonts w:ascii="Times New Roman" w:hAnsi="Times New Roman" w:cs="Times New Roman"/>
                <w:sz w:val="24"/>
                <w:szCs w:val="24"/>
              </w:rPr>
              <w:t>r ]</w:t>
            </w:r>
            <w:proofErr w:type="gramEnd"/>
          </w:p>
        </w:tc>
        <w:tc>
          <w:tcPr>
            <w:tcW w:w="2340" w:type="dxa"/>
          </w:tcPr>
          <w:p w14:paraId="483F8D5B" w14:textId="77777777" w:rsidR="00AF5189" w:rsidRPr="00AF5189" w:rsidRDefault="00AF5189" w:rsidP="00AF518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1</w:t>
            </w:r>
          </w:p>
        </w:tc>
      </w:tr>
      <w:tr w:rsidR="00AF5189" w:rsidRPr="00AF5189" w14:paraId="0DBCEC89" w14:textId="77777777" w:rsidTr="003E1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6E309F"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Significancia (p-valor, bilateral)</w:t>
            </w:r>
          </w:p>
        </w:tc>
        <w:tc>
          <w:tcPr>
            <w:tcW w:w="2340" w:type="dxa"/>
          </w:tcPr>
          <w:p w14:paraId="6A4C12CF"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 xml:space="preserve">[ </w:t>
            </w:r>
            <w:proofErr w:type="gramStart"/>
            <w:r w:rsidRPr="00AF5189">
              <w:rPr>
                <w:rFonts w:ascii="Times New Roman" w:hAnsi="Times New Roman" w:cs="Times New Roman"/>
                <w:sz w:val="24"/>
                <w:szCs w:val="24"/>
              </w:rPr>
              <w:t>p ]</w:t>
            </w:r>
            <w:proofErr w:type="gramEnd"/>
          </w:p>
        </w:tc>
        <w:tc>
          <w:tcPr>
            <w:tcW w:w="2340" w:type="dxa"/>
          </w:tcPr>
          <w:p w14:paraId="037A813E" w14:textId="77777777" w:rsidR="00AF5189" w:rsidRPr="00AF5189" w:rsidRDefault="00AF5189" w:rsidP="00AF518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189">
              <w:rPr>
                <w:rFonts w:ascii="Times New Roman" w:hAnsi="Times New Roman" w:cs="Times New Roman"/>
                <w:sz w:val="24"/>
                <w:szCs w:val="24"/>
              </w:rPr>
              <w:t xml:space="preserve">[ </w:t>
            </w:r>
            <w:proofErr w:type="gramStart"/>
            <w:r w:rsidRPr="00AF5189">
              <w:rPr>
                <w:rFonts w:ascii="Times New Roman" w:hAnsi="Times New Roman" w:cs="Times New Roman"/>
                <w:sz w:val="24"/>
                <w:szCs w:val="24"/>
              </w:rPr>
              <w:t>p ]</w:t>
            </w:r>
            <w:proofErr w:type="gramEnd"/>
          </w:p>
        </w:tc>
      </w:tr>
    </w:tbl>
    <w:p w14:paraId="23CB0269" w14:textId="77777777" w:rsidR="00AF5189" w:rsidRPr="00AF5189" w:rsidRDefault="00AF5189" w:rsidP="00AF5189">
      <w:pPr>
        <w:spacing w:line="360" w:lineRule="auto"/>
        <w:jc w:val="both"/>
        <w:rPr>
          <w:rFonts w:ascii="Times New Roman" w:hAnsi="Times New Roman" w:cs="Times New Roman"/>
          <w:sz w:val="24"/>
          <w:szCs w:val="24"/>
        </w:rPr>
      </w:pPr>
      <w:r w:rsidRPr="003E1B21">
        <w:rPr>
          <w:rFonts w:ascii="Times New Roman" w:hAnsi="Times New Roman" w:cs="Times New Roman"/>
          <w:b/>
          <w:bCs/>
          <w:sz w:val="24"/>
          <w:szCs w:val="24"/>
        </w:rPr>
        <w:t>Nota.</w:t>
      </w:r>
      <w:r w:rsidRPr="00AF5189">
        <w:rPr>
          <w:rFonts w:ascii="Times New Roman" w:hAnsi="Times New Roman" w:cs="Times New Roman"/>
          <w:sz w:val="24"/>
          <w:szCs w:val="24"/>
        </w:rPr>
        <w:t xml:space="preserve"> Elaboración propia. Correlación significativa si p &lt; 0,05.</w:t>
      </w:r>
    </w:p>
    <w:p w14:paraId="3E284A4A" w14:textId="7DCE29B8" w:rsidR="00AF5189" w:rsidRPr="00AF5189" w:rsidRDefault="00AF5189" w:rsidP="00AF5189">
      <w:pPr>
        <w:spacing w:line="360" w:lineRule="auto"/>
        <w:jc w:val="both"/>
        <w:rPr>
          <w:rFonts w:ascii="Times New Roman" w:hAnsi="Times New Roman" w:cs="Times New Roman"/>
          <w:sz w:val="24"/>
          <w:szCs w:val="24"/>
        </w:rPr>
      </w:pPr>
      <w:r w:rsidRPr="003E1B21">
        <w:rPr>
          <w:rFonts w:ascii="Times New Roman" w:hAnsi="Times New Roman" w:cs="Times New Roman"/>
          <w:b/>
          <w:bCs/>
          <w:sz w:val="24"/>
          <w:szCs w:val="24"/>
        </w:rPr>
        <w:t>Interpretación</w:t>
      </w:r>
      <w:r w:rsidR="003E1B21">
        <w:rPr>
          <w:rFonts w:ascii="Times New Roman" w:hAnsi="Times New Roman" w:cs="Times New Roman"/>
          <w:sz w:val="24"/>
          <w:szCs w:val="24"/>
        </w:rPr>
        <w:t>:</w:t>
      </w:r>
      <w:r w:rsidRPr="00AF5189">
        <w:rPr>
          <w:rFonts w:ascii="Times New Roman" w:hAnsi="Times New Roman" w:cs="Times New Roman"/>
          <w:sz w:val="24"/>
          <w:szCs w:val="24"/>
        </w:rPr>
        <w:t xml:space="preserve"> El coeficiente de Pearson (r) medirá la fuerza y dirección de la relación. Según Hernández-Sampieri et al. (2014), un valor entre 0,40 y 0,69 indica correlación positiva moderada, y entre 0,70 y 0,89 considerable. Si el p-valor es menor que 0,05, la relación será significativa, lo que confirmaría que la incertidumbre regulatoria incide en las decisiones estratégicas y éticas. Se espera una correlación positiva: a mayor percepción de incertidumbre, mayor exigencia de decisiones deliberadas.</w:t>
      </w:r>
    </w:p>
    <w:p w14:paraId="2AB6D20D" w14:textId="77777777"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t>B.4. Discusión de hallazgos</w:t>
      </w:r>
    </w:p>
    <w:p w14:paraId="42A4F60B"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 xml:space="preserve">Los resultados previstos se interpretan a la luz de los aportes del módulo. La correlación positiva esperada concuerda con </w:t>
      </w:r>
      <w:proofErr w:type="spellStart"/>
      <w:r w:rsidRPr="00AF5189">
        <w:rPr>
          <w:rFonts w:ascii="Times New Roman" w:hAnsi="Times New Roman" w:cs="Times New Roman"/>
          <w:sz w:val="24"/>
          <w:szCs w:val="24"/>
        </w:rPr>
        <w:t>Simon</w:t>
      </w:r>
      <w:proofErr w:type="spellEnd"/>
      <w:r w:rsidRPr="00AF5189">
        <w:rPr>
          <w:rFonts w:ascii="Times New Roman" w:hAnsi="Times New Roman" w:cs="Times New Roman"/>
          <w:sz w:val="24"/>
          <w:szCs w:val="24"/>
        </w:rPr>
        <w:t xml:space="preserve"> (1977), quien sostiene que cuanto menos estructurado es el entorno de una decisión, mayor es la complejidad del proceso directivo y más necesario resulta un análisis deliberado que integre criterios económicos, organizacionales y éticos. En el caso de Uber, la ausencia de un marco legal claro hasta 2024 habría obligado a sus directivos a decidir sin certezas. De igual modo, David (2017) plantea que la dirección estratégica depende de la lectura permanente del entorno político-legal; los hallazgos confirmarían que las variaciones regulatorias actúan como factores externos determinantes que reconfiguran la estrategia. La salida de Cabify en 2023 ilustra el extremo de esta lógica: una decisión de abandono ante un entorno percibido como inviable. Ambos autores coinciden en que la calidad de la decisión, y no solo la innovación tecnológica, explica la sostenibilidad del modelo de negocio. No obstante, el estudio presenta una limitación metodológica: el tamaño muestral (n = 30) y el muestreo por bola de nieve restringen la representatividad y la generalización de los resultados, que deben interpretarse como evidencia exploratoria válida para el contexto analizado.</w:t>
      </w:r>
    </w:p>
    <w:p w14:paraId="1111B27D" w14:textId="77777777" w:rsidR="003E1B21" w:rsidRDefault="003E1B21" w:rsidP="00AF5189">
      <w:pPr>
        <w:spacing w:line="360" w:lineRule="auto"/>
        <w:jc w:val="both"/>
        <w:rPr>
          <w:rFonts w:ascii="Times New Roman" w:hAnsi="Times New Roman" w:cs="Times New Roman"/>
          <w:sz w:val="24"/>
          <w:szCs w:val="24"/>
        </w:rPr>
      </w:pPr>
    </w:p>
    <w:p w14:paraId="4D7FDC1C" w14:textId="69237A24" w:rsidR="00AF5189" w:rsidRPr="003E1B21" w:rsidRDefault="00AF5189" w:rsidP="00AF5189">
      <w:pPr>
        <w:spacing w:line="360" w:lineRule="auto"/>
        <w:jc w:val="both"/>
        <w:rPr>
          <w:rFonts w:ascii="Times New Roman" w:hAnsi="Times New Roman" w:cs="Times New Roman"/>
          <w:b/>
          <w:bCs/>
          <w:sz w:val="24"/>
          <w:szCs w:val="24"/>
        </w:rPr>
      </w:pPr>
      <w:r w:rsidRPr="003E1B21">
        <w:rPr>
          <w:rFonts w:ascii="Times New Roman" w:hAnsi="Times New Roman" w:cs="Times New Roman"/>
          <w:b/>
          <w:bCs/>
          <w:sz w:val="24"/>
          <w:szCs w:val="24"/>
        </w:rPr>
        <w:lastRenderedPageBreak/>
        <w:t>Referencias bibliográficas</w:t>
      </w:r>
    </w:p>
    <w:p w14:paraId="3D2C0F64"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 xml:space="preserve">Ackoff, R. L. (1999). </w:t>
      </w:r>
      <w:proofErr w:type="spellStart"/>
      <w:r w:rsidRPr="00AF5189">
        <w:rPr>
          <w:rFonts w:ascii="Times New Roman" w:hAnsi="Times New Roman" w:cs="Times New Roman"/>
          <w:sz w:val="24"/>
          <w:szCs w:val="24"/>
        </w:rPr>
        <w:t>Re-creating</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the</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corporation</w:t>
      </w:r>
      <w:proofErr w:type="spellEnd"/>
      <w:r w:rsidRPr="00AF5189">
        <w:rPr>
          <w:rFonts w:ascii="Times New Roman" w:hAnsi="Times New Roman" w:cs="Times New Roman"/>
          <w:sz w:val="24"/>
          <w:szCs w:val="24"/>
        </w:rPr>
        <w:t xml:space="preserve">: A </w:t>
      </w:r>
      <w:proofErr w:type="spellStart"/>
      <w:r w:rsidRPr="00AF5189">
        <w:rPr>
          <w:rFonts w:ascii="Times New Roman" w:hAnsi="Times New Roman" w:cs="Times New Roman"/>
          <w:sz w:val="24"/>
          <w:szCs w:val="24"/>
        </w:rPr>
        <w:t>design</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of</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organizations</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for</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the</w:t>
      </w:r>
      <w:proofErr w:type="spellEnd"/>
      <w:r w:rsidRPr="00AF5189">
        <w:rPr>
          <w:rFonts w:ascii="Times New Roman" w:hAnsi="Times New Roman" w:cs="Times New Roman"/>
          <w:sz w:val="24"/>
          <w:szCs w:val="24"/>
        </w:rPr>
        <w:t xml:space="preserve"> 21st </w:t>
      </w:r>
      <w:proofErr w:type="spellStart"/>
      <w:r w:rsidRPr="00AF5189">
        <w:rPr>
          <w:rFonts w:ascii="Times New Roman" w:hAnsi="Times New Roman" w:cs="Times New Roman"/>
          <w:sz w:val="24"/>
          <w:szCs w:val="24"/>
        </w:rPr>
        <w:t>century</w:t>
      </w:r>
      <w:proofErr w:type="spellEnd"/>
      <w:r w:rsidRPr="00AF5189">
        <w:rPr>
          <w:rFonts w:ascii="Times New Roman" w:hAnsi="Times New Roman" w:cs="Times New Roman"/>
          <w:sz w:val="24"/>
          <w:szCs w:val="24"/>
        </w:rPr>
        <w:t xml:space="preserve">. Oxford </w:t>
      </w:r>
      <w:proofErr w:type="spellStart"/>
      <w:r w:rsidRPr="00AF5189">
        <w:rPr>
          <w:rFonts w:ascii="Times New Roman" w:hAnsi="Times New Roman" w:cs="Times New Roman"/>
          <w:sz w:val="24"/>
          <w:szCs w:val="24"/>
        </w:rPr>
        <w:t>University</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Press</w:t>
      </w:r>
      <w:proofErr w:type="spellEnd"/>
      <w:r w:rsidRPr="00AF5189">
        <w:rPr>
          <w:rFonts w:ascii="Times New Roman" w:hAnsi="Times New Roman" w:cs="Times New Roman"/>
          <w:sz w:val="24"/>
          <w:szCs w:val="24"/>
        </w:rPr>
        <w:t>.</w:t>
      </w:r>
    </w:p>
    <w:p w14:paraId="5E573469" w14:textId="77777777" w:rsidR="00AF5189" w:rsidRPr="00AF5189" w:rsidRDefault="00AF5189" w:rsidP="00AF5189">
      <w:pPr>
        <w:spacing w:line="360" w:lineRule="auto"/>
        <w:jc w:val="both"/>
        <w:rPr>
          <w:rFonts w:ascii="Times New Roman" w:hAnsi="Times New Roman" w:cs="Times New Roman"/>
          <w:sz w:val="24"/>
          <w:szCs w:val="24"/>
        </w:rPr>
      </w:pPr>
      <w:proofErr w:type="spellStart"/>
      <w:r w:rsidRPr="00AF5189">
        <w:rPr>
          <w:rFonts w:ascii="Times New Roman" w:hAnsi="Times New Roman" w:cs="Times New Roman"/>
          <w:sz w:val="24"/>
          <w:szCs w:val="24"/>
        </w:rPr>
        <w:t>Baas</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Chable</w:t>
      </w:r>
      <w:proofErr w:type="spellEnd"/>
      <w:r w:rsidRPr="00AF5189">
        <w:rPr>
          <w:rFonts w:ascii="Times New Roman" w:hAnsi="Times New Roman" w:cs="Times New Roman"/>
          <w:sz w:val="24"/>
          <w:szCs w:val="24"/>
        </w:rPr>
        <w:t>, M. I., Barceló Méndez, M. G., &amp; Herrera Garnica, G. R. (2015). Metodología de la investigación. Pearson.</w:t>
      </w:r>
    </w:p>
    <w:p w14:paraId="52828C1E"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Bernal, C. (2016). Metodología de la investigación (4.ª ed.). Pearson.</w:t>
      </w:r>
    </w:p>
    <w:p w14:paraId="75462AEB"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Burbano, M. (2020). Economía colaborativa y regulación del transporte: el caso de Uber y Cabify en el Ecuador [Tesis de maestría, Universidad Andina Simón Bolívar]. Repositorio UASB. https://repositorio.uasb.edu.ec/</w:t>
      </w:r>
    </w:p>
    <w:p w14:paraId="1FE97947"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David, F. R. (2017). Conceptos de administración estratégica (15.ª ed.). Pearson.</w:t>
      </w:r>
    </w:p>
    <w:p w14:paraId="5ADE4EAA"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El Comercio. (2020, 27 de febrero). Regularización de plataformas digitales de transporte se definirá tras la vacancia legislativa. https://www.elcomercio.com/</w:t>
      </w:r>
    </w:p>
    <w:p w14:paraId="1D7CC09A"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El Telégrafo. (2022, 27 de marzo). Uber en el limbo. https://www.eltelegrafo.com.ec/</w:t>
      </w:r>
    </w:p>
    <w:p w14:paraId="55F59C8D"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GK. (2022, 23 de marzo). ¿Son legales Uber, Didi y Cabify en Ecuador? Te contamos. https://gk.city/</w:t>
      </w:r>
    </w:p>
    <w:p w14:paraId="4A83A770"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Hernández-Sampieri, R., Fernández Collado, C., &amp; Baptista Lucio, P. (2014). Metodología de la investigación (6.ª ed.). McGraw-Hill.</w:t>
      </w:r>
    </w:p>
    <w:p w14:paraId="37BB41D7"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 xml:space="preserve">Hill, C. W. L., Schilling, M. A., &amp; Jones, G. R. (2019). Administración estratégica: un enfoque integral. Cengage </w:t>
      </w:r>
      <w:proofErr w:type="spellStart"/>
      <w:r w:rsidRPr="00AF5189">
        <w:rPr>
          <w:rFonts w:ascii="Times New Roman" w:hAnsi="Times New Roman" w:cs="Times New Roman"/>
          <w:sz w:val="24"/>
          <w:szCs w:val="24"/>
        </w:rPr>
        <w:t>Learning</w:t>
      </w:r>
      <w:proofErr w:type="spellEnd"/>
      <w:r w:rsidRPr="00AF5189">
        <w:rPr>
          <w:rFonts w:ascii="Times New Roman" w:hAnsi="Times New Roman" w:cs="Times New Roman"/>
          <w:sz w:val="24"/>
          <w:szCs w:val="24"/>
        </w:rPr>
        <w:t>.</w:t>
      </w:r>
    </w:p>
    <w:p w14:paraId="25D999E4" w14:textId="77777777" w:rsidR="00AF5189" w:rsidRPr="00AF5189" w:rsidRDefault="00AF5189" w:rsidP="00AF5189">
      <w:pPr>
        <w:spacing w:line="360" w:lineRule="auto"/>
        <w:jc w:val="both"/>
        <w:rPr>
          <w:rFonts w:ascii="Times New Roman" w:hAnsi="Times New Roman" w:cs="Times New Roman"/>
          <w:sz w:val="24"/>
          <w:szCs w:val="24"/>
        </w:rPr>
      </w:pPr>
      <w:proofErr w:type="spellStart"/>
      <w:r w:rsidRPr="00AF5189">
        <w:rPr>
          <w:rFonts w:ascii="Times New Roman" w:hAnsi="Times New Roman" w:cs="Times New Roman"/>
          <w:sz w:val="24"/>
          <w:szCs w:val="24"/>
        </w:rPr>
        <w:t>LexLatin</w:t>
      </w:r>
      <w:proofErr w:type="spellEnd"/>
      <w:r w:rsidRPr="00AF5189">
        <w:rPr>
          <w:rFonts w:ascii="Times New Roman" w:hAnsi="Times New Roman" w:cs="Times New Roman"/>
          <w:sz w:val="24"/>
          <w:szCs w:val="24"/>
        </w:rPr>
        <w:t>. (2017, 8 de agosto). Uber, Cabify y el principio de legalidad en Ecuador. https://lexlatin.com/</w:t>
      </w:r>
    </w:p>
    <w:p w14:paraId="27F18FEE"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López Jordán, E. S. (2021). Regulación de las plataformas digitales que ofrecen servicios de transporte en el Ecuador [Tesis, Pontificia Universidad Católica del Ecuador]. Repositorio PUCE. https://repositorio.puce.edu.ec/</w:t>
      </w:r>
    </w:p>
    <w:p w14:paraId="792B579A"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 xml:space="preserve">Mintzberg, H., </w:t>
      </w:r>
      <w:proofErr w:type="spellStart"/>
      <w:r w:rsidRPr="00AF5189">
        <w:rPr>
          <w:rFonts w:ascii="Times New Roman" w:hAnsi="Times New Roman" w:cs="Times New Roman"/>
          <w:sz w:val="24"/>
          <w:szCs w:val="24"/>
        </w:rPr>
        <w:t>Raisinghani</w:t>
      </w:r>
      <w:proofErr w:type="spellEnd"/>
      <w:r w:rsidRPr="00AF5189">
        <w:rPr>
          <w:rFonts w:ascii="Times New Roman" w:hAnsi="Times New Roman" w:cs="Times New Roman"/>
          <w:sz w:val="24"/>
          <w:szCs w:val="24"/>
        </w:rPr>
        <w:t xml:space="preserve">, D., &amp; </w:t>
      </w:r>
      <w:proofErr w:type="spellStart"/>
      <w:r w:rsidRPr="00AF5189">
        <w:rPr>
          <w:rFonts w:ascii="Times New Roman" w:hAnsi="Times New Roman" w:cs="Times New Roman"/>
          <w:sz w:val="24"/>
          <w:szCs w:val="24"/>
        </w:rPr>
        <w:t>Théorêt</w:t>
      </w:r>
      <w:proofErr w:type="spellEnd"/>
      <w:r w:rsidRPr="00AF5189">
        <w:rPr>
          <w:rFonts w:ascii="Times New Roman" w:hAnsi="Times New Roman" w:cs="Times New Roman"/>
          <w:sz w:val="24"/>
          <w:szCs w:val="24"/>
        </w:rPr>
        <w:t xml:space="preserve">, A. (1976). </w:t>
      </w:r>
      <w:proofErr w:type="spellStart"/>
      <w:r w:rsidRPr="00AF5189">
        <w:rPr>
          <w:rFonts w:ascii="Times New Roman" w:hAnsi="Times New Roman" w:cs="Times New Roman"/>
          <w:sz w:val="24"/>
          <w:szCs w:val="24"/>
        </w:rPr>
        <w:t>The</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structure</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of</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unstructured</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decision</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processes</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Administrative</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Science</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Quarterly</w:t>
      </w:r>
      <w:proofErr w:type="spellEnd"/>
      <w:r w:rsidRPr="00AF5189">
        <w:rPr>
          <w:rFonts w:ascii="Times New Roman" w:hAnsi="Times New Roman" w:cs="Times New Roman"/>
          <w:sz w:val="24"/>
          <w:szCs w:val="24"/>
        </w:rPr>
        <w:t>, 21(2), 246–275.</w:t>
      </w:r>
    </w:p>
    <w:p w14:paraId="0ECCAD5A"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lastRenderedPageBreak/>
        <w:t>Primicias. (2020, 12 de febrero). La regulación para Uber y Cabify: una ‘papa caliente’. https://www.primicias.ec/</w:t>
      </w:r>
    </w:p>
    <w:p w14:paraId="5D2319A7"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Primicias. (2023, 15 de marzo). La plataforma de transporte Cabify deja de operar en Ecuador. https://www.primicias.ec/</w:t>
      </w:r>
    </w:p>
    <w:p w14:paraId="269C1235" w14:textId="77777777" w:rsidR="00AF5189" w:rsidRPr="00AF5189" w:rsidRDefault="00AF5189" w:rsidP="00AF5189">
      <w:pPr>
        <w:spacing w:line="360" w:lineRule="auto"/>
        <w:jc w:val="both"/>
        <w:rPr>
          <w:rFonts w:ascii="Times New Roman" w:hAnsi="Times New Roman" w:cs="Times New Roman"/>
          <w:sz w:val="24"/>
          <w:szCs w:val="24"/>
        </w:rPr>
      </w:pPr>
      <w:r w:rsidRPr="00AF5189">
        <w:rPr>
          <w:rFonts w:ascii="Times New Roman" w:hAnsi="Times New Roman" w:cs="Times New Roman"/>
          <w:sz w:val="24"/>
          <w:szCs w:val="24"/>
        </w:rPr>
        <w:t>Primicias. (2024, 12 de septiembre). La Asamblea Nacional deberá regular el uso de aplicaciones de transporte como Uber. https://www.primicias.ec/</w:t>
      </w:r>
    </w:p>
    <w:p w14:paraId="4C733C5E" w14:textId="77777777" w:rsidR="00AF5189" w:rsidRPr="00AF5189" w:rsidRDefault="00AF5189" w:rsidP="00AF5189">
      <w:pPr>
        <w:spacing w:line="360" w:lineRule="auto"/>
        <w:jc w:val="both"/>
        <w:rPr>
          <w:rFonts w:ascii="Times New Roman" w:hAnsi="Times New Roman" w:cs="Times New Roman"/>
          <w:sz w:val="24"/>
          <w:szCs w:val="24"/>
        </w:rPr>
      </w:pPr>
      <w:proofErr w:type="spellStart"/>
      <w:r w:rsidRPr="00AF5189">
        <w:rPr>
          <w:rFonts w:ascii="Times New Roman" w:hAnsi="Times New Roman" w:cs="Times New Roman"/>
          <w:sz w:val="24"/>
          <w:szCs w:val="24"/>
        </w:rPr>
        <w:t>Simon</w:t>
      </w:r>
      <w:proofErr w:type="spellEnd"/>
      <w:r w:rsidRPr="00AF5189">
        <w:rPr>
          <w:rFonts w:ascii="Times New Roman" w:hAnsi="Times New Roman" w:cs="Times New Roman"/>
          <w:sz w:val="24"/>
          <w:szCs w:val="24"/>
        </w:rPr>
        <w:t xml:space="preserve">, H. A. (1977). </w:t>
      </w:r>
      <w:proofErr w:type="spellStart"/>
      <w:r w:rsidRPr="00AF5189">
        <w:rPr>
          <w:rFonts w:ascii="Times New Roman" w:hAnsi="Times New Roman" w:cs="Times New Roman"/>
          <w:sz w:val="24"/>
          <w:szCs w:val="24"/>
        </w:rPr>
        <w:t>The</w:t>
      </w:r>
      <w:proofErr w:type="spellEnd"/>
      <w:r w:rsidRPr="00AF5189">
        <w:rPr>
          <w:rFonts w:ascii="Times New Roman" w:hAnsi="Times New Roman" w:cs="Times New Roman"/>
          <w:sz w:val="24"/>
          <w:szCs w:val="24"/>
        </w:rPr>
        <w:t xml:space="preserve"> new </w:t>
      </w:r>
      <w:proofErr w:type="spellStart"/>
      <w:r w:rsidRPr="00AF5189">
        <w:rPr>
          <w:rFonts w:ascii="Times New Roman" w:hAnsi="Times New Roman" w:cs="Times New Roman"/>
          <w:sz w:val="24"/>
          <w:szCs w:val="24"/>
        </w:rPr>
        <w:t>science</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of</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management</w:t>
      </w:r>
      <w:proofErr w:type="spellEnd"/>
      <w:r w:rsidRPr="00AF5189">
        <w:rPr>
          <w:rFonts w:ascii="Times New Roman" w:hAnsi="Times New Roman" w:cs="Times New Roman"/>
          <w:sz w:val="24"/>
          <w:szCs w:val="24"/>
        </w:rPr>
        <w:t xml:space="preserve"> </w:t>
      </w:r>
      <w:proofErr w:type="spellStart"/>
      <w:r w:rsidRPr="00AF5189">
        <w:rPr>
          <w:rFonts w:ascii="Times New Roman" w:hAnsi="Times New Roman" w:cs="Times New Roman"/>
          <w:sz w:val="24"/>
          <w:szCs w:val="24"/>
        </w:rPr>
        <w:t>decision</w:t>
      </w:r>
      <w:proofErr w:type="spellEnd"/>
      <w:r w:rsidRPr="00AF5189">
        <w:rPr>
          <w:rFonts w:ascii="Times New Roman" w:hAnsi="Times New Roman" w:cs="Times New Roman"/>
          <w:sz w:val="24"/>
          <w:szCs w:val="24"/>
        </w:rPr>
        <w:t xml:space="preserve"> (ed. </w:t>
      </w:r>
      <w:proofErr w:type="spellStart"/>
      <w:r w:rsidRPr="00AF5189">
        <w:rPr>
          <w:rFonts w:ascii="Times New Roman" w:hAnsi="Times New Roman" w:cs="Times New Roman"/>
          <w:sz w:val="24"/>
          <w:szCs w:val="24"/>
        </w:rPr>
        <w:t>rev.</w:t>
      </w:r>
      <w:proofErr w:type="spellEnd"/>
      <w:r w:rsidRPr="00AF5189">
        <w:rPr>
          <w:rFonts w:ascii="Times New Roman" w:hAnsi="Times New Roman" w:cs="Times New Roman"/>
          <w:sz w:val="24"/>
          <w:szCs w:val="24"/>
        </w:rPr>
        <w:t>). Prentice-Hall.</w:t>
      </w:r>
    </w:p>
    <w:p w14:paraId="5EB636EF" w14:textId="7BDFB611" w:rsidR="00AF5189" w:rsidRPr="00AF5189" w:rsidRDefault="00AF5189" w:rsidP="00AF5189">
      <w:pPr>
        <w:spacing w:line="360" w:lineRule="auto"/>
        <w:jc w:val="both"/>
        <w:rPr>
          <w:rFonts w:ascii="Times New Roman" w:hAnsi="Times New Roman" w:cs="Times New Roman"/>
          <w:sz w:val="24"/>
          <w:szCs w:val="24"/>
        </w:rPr>
      </w:pPr>
      <w:proofErr w:type="spellStart"/>
      <w:r w:rsidRPr="00AF5189">
        <w:rPr>
          <w:rFonts w:ascii="Times New Roman" w:hAnsi="Times New Roman" w:cs="Times New Roman"/>
          <w:sz w:val="24"/>
          <w:szCs w:val="24"/>
        </w:rPr>
        <w:t>Wheelen</w:t>
      </w:r>
      <w:proofErr w:type="spellEnd"/>
      <w:r w:rsidRPr="00AF5189">
        <w:rPr>
          <w:rFonts w:ascii="Times New Roman" w:hAnsi="Times New Roman" w:cs="Times New Roman"/>
          <w:sz w:val="24"/>
          <w:szCs w:val="24"/>
        </w:rPr>
        <w:t xml:space="preserve">, T. L., &amp; </w:t>
      </w:r>
      <w:proofErr w:type="spellStart"/>
      <w:r w:rsidRPr="00AF5189">
        <w:rPr>
          <w:rFonts w:ascii="Times New Roman" w:hAnsi="Times New Roman" w:cs="Times New Roman"/>
          <w:sz w:val="24"/>
          <w:szCs w:val="24"/>
        </w:rPr>
        <w:t>Hunger</w:t>
      </w:r>
      <w:proofErr w:type="spellEnd"/>
      <w:r w:rsidRPr="00AF5189">
        <w:rPr>
          <w:rFonts w:ascii="Times New Roman" w:hAnsi="Times New Roman" w:cs="Times New Roman"/>
          <w:sz w:val="24"/>
          <w:szCs w:val="24"/>
        </w:rPr>
        <w:t>, J. D. (2012). Administración estratégica y política de negocios.</w:t>
      </w:r>
    </w:p>
    <w:sectPr w:rsidR="00AF5189" w:rsidRPr="00AF5189" w:rsidSect="00766B8E">
      <w:headerReference w:type="default" r:id="rId1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53BEC8" w14:textId="77777777" w:rsidR="00FC26A8" w:rsidRDefault="00FC26A8" w:rsidP="003252F3">
      <w:pPr>
        <w:spacing w:after="0" w:line="240" w:lineRule="auto"/>
      </w:pPr>
      <w:r>
        <w:separator/>
      </w:r>
    </w:p>
  </w:endnote>
  <w:endnote w:type="continuationSeparator" w:id="0">
    <w:p w14:paraId="44443F64" w14:textId="77777777" w:rsidR="00FC26A8" w:rsidRDefault="00FC26A8" w:rsidP="00325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08988D" w14:textId="77777777" w:rsidR="00FC26A8" w:rsidRDefault="00FC26A8" w:rsidP="003252F3">
      <w:pPr>
        <w:spacing w:after="0" w:line="240" w:lineRule="auto"/>
      </w:pPr>
      <w:r>
        <w:separator/>
      </w:r>
    </w:p>
  </w:footnote>
  <w:footnote w:type="continuationSeparator" w:id="0">
    <w:p w14:paraId="76DA3BE5" w14:textId="77777777" w:rsidR="00FC26A8" w:rsidRDefault="00FC26A8" w:rsidP="00325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AE7EC3" w14:textId="77777777" w:rsidR="003252F3" w:rsidRDefault="003252F3">
    <w:pPr>
      <w:pStyle w:val="Encabezado"/>
    </w:pPr>
    <w:r>
      <w:rPr>
        <w:noProof/>
        <w:color w:val="000000"/>
        <w:sz w:val="2"/>
        <w:szCs w:val="2"/>
        <w:lang w:val="en-US"/>
      </w:rPr>
      <w:drawing>
        <wp:anchor distT="0" distB="0" distL="0" distR="0" simplePos="0" relativeHeight="251659264" behindDoc="1" locked="0" layoutInCell="1" hidden="0" allowOverlap="1" wp14:anchorId="1D9547A1" wp14:editId="02E99D8B">
          <wp:simplePos x="0" y="0"/>
          <wp:positionH relativeFrom="page">
            <wp:align>right</wp:align>
          </wp:positionH>
          <wp:positionV relativeFrom="page">
            <wp:align>top</wp:align>
          </wp:positionV>
          <wp:extent cx="7772001" cy="10033000"/>
          <wp:effectExtent l="0" t="0" r="635" b="6350"/>
          <wp:wrapNone/>
          <wp:docPr id="7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74052" cy="10035648"/>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366836"/>
    <w:multiLevelType w:val="hybridMultilevel"/>
    <w:tmpl w:val="731424A2"/>
    <w:lvl w:ilvl="0" w:tplc="9F54DD10">
      <w:start w:val="1"/>
      <w:numFmt w:val="bullet"/>
      <w:lvlText w:val="•"/>
      <w:lvlJc w:val="left"/>
      <w:pPr>
        <w:ind w:left="720" w:hanging="360"/>
      </w:pPr>
    </w:lvl>
    <w:lvl w:ilvl="1" w:tplc="3E3ABEA6">
      <w:numFmt w:val="decimal"/>
      <w:lvlText w:val=""/>
      <w:lvlJc w:val="left"/>
    </w:lvl>
    <w:lvl w:ilvl="2" w:tplc="6EFC5736">
      <w:numFmt w:val="decimal"/>
      <w:lvlText w:val=""/>
      <w:lvlJc w:val="left"/>
    </w:lvl>
    <w:lvl w:ilvl="3" w:tplc="3FFE57D6">
      <w:numFmt w:val="decimal"/>
      <w:lvlText w:val=""/>
      <w:lvlJc w:val="left"/>
    </w:lvl>
    <w:lvl w:ilvl="4" w:tplc="23FA6FB2">
      <w:numFmt w:val="decimal"/>
      <w:lvlText w:val=""/>
      <w:lvlJc w:val="left"/>
    </w:lvl>
    <w:lvl w:ilvl="5" w:tplc="76F8A38A">
      <w:numFmt w:val="decimal"/>
      <w:lvlText w:val=""/>
      <w:lvlJc w:val="left"/>
    </w:lvl>
    <w:lvl w:ilvl="6" w:tplc="6BDEB4DC">
      <w:numFmt w:val="decimal"/>
      <w:lvlText w:val=""/>
      <w:lvlJc w:val="left"/>
    </w:lvl>
    <w:lvl w:ilvl="7" w:tplc="ED5A521E">
      <w:numFmt w:val="decimal"/>
      <w:lvlText w:val=""/>
      <w:lvlJc w:val="left"/>
    </w:lvl>
    <w:lvl w:ilvl="8" w:tplc="D1ECDDAC">
      <w:numFmt w:val="decimal"/>
      <w:lvlText w:val=""/>
      <w:lvlJc w:val="left"/>
    </w:lvl>
  </w:abstractNum>
  <w:abstractNum w:abstractNumId="1" w15:restartNumberingAfterBreak="0">
    <w:nsid w:val="3E951AC5"/>
    <w:multiLevelType w:val="hybridMultilevel"/>
    <w:tmpl w:val="732A9A92"/>
    <w:lvl w:ilvl="0" w:tplc="5C62B89C">
      <w:start w:val="1"/>
      <w:numFmt w:val="decimal"/>
      <w:lvlText w:val="%1."/>
      <w:lvlJc w:val="left"/>
      <w:pPr>
        <w:ind w:left="720" w:hanging="360"/>
      </w:pPr>
    </w:lvl>
    <w:lvl w:ilvl="1" w:tplc="F0A0F08E">
      <w:numFmt w:val="decimal"/>
      <w:lvlText w:val=""/>
      <w:lvlJc w:val="left"/>
    </w:lvl>
    <w:lvl w:ilvl="2" w:tplc="0B82C0D4">
      <w:numFmt w:val="decimal"/>
      <w:lvlText w:val=""/>
      <w:lvlJc w:val="left"/>
    </w:lvl>
    <w:lvl w:ilvl="3" w:tplc="08EC93A6">
      <w:numFmt w:val="decimal"/>
      <w:lvlText w:val=""/>
      <w:lvlJc w:val="left"/>
    </w:lvl>
    <w:lvl w:ilvl="4" w:tplc="DE6EAC2E">
      <w:numFmt w:val="decimal"/>
      <w:lvlText w:val=""/>
      <w:lvlJc w:val="left"/>
    </w:lvl>
    <w:lvl w:ilvl="5" w:tplc="CD42D408">
      <w:numFmt w:val="decimal"/>
      <w:lvlText w:val=""/>
      <w:lvlJc w:val="left"/>
    </w:lvl>
    <w:lvl w:ilvl="6" w:tplc="DB7E1FE2">
      <w:numFmt w:val="decimal"/>
      <w:lvlText w:val=""/>
      <w:lvlJc w:val="left"/>
    </w:lvl>
    <w:lvl w:ilvl="7" w:tplc="7332D4CE">
      <w:numFmt w:val="decimal"/>
      <w:lvlText w:val=""/>
      <w:lvlJc w:val="left"/>
    </w:lvl>
    <w:lvl w:ilvl="8" w:tplc="8110D9D0">
      <w:numFmt w:val="decimal"/>
      <w:lvlText w:val=""/>
      <w:lvlJc w:val="left"/>
    </w:lvl>
  </w:abstractNum>
  <w:abstractNum w:abstractNumId="2" w15:restartNumberingAfterBreak="0">
    <w:nsid w:val="559879DD"/>
    <w:multiLevelType w:val="hybridMultilevel"/>
    <w:tmpl w:val="AE6A892C"/>
    <w:lvl w:ilvl="0" w:tplc="F9443BF4">
      <w:start w:val="1"/>
      <w:numFmt w:val="decimal"/>
      <w:lvlText w:val="%1."/>
      <w:lvlJc w:val="left"/>
      <w:pPr>
        <w:ind w:left="720" w:hanging="360"/>
      </w:pPr>
    </w:lvl>
    <w:lvl w:ilvl="1" w:tplc="71BE1758">
      <w:numFmt w:val="decimal"/>
      <w:lvlText w:val=""/>
      <w:lvlJc w:val="left"/>
    </w:lvl>
    <w:lvl w:ilvl="2" w:tplc="CDDC1878">
      <w:numFmt w:val="decimal"/>
      <w:lvlText w:val=""/>
      <w:lvlJc w:val="left"/>
    </w:lvl>
    <w:lvl w:ilvl="3" w:tplc="1838A02C">
      <w:numFmt w:val="decimal"/>
      <w:lvlText w:val=""/>
      <w:lvlJc w:val="left"/>
    </w:lvl>
    <w:lvl w:ilvl="4" w:tplc="52C002EA">
      <w:numFmt w:val="decimal"/>
      <w:lvlText w:val=""/>
      <w:lvlJc w:val="left"/>
    </w:lvl>
    <w:lvl w:ilvl="5" w:tplc="17521CC6">
      <w:numFmt w:val="decimal"/>
      <w:lvlText w:val=""/>
      <w:lvlJc w:val="left"/>
    </w:lvl>
    <w:lvl w:ilvl="6" w:tplc="2AE28190">
      <w:numFmt w:val="decimal"/>
      <w:lvlText w:val=""/>
      <w:lvlJc w:val="left"/>
    </w:lvl>
    <w:lvl w:ilvl="7" w:tplc="E88E3D6E">
      <w:numFmt w:val="decimal"/>
      <w:lvlText w:val=""/>
      <w:lvlJc w:val="left"/>
    </w:lvl>
    <w:lvl w:ilvl="8" w:tplc="31F8631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2F3"/>
    <w:rsid w:val="0020558B"/>
    <w:rsid w:val="002779A0"/>
    <w:rsid w:val="002A3602"/>
    <w:rsid w:val="003252F3"/>
    <w:rsid w:val="00353A1A"/>
    <w:rsid w:val="00380215"/>
    <w:rsid w:val="00381C09"/>
    <w:rsid w:val="003B795A"/>
    <w:rsid w:val="003E1B21"/>
    <w:rsid w:val="00402649"/>
    <w:rsid w:val="005D1C34"/>
    <w:rsid w:val="00707C12"/>
    <w:rsid w:val="007414DA"/>
    <w:rsid w:val="00766B8E"/>
    <w:rsid w:val="007C22CB"/>
    <w:rsid w:val="00841833"/>
    <w:rsid w:val="009A3B17"/>
    <w:rsid w:val="009E6B1E"/>
    <w:rsid w:val="00A1183B"/>
    <w:rsid w:val="00AF5189"/>
    <w:rsid w:val="00B175AC"/>
    <w:rsid w:val="00BF1B08"/>
    <w:rsid w:val="00C061F6"/>
    <w:rsid w:val="00FC26A8"/>
    <w:rsid w:val="00FD1675"/>
    <w:rsid w:val="00FE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ADDBE3"/>
  <w15:chartTrackingRefBased/>
  <w15:docId w15:val="{7EC3A096-F4AE-4C63-A17B-702B2D84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link w:val="Ttulo1Car"/>
    <w:uiPriority w:val="9"/>
    <w:qFormat/>
    <w:rsid w:val="00C061F6"/>
    <w:pPr>
      <w:spacing w:before="240" w:after="120" w:line="240" w:lineRule="auto"/>
      <w:outlineLvl w:val="0"/>
    </w:pPr>
    <w:rPr>
      <w:rFonts w:ascii="Times New Roman" w:eastAsia="Times New Roman" w:hAnsi="Times New Roman" w:cs="Times New Roman"/>
      <w:b/>
      <w:bCs/>
      <w:color w:val="000000"/>
      <w:sz w:val="26"/>
      <w:szCs w:val="26"/>
      <w:lang w:val="es-EC" w:eastAsia="es-EC"/>
    </w:rPr>
  </w:style>
  <w:style w:type="paragraph" w:styleId="Ttulo2">
    <w:name w:val="heading 2"/>
    <w:basedOn w:val="Normal"/>
    <w:next w:val="Normal"/>
    <w:link w:val="Ttulo2Car"/>
    <w:uiPriority w:val="9"/>
    <w:semiHidden/>
    <w:unhideWhenUsed/>
    <w:qFormat/>
    <w:rsid w:val="00AF51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252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52F3"/>
    <w:rPr>
      <w:lang w:val="es-MX"/>
    </w:rPr>
  </w:style>
  <w:style w:type="paragraph" w:styleId="Piedepgina">
    <w:name w:val="footer"/>
    <w:basedOn w:val="Normal"/>
    <w:link w:val="PiedepginaCar"/>
    <w:uiPriority w:val="99"/>
    <w:unhideWhenUsed/>
    <w:rsid w:val="003252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52F3"/>
    <w:rPr>
      <w:lang w:val="es-MX"/>
    </w:rPr>
  </w:style>
  <w:style w:type="paragraph" w:styleId="Prrafodelista">
    <w:name w:val="List Paragraph"/>
    <w:qFormat/>
    <w:rsid w:val="003B795A"/>
    <w:pPr>
      <w:spacing w:after="0" w:line="240" w:lineRule="auto"/>
    </w:pPr>
    <w:rPr>
      <w:rFonts w:ascii="Arial" w:eastAsia="Arial" w:hAnsi="Arial" w:cs="Arial"/>
      <w:sz w:val="24"/>
      <w:szCs w:val="24"/>
      <w:lang w:val="es-EC" w:eastAsia="es-EC"/>
    </w:rPr>
  </w:style>
  <w:style w:type="character" w:customStyle="1" w:styleId="Ttulo1Car">
    <w:name w:val="Título 1 Car"/>
    <w:basedOn w:val="Fuentedeprrafopredeter"/>
    <w:link w:val="Ttulo1"/>
    <w:uiPriority w:val="9"/>
    <w:rsid w:val="00C061F6"/>
    <w:rPr>
      <w:rFonts w:ascii="Times New Roman" w:eastAsia="Times New Roman" w:hAnsi="Times New Roman" w:cs="Times New Roman"/>
      <w:b/>
      <w:bCs/>
      <w:color w:val="000000"/>
      <w:sz w:val="26"/>
      <w:szCs w:val="26"/>
      <w:lang w:val="es-EC" w:eastAsia="es-EC"/>
    </w:rPr>
  </w:style>
  <w:style w:type="character" w:customStyle="1" w:styleId="Ttulo2Car">
    <w:name w:val="Título 2 Car"/>
    <w:basedOn w:val="Fuentedeprrafopredeter"/>
    <w:link w:val="Ttulo2"/>
    <w:uiPriority w:val="9"/>
    <w:semiHidden/>
    <w:rsid w:val="00AF5189"/>
    <w:rPr>
      <w:rFonts w:asciiTheme="majorHAnsi" w:eastAsiaTheme="majorEastAsia" w:hAnsiTheme="majorHAnsi" w:cstheme="majorBidi"/>
      <w:color w:val="2E74B5" w:themeColor="accent1" w:themeShade="BF"/>
      <w:sz w:val="26"/>
      <w:szCs w:val="26"/>
      <w:lang w:val="es-MX"/>
    </w:rPr>
  </w:style>
  <w:style w:type="table" w:styleId="Tablanormal2">
    <w:name w:val="Plain Table 2"/>
    <w:basedOn w:val="Tablanormal"/>
    <w:uiPriority w:val="42"/>
    <w:rsid w:val="005D1C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515239">
      <w:bodyDiv w:val="1"/>
      <w:marLeft w:val="0"/>
      <w:marRight w:val="0"/>
      <w:marTop w:val="0"/>
      <w:marBottom w:val="0"/>
      <w:divBdr>
        <w:top w:val="none" w:sz="0" w:space="0" w:color="auto"/>
        <w:left w:val="none" w:sz="0" w:space="0" w:color="auto"/>
        <w:bottom w:val="none" w:sz="0" w:space="0" w:color="auto"/>
        <w:right w:val="none" w:sz="0" w:space="0" w:color="auto"/>
      </w:divBdr>
    </w:div>
    <w:div w:id="379406384">
      <w:bodyDiv w:val="1"/>
      <w:marLeft w:val="0"/>
      <w:marRight w:val="0"/>
      <w:marTop w:val="0"/>
      <w:marBottom w:val="0"/>
      <w:divBdr>
        <w:top w:val="none" w:sz="0" w:space="0" w:color="auto"/>
        <w:left w:val="none" w:sz="0" w:space="0" w:color="auto"/>
        <w:bottom w:val="none" w:sz="0" w:space="0" w:color="auto"/>
        <w:right w:val="none" w:sz="0" w:space="0" w:color="auto"/>
      </w:divBdr>
      <w:divsChild>
        <w:div w:id="550726926">
          <w:marLeft w:val="101"/>
          <w:marRight w:val="0"/>
          <w:marTop w:val="0"/>
          <w:marBottom w:val="0"/>
          <w:divBdr>
            <w:top w:val="none" w:sz="0" w:space="0" w:color="auto"/>
            <w:left w:val="none" w:sz="0" w:space="0" w:color="auto"/>
            <w:bottom w:val="none" w:sz="0" w:space="0" w:color="auto"/>
            <w:right w:val="none" w:sz="0" w:space="0" w:color="auto"/>
          </w:divBdr>
        </w:div>
        <w:div w:id="1025522239">
          <w:marLeft w:val="108"/>
          <w:marRight w:val="0"/>
          <w:marTop w:val="0"/>
          <w:marBottom w:val="0"/>
          <w:divBdr>
            <w:top w:val="none" w:sz="0" w:space="0" w:color="auto"/>
            <w:left w:val="none" w:sz="0" w:space="0" w:color="auto"/>
            <w:bottom w:val="none" w:sz="0" w:space="0" w:color="auto"/>
            <w:right w:val="none" w:sz="0" w:space="0" w:color="auto"/>
          </w:divBdr>
        </w:div>
      </w:divsChild>
    </w:div>
    <w:div w:id="702437000">
      <w:bodyDiv w:val="1"/>
      <w:marLeft w:val="0"/>
      <w:marRight w:val="0"/>
      <w:marTop w:val="0"/>
      <w:marBottom w:val="0"/>
      <w:divBdr>
        <w:top w:val="none" w:sz="0" w:space="0" w:color="auto"/>
        <w:left w:val="none" w:sz="0" w:space="0" w:color="auto"/>
        <w:bottom w:val="none" w:sz="0" w:space="0" w:color="auto"/>
        <w:right w:val="none" w:sz="0" w:space="0" w:color="auto"/>
      </w:divBdr>
    </w:div>
    <w:div w:id="1004357673">
      <w:bodyDiv w:val="1"/>
      <w:marLeft w:val="0"/>
      <w:marRight w:val="0"/>
      <w:marTop w:val="0"/>
      <w:marBottom w:val="0"/>
      <w:divBdr>
        <w:top w:val="none" w:sz="0" w:space="0" w:color="auto"/>
        <w:left w:val="none" w:sz="0" w:space="0" w:color="auto"/>
        <w:bottom w:val="none" w:sz="0" w:space="0" w:color="auto"/>
        <w:right w:val="none" w:sz="0" w:space="0" w:color="auto"/>
      </w:divBdr>
      <w:divsChild>
        <w:div w:id="1284656267">
          <w:marLeft w:val="101"/>
          <w:marRight w:val="0"/>
          <w:marTop w:val="0"/>
          <w:marBottom w:val="0"/>
          <w:divBdr>
            <w:top w:val="none" w:sz="0" w:space="0" w:color="auto"/>
            <w:left w:val="none" w:sz="0" w:space="0" w:color="auto"/>
            <w:bottom w:val="none" w:sz="0" w:space="0" w:color="auto"/>
            <w:right w:val="none" w:sz="0" w:space="0" w:color="auto"/>
          </w:divBdr>
        </w:div>
        <w:div w:id="1063068032">
          <w:marLeft w:val="108"/>
          <w:marRight w:val="0"/>
          <w:marTop w:val="0"/>
          <w:marBottom w:val="0"/>
          <w:divBdr>
            <w:top w:val="none" w:sz="0" w:space="0" w:color="auto"/>
            <w:left w:val="none" w:sz="0" w:space="0" w:color="auto"/>
            <w:bottom w:val="none" w:sz="0" w:space="0" w:color="auto"/>
            <w:right w:val="none" w:sz="0" w:space="0" w:color="auto"/>
          </w:divBdr>
        </w:div>
      </w:divsChild>
    </w:div>
    <w:div w:id="2042706337">
      <w:bodyDiv w:val="1"/>
      <w:marLeft w:val="0"/>
      <w:marRight w:val="0"/>
      <w:marTop w:val="0"/>
      <w:marBottom w:val="0"/>
      <w:divBdr>
        <w:top w:val="none" w:sz="0" w:space="0" w:color="auto"/>
        <w:left w:val="none" w:sz="0" w:space="0" w:color="auto"/>
        <w:bottom w:val="none" w:sz="0" w:space="0" w:color="auto"/>
        <w:right w:val="none" w:sz="0" w:space="0" w:color="auto"/>
      </w:divBdr>
      <w:divsChild>
        <w:div w:id="1957249374">
          <w:marLeft w:val="101"/>
          <w:marRight w:val="0"/>
          <w:marTop w:val="0"/>
          <w:marBottom w:val="0"/>
          <w:divBdr>
            <w:top w:val="none" w:sz="0" w:space="0" w:color="auto"/>
            <w:left w:val="none" w:sz="0" w:space="0" w:color="auto"/>
            <w:bottom w:val="none" w:sz="0" w:space="0" w:color="auto"/>
            <w:right w:val="none" w:sz="0" w:space="0" w:color="auto"/>
          </w:divBdr>
        </w:div>
        <w:div w:id="334770940">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E094C8-521E-4021-A03C-2655EC1336B4}" type="doc">
      <dgm:prSet loTypeId="urn:microsoft.com/office/officeart/2008/layout/RadialCluster" loCatId="cycle" qsTypeId="urn:microsoft.com/office/officeart/2005/8/quickstyle/simple1" qsCatId="simple" csTypeId="urn:microsoft.com/office/officeart/2005/8/colors/accent1_2" csCatId="accent1" phldr="1"/>
      <dgm:spPr/>
      <dgm:t>
        <a:bodyPr/>
        <a:lstStyle/>
        <a:p>
          <a:endParaRPr lang="es-EC"/>
        </a:p>
      </dgm:t>
    </dgm:pt>
    <dgm:pt modelId="{5872AA3E-5E0D-410E-8117-12353100DFF7}">
      <dgm:prSet phldrT="[Texto]" custT="1">
        <dgm:style>
          <a:lnRef idx="2">
            <a:schemeClr val="dk1"/>
          </a:lnRef>
          <a:fillRef idx="1">
            <a:schemeClr val="lt1"/>
          </a:fillRef>
          <a:effectRef idx="0">
            <a:schemeClr val="dk1"/>
          </a:effectRef>
          <a:fontRef idx="minor">
            <a:schemeClr val="dk1"/>
          </a:fontRef>
        </dgm:style>
      </dgm:prSet>
      <dgm:spPr/>
      <dgm:t>
        <a:bodyPr/>
        <a:lstStyle/>
        <a:p>
          <a:r>
            <a:rPr lang="es-EC" sz="1200" b="1">
              <a:latin typeface="Times New Roman" panose="02020603050405020304" pitchFamily="18" charset="0"/>
              <a:cs typeface="Times New Roman" panose="02020603050405020304" pitchFamily="18" charset="0"/>
            </a:rPr>
            <a:t>Incide en</a:t>
          </a:r>
        </a:p>
      </dgm:t>
    </dgm:pt>
    <dgm:pt modelId="{3B53C1C2-F48F-4748-A277-C1F39AC13530}" type="parTrans" cxnId="{26EA47F4-3DF5-41FE-8754-C8C782C43A28}">
      <dgm:prSet/>
      <dgm:spPr/>
      <dgm:t>
        <a:bodyPr/>
        <a:lstStyle/>
        <a:p>
          <a:endParaRPr lang="es-EC"/>
        </a:p>
      </dgm:t>
    </dgm:pt>
    <dgm:pt modelId="{EDE8B704-8C71-4E06-8960-1B77C2BF03C7}" type="sibTrans" cxnId="{26EA47F4-3DF5-41FE-8754-C8C782C43A28}">
      <dgm:prSet/>
      <dgm:spPr/>
      <dgm:t>
        <a:bodyPr/>
        <a:lstStyle/>
        <a:p>
          <a:endParaRPr lang="es-EC"/>
        </a:p>
      </dgm:t>
    </dgm:pt>
    <dgm:pt modelId="{FDB4CEF6-AEDA-4EC0-B9B0-C2EA4F259D28}">
      <dgm:prSet phldrT="[Texto]" custT="1">
        <dgm:style>
          <a:lnRef idx="2">
            <a:schemeClr val="dk1"/>
          </a:lnRef>
          <a:fillRef idx="1">
            <a:schemeClr val="lt1"/>
          </a:fillRef>
          <a:effectRef idx="0">
            <a:schemeClr val="dk1"/>
          </a:effectRef>
          <a:fontRef idx="minor">
            <a:schemeClr val="dk1"/>
          </a:fontRef>
        </dgm:style>
      </dgm:prSet>
      <dgm:spPr/>
      <dgm:t>
        <a:bodyPr/>
        <a:lstStyle/>
        <a:p>
          <a:r>
            <a:rPr lang="es-MX" sz="1200" b="1"/>
            <a:t>¿Cómo incide la incertidumbre regulatoria en las decisiones de las plataformas</a:t>
          </a:r>
          <a:r>
            <a:rPr lang="es-MX" sz="600" b="1"/>
            <a:t>?</a:t>
          </a:r>
          <a:endParaRPr lang="es-EC" sz="600"/>
        </a:p>
      </dgm:t>
    </dgm:pt>
    <dgm:pt modelId="{97687431-58A0-45A5-9246-39F992433097}" type="parTrans" cxnId="{593529F2-EBC5-4BBE-9584-41E05C20C3D1}">
      <dgm:prSet/>
      <dgm:spPr/>
      <dgm:t>
        <a:bodyPr/>
        <a:lstStyle/>
        <a:p>
          <a:endParaRPr lang="es-EC"/>
        </a:p>
      </dgm:t>
    </dgm:pt>
    <dgm:pt modelId="{9CAA65DA-38F0-4C39-BCA3-BA1F7608765B}" type="sibTrans" cxnId="{593529F2-EBC5-4BBE-9584-41E05C20C3D1}">
      <dgm:prSet/>
      <dgm:spPr/>
      <dgm:t>
        <a:bodyPr/>
        <a:lstStyle/>
        <a:p>
          <a:endParaRPr lang="es-EC"/>
        </a:p>
      </dgm:t>
    </dgm:pt>
    <dgm:pt modelId="{644C519F-6E4D-47E3-86DB-C96A4C66CE10}">
      <dgm:prSet phldrT="[Texto]" custT="1">
        <dgm:style>
          <a:lnRef idx="2">
            <a:schemeClr val="dk1"/>
          </a:lnRef>
          <a:fillRef idx="1">
            <a:schemeClr val="lt1"/>
          </a:fillRef>
          <a:effectRef idx="0">
            <a:schemeClr val="dk1"/>
          </a:effectRef>
          <a:fontRef idx="minor">
            <a:schemeClr val="dk1"/>
          </a:fontRef>
        </dgm:style>
      </dgm:prSet>
      <dgm:spPr/>
      <dgm:t>
        <a:bodyPr/>
        <a:lstStyle/>
        <a:p>
          <a:pPr algn="ctr"/>
          <a:r>
            <a:rPr lang="es-EC" sz="1200" b="1">
              <a:latin typeface="Times New Roman" panose="02020603050405020304" pitchFamily="18" charset="0"/>
              <a:cs typeface="Times New Roman" panose="02020603050405020304" pitchFamily="18" charset="0"/>
            </a:rPr>
            <a:t>V. Dependiente</a:t>
          </a:r>
        </a:p>
        <a:p>
          <a:pPr algn="ctr"/>
          <a:r>
            <a:rPr lang="es-EC" sz="1200">
              <a:latin typeface="Times New Roman" panose="02020603050405020304" pitchFamily="18" charset="0"/>
              <a:cs typeface="Times New Roman" panose="02020603050405020304" pitchFamily="18" charset="0"/>
            </a:rPr>
            <a:t>Toma de deciciones estratégicas y éticas</a:t>
          </a:r>
        </a:p>
      </dgm:t>
    </dgm:pt>
    <dgm:pt modelId="{CA0FC1FB-C6FC-45F5-9954-4376D18E0427}" type="parTrans" cxnId="{7303CAD9-4207-4F56-B308-07813BF7A78E}">
      <dgm:prSet/>
      <dgm:spPr/>
      <dgm:t>
        <a:bodyPr/>
        <a:lstStyle/>
        <a:p>
          <a:endParaRPr lang="es-EC"/>
        </a:p>
      </dgm:t>
    </dgm:pt>
    <dgm:pt modelId="{C2039545-82B3-4CEE-B8AD-07938FF24A40}" type="sibTrans" cxnId="{7303CAD9-4207-4F56-B308-07813BF7A78E}">
      <dgm:prSet/>
      <dgm:spPr/>
      <dgm:t>
        <a:bodyPr/>
        <a:lstStyle/>
        <a:p>
          <a:endParaRPr lang="es-EC"/>
        </a:p>
      </dgm:t>
    </dgm:pt>
    <dgm:pt modelId="{EB6944B9-F9D9-4EE8-9709-537086B7EA7A}">
      <dgm:prSet phldrT="[Texto]" custT="1">
        <dgm:style>
          <a:lnRef idx="2">
            <a:schemeClr val="dk1"/>
          </a:lnRef>
          <a:fillRef idx="1">
            <a:schemeClr val="lt1"/>
          </a:fillRef>
          <a:effectRef idx="0">
            <a:schemeClr val="dk1"/>
          </a:effectRef>
          <a:fontRef idx="minor">
            <a:schemeClr val="dk1"/>
          </a:fontRef>
        </dgm:style>
      </dgm:prSet>
      <dgm:spPr/>
      <dgm:t>
        <a:bodyPr/>
        <a:lstStyle/>
        <a:p>
          <a:r>
            <a:rPr lang="es-EC" sz="1200" b="1">
              <a:latin typeface="Times New Roman" panose="02020603050405020304" pitchFamily="18" charset="0"/>
              <a:cs typeface="Times New Roman" panose="02020603050405020304" pitchFamily="18" charset="0"/>
            </a:rPr>
            <a:t>V. Independiente</a:t>
          </a:r>
        </a:p>
        <a:p>
          <a:r>
            <a:rPr lang="es-EC" sz="1200">
              <a:latin typeface="Times New Roman" panose="02020603050405020304" pitchFamily="18" charset="0"/>
              <a:cs typeface="Times New Roman" panose="02020603050405020304" pitchFamily="18" charset="0"/>
            </a:rPr>
            <a:t>Incertidumbre del entorno regulatorio</a:t>
          </a:r>
        </a:p>
      </dgm:t>
    </dgm:pt>
    <dgm:pt modelId="{B1B860EE-3F8A-407C-8D94-A79FF3D62EE4}" type="parTrans" cxnId="{BA2FA399-9D02-417F-8C07-71199A0A20AE}">
      <dgm:prSet/>
      <dgm:spPr/>
      <dgm:t>
        <a:bodyPr/>
        <a:lstStyle/>
        <a:p>
          <a:endParaRPr lang="es-EC"/>
        </a:p>
      </dgm:t>
    </dgm:pt>
    <dgm:pt modelId="{30F5783A-C258-480B-BFC1-F6955CCC1A87}" type="sibTrans" cxnId="{BA2FA399-9D02-417F-8C07-71199A0A20AE}">
      <dgm:prSet/>
      <dgm:spPr/>
      <dgm:t>
        <a:bodyPr/>
        <a:lstStyle/>
        <a:p>
          <a:endParaRPr lang="es-EC"/>
        </a:p>
      </dgm:t>
    </dgm:pt>
    <dgm:pt modelId="{C1963A1D-8CD3-4389-A57E-9D6C81ED4855}" type="pres">
      <dgm:prSet presAssocID="{49E094C8-521E-4021-A03C-2655EC1336B4}" presName="Name0" presStyleCnt="0">
        <dgm:presLayoutVars>
          <dgm:chMax val="1"/>
          <dgm:chPref val="1"/>
          <dgm:dir/>
          <dgm:animOne val="branch"/>
          <dgm:animLvl val="lvl"/>
        </dgm:presLayoutVars>
      </dgm:prSet>
      <dgm:spPr/>
    </dgm:pt>
    <dgm:pt modelId="{48F8F84D-C6BD-4417-B2B1-571DF635C707}" type="pres">
      <dgm:prSet presAssocID="{5872AA3E-5E0D-410E-8117-12353100DFF7}" presName="singleCycle" presStyleCnt="0"/>
      <dgm:spPr/>
    </dgm:pt>
    <dgm:pt modelId="{A8F9212D-1A2B-4BC2-9CF3-0EC2487DC542}" type="pres">
      <dgm:prSet presAssocID="{5872AA3E-5E0D-410E-8117-12353100DFF7}" presName="singleCenter" presStyleLbl="node1" presStyleIdx="0" presStyleCnt="4">
        <dgm:presLayoutVars>
          <dgm:chMax val="7"/>
          <dgm:chPref val="7"/>
        </dgm:presLayoutVars>
      </dgm:prSet>
      <dgm:spPr/>
    </dgm:pt>
    <dgm:pt modelId="{6B082EE4-FB57-46DA-9998-997A29BD106E}" type="pres">
      <dgm:prSet presAssocID="{97687431-58A0-45A5-9246-39F992433097}" presName="Name56" presStyleLbl="parChTrans1D2" presStyleIdx="0" presStyleCnt="3"/>
      <dgm:spPr/>
    </dgm:pt>
    <dgm:pt modelId="{03C8C674-87B9-432E-9CA9-43AAD838F4F5}" type="pres">
      <dgm:prSet presAssocID="{FDB4CEF6-AEDA-4EC0-B9B0-C2EA4F259D28}" presName="text0" presStyleLbl="node1" presStyleIdx="1" presStyleCnt="4" custScaleX="364251">
        <dgm:presLayoutVars>
          <dgm:bulletEnabled val="1"/>
        </dgm:presLayoutVars>
      </dgm:prSet>
      <dgm:spPr/>
    </dgm:pt>
    <dgm:pt modelId="{99CEF278-9070-4F6F-AD6D-2D82714DAA17}" type="pres">
      <dgm:prSet presAssocID="{CA0FC1FB-C6FC-45F5-9954-4376D18E0427}" presName="Name56" presStyleLbl="parChTrans1D2" presStyleIdx="1" presStyleCnt="3"/>
      <dgm:spPr/>
    </dgm:pt>
    <dgm:pt modelId="{9D76D6E4-8E18-4DE6-8285-7F0610E934CA}" type="pres">
      <dgm:prSet presAssocID="{644C519F-6E4D-47E3-86DB-C96A4C66CE10}" presName="text0" presStyleLbl="node1" presStyleIdx="2" presStyleCnt="4" custScaleX="242669">
        <dgm:presLayoutVars>
          <dgm:bulletEnabled val="1"/>
        </dgm:presLayoutVars>
      </dgm:prSet>
      <dgm:spPr/>
    </dgm:pt>
    <dgm:pt modelId="{41AA0C88-5EDD-42C6-A188-FA06F7486D1C}" type="pres">
      <dgm:prSet presAssocID="{B1B860EE-3F8A-407C-8D94-A79FF3D62EE4}" presName="Name56" presStyleLbl="parChTrans1D2" presStyleIdx="2" presStyleCnt="3"/>
      <dgm:spPr/>
    </dgm:pt>
    <dgm:pt modelId="{20714E06-7245-4756-B8CD-86E1FC65150D}" type="pres">
      <dgm:prSet presAssocID="{EB6944B9-F9D9-4EE8-9709-537086B7EA7A}" presName="text0" presStyleLbl="node1" presStyleIdx="3" presStyleCnt="4" custScaleX="210631">
        <dgm:presLayoutVars>
          <dgm:bulletEnabled val="1"/>
        </dgm:presLayoutVars>
      </dgm:prSet>
      <dgm:spPr/>
    </dgm:pt>
  </dgm:ptLst>
  <dgm:cxnLst>
    <dgm:cxn modelId="{0B58BA1E-C2C2-416B-B1D7-7A99308895CE}" type="presOf" srcId="{B1B860EE-3F8A-407C-8D94-A79FF3D62EE4}" destId="{41AA0C88-5EDD-42C6-A188-FA06F7486D1C}" srcOrd="0" destOrd="0" presId="urn:microsoft.com/office/officeart/2008/layout/RadialCluster"/>
    <dgm:cxn modelId="{C48BCD31-DFEA-4485-A7AC-4D6EF7868C07}" type="presOf" srcId="{644C519F-6E4D-47E3-86DB-C96A4C66CE10}" destId="{9D76D6E4-8E18-4DE6-8285-7F0610E934CA}" srcOrd="0" destOrd="0" presId="urn:microsoft.com/office/officeart/2008/layout/RadialCluster"/>
    <dgm:cxn modelId="{7D70343E-E440-468F-A5B6-0C06328263DA}" type="presOf" srcId="{5872AA3E-5E0D-410E-8117-12353100DFF7}" destId="{A8F9212D-1A2B-4BC2-9CF3-0EC2487DC542}" srcOrd="0" destOrd="0" presId="urn:microsoft.com/office/officeart/2008/layout/RadialCluster"/>
    <dgm:cxn modelId="{EDCD263F-2509-447F-80BD-ADDDAC7A16EE}" type="presOf" srcId="{49E094C8-521E-4021-A03C-2655EC1336B4}" destId="{C1963A1D-8CD3-4389-A57E-9D6C81ED4855}" srcOrd="0" destOrd="0" presId="urn:microsoft.com/office/officeart/2008/layout/RadialCluster"/>
    <dgm:cxn modelId="{5862BE80-3132-4210-9BC5-05687E7C7BFA}" type="presOf" srcId="{FDB4CEF6-AEDA-4EC0-B9B0-C2EA4F259D28}" destId="{03C8C674-87B9-432E-9CA9-43AAD838F4F5}" srcOrd="0" destOrd="0" presId="urn:microsoft.com/office/officeart/2008/layout/RadialCluster"/>
    <dgm:cxn modelId="{BA2FA399-9D02-417F-8C07-71199A0A20AE}" srcId="{5872AA3E-5E0D-410E-8117-12353100DFF7}" destId="{EB6944B9-F9D9-4EE8-9709-537086B7EA7A}" srcOrd="2" destOrd="0" parTransId="{B1B860EE-3F8A-407C-8D94-A79FF3D62EE4}" sibTransId="{30F5783A-C258-480B-BFC1-F6955CCC1A87}"/>
    <dgm:cxn modelId="{7DE2C2C6-5415-40A7-95EC-31352E65B79B}" type="presOf" srcId="{EB6944B9-F9D9-4EE8-9709-537086B7EA7A}" destId="{20714E06-7245-4756-B8CD-86E1FC65150D}" srcOrd="0" destOrd="0" presId="urn:microsoft.com/office/officeart/2008/layout/RadialCluster"/>
    <dgm:cxn modelId="{70B384D1-D378-46C5-91E6-E840C77885AB}" type="presOf" srcId="{97687431-58A0-45A5-9246-39F992433097}" destId="{6B082EE4-FB57-46DA-9998-997A29BD106E}" srcOrd="0" destOrd="0" presId="urn:microsoft.com/office/officeart/2008/layout/RadialCluster"/>
    <dgm:cxn modelId="{7303CAD9-4207-4F56-B308-07813BF7A78E}" srcId="{5872AA3E-5E0D-410E-8117-12353100DFF7}" destId="{644C519F-6E4D-47E3-86DB-C96A4C66CE10}" srcOrd="1" destOrd="0" parTransId="{CA0FC1FB-C6FC-45F5-9954-4376D18E0427}" sibTransId="{C2039545-82B3-4CEE-B8AD-07938FF24A40}"/>
    <dgm:cxn modelId="{D4B49AF0-F3D3-4D15-970D-92FE17C992D7}" type="presOf" srcId="{CA0FC1FB-C6FC-45F5-9954-4376D18E0427}" destId="{99CEF278-9070-4F6F-AD6D-2D82714DAA17}" srcOrd="0" destOrd="0" presId="urn:microsoft.com/office/officeart/2008/layout/RadialCluster"/>
    <dgm:cxn modelId="{593529F2-EBC5-4BBE-9584-41E05C20C3D1}" srcId="{5872AA3E-5E0D-410E-8117-12353100DFF7}" destId="{FDB4CEF6-AEDA-4EC0-B9B0-C2EA4F259D28}" srcOrd="0" destOrd="0" parTransId="{97687431-58A0-45A5-9246-39F992433097}" sibTransId="{9CAA65DA-38F0-4C39-BCA3-BA1F7608765B}"/>
    <dgm:cxn modelId="{26EA47F4-3DF5-41FE-8754-C8C782C43A28}" srcId="{49E094C8-521E-4021-A03C-2655EC1336B4}" destId="{5872AA3E-5E0D-410E-8117-12353100DFF7}" srcOrd="0" destOrd="0" parTransId="{3B53C1C2-F48F-4748-A277-C1F39AC13530}" sibTransId="{EDE8B704-8C71-4E06-8960-1B77C2BF03C7}"/>
    <dgm:cxn modelId="{EE5CA6E6-FE0B-47A2-83E4-B3E6EB95E437}" type="presParOf" srcId="{C1963A1D-8CD3-4389-A57E-9D6C81ED4855}" destId="{48F8F84D-C6BD-4417-B2B1-571DF635C707}" srcOrd="0" destOrd="0" presId="urn:microsoft.com/office/officeart/2008/layout/RadialCluster"/>
    <dgm:cxn modelId="{9DF3C3FA-D6FF-4631-A30E-2088B02F1747}" type="presParOf" srcId="{48F8F84D-C6BD-4417-B2B1-571DF635C707}" destId="{A8F9212D-1A2B-4BC2-9CF3-0EC2487DC542}" srcOrd="0" destOrd="0" presId="urn:microsoft.com/office/officeart/2008/layout/RadialCluster"/>
    <dgm:cxn modelId="{1B659FE2-E612-4A13-892C-3DD7EC1BA288}" type="presParOf" srcId="{48F8F84D-C6BD-4417-B2B1-571DF635C707}" destId="{6B082EE4-FB57-46DA-9998-997A29BD106E}" srcOrd="1" destOrd="0" presId="urn:microsoft.com/office/officeart/2008/layout/RadialCluster"/>
    <dgm:cxn modelId="{B3804A1B-31BA-4E1D-BB41-96349277FDBE}" type="presParOf" srcId="{48F8F84D-C6BD-4417-B2B1-571DF635C707}" destId="{03C8C674-87B9-432E-9CA9-43AAD838F4F5}" srcOrd="2" destOrd="0" presId="urn:microsoft.com/office/officeart/2008/layout/RadialCluster"/>
    <dgm:cxn modelId="{F8637762-867C-4873-9197-0307B9DB8C7C}" type="presParOf" srcId="{48F8F84D-C6BD-4417-B2B1-571DF635C707}" destId="{99CEF278-9070-4F6F-AD6D-2D82714DAA17}" srcOrd="3" destOrd="0" presId="urn:microsoft.com/office/officeart/2008/layout/RadialCluster"/>
    <dgm:cxn modelId="{F80EBF7F-0587-425A-86D4-1D522FFE14FB}" type="presParOf" srcId="{48F8F84D-C6BD-4417-B2B1-571DF635C707}" destId="{9D76D6E4-8E18-4DE6-8285-7F0610E934CA}" srcOrd="4" destOrd="0" presId="urn:microsoft.com/office/officeart/2008/layout/RadialCluster"/>
    <dgm:cxn modelId="{351AE73E-C3E3-4076-B1CB-F8C26469D2C2}" type="presParOf" srcId="{48F8F84D-C6BD-4417-B2B1-571DF635C707}" destId="{41AA0C88-5EDD-42C6-A188-FA06F7486D1C}" srcOrd="5" destOrd="0" presId="urn:microsoft.com/office/officeart/2008/layout/RadialCluster"/>
    <dgm:cxn modelId="{9D976249-A4B3-4FC6-8908-9FFA9FC059A7}" type="presParOf" srcId="{48F8F84D-C6BD-4417-B2B1-571DF635C707}" destId="{20714E06-7245-4756-B8CD-86E1FC65150D}" srcOrd="6" destOrd="0" presId="urn:microsoft.com/office/officeart/2008/layout/RadialCluster"/>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F9212D-1A2B-4BC2-9CF3-0EC2487DC542}">
      <dsp:nvSpPr>
        <dsp:cNvPr id="0" name=""/>
        <dsp:cNvSpPr/>
      </dsp:nvSpPr>
      <dsp:spPr>
        <a:xfrm>
          <a:off x="2211616" y="1488936"/>
          <a:ext cx="960120" cy="96012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EC" sz="1200" b="1" kern="1200">
              <a:latin typeface="Times New Roman" panose="02020603050405020304" pitchFamily="18" charset="0"/>
              <a:cs typeface="Times New Roman" panose="02020603050405020304" pitchFamily="18" charset="0"/>
            </a:rPr>
            <a:t>Incide en</a:t>
          </a:r>
        </a:p>
      </dsp:txBody>
      <dsp:txXfrm>
        <a:off x="2258485" y="1535805"/>
        <a:ext cx="866382" cy="866382"/>
      </dsp:txXfrm>
    </dsp:sp>
    <dsp:sp modelId="{6B082EE4-FB57-46DA-9998-997A29BD106E}">
      <dsp:nvSpPr>
        <dsp:cNvPr id="0" name=""/>
        <dsp:cNvSpPr/>
      </dsp:nvSpPr>
      <dsp:spPr>
        <a:xfrm rot="16200000">
          <a:off x="2354934" y="1152194"/>
          <a:ext cx="673484" cy="0"/>
        </a:xfrm>
        <a:custGeom>
          <a:avLst/>
          <a:gdLst/>
          <a:ahLst/>
          <a:cxnLst/>
          <a:rect l="0" t="0" r="0" b="0"/>
          <a:pathLst>
            <a:path>
              <a:moveTo>
                <a:pt x="0" y="0"/>
              </a:moveTo>
              <a:lnTo>
                <a:pt x="67348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C8C674-87B9-432E-9CA9-43AAD838F4F5}">
      <dsp:nvSpPr>
        <dsp:cNvPr id="0" name=""/>
        <dsp:cNvSpPr/>
      </dsp:nvSpPr>
      <dsp:spPr>
        <a:xfrm>
          <a:off x="1520098" y="172171"/>
          <a:ext cx="2343155" cy="64328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MX" sz="1200" b="1" kern="1200"/>
            <a:t>¿Cómo incide la incertidumbre regulatoria en las decisiones de las plataformas</a:t>
          </a:r>
          <a:r>
            <a:rPr lang="es-MX" sz="600" b="1" kern="1200"/>
            <a:t>?</a:t>
          </a:r>
          <a:endParaRPr lang="es-EC" sz="600" kern="1200"/>
        </a:p>
      </dsp:txBody>
      <dsp:txXfrm>
        <a:off x="1551500" y="203573"/>
        <a:ext cx="2280351" cy="580476"/>
      </dsp:txXfrm>
    </dsp:sp>
    <dsp:sp modelId="{99CEF278-9070-4F6F-AD6D-2D82714DAA17}">
      <dsp:nvSpPr>
        <dsp:cNvPr id="0" name=""/>
        <dsp:cNvSpPr/>
      </dsp:nvSpPr>
      <dsp:spPr>
        <a:xfrm rot="1800000">
          <a:off x="3153142" y="2315553"/>
          <a:ext cx="277578" cy="0"/>
        </a:xfrm>
        <a:custGeom>
          <a:avLst/>
          <a:gdLst/>
          <a:ahLst/>
          <a:cxnLst/>
          <a:rect l="0" t="0" r="0" b="0"/>
          <a:pathLst>
            <a:path>
              <a:moveTo>
                <a:pt x="0" y="0"/>
              </a:moveTo>
              <a:lnTo>
                <a:pt x="277578"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76D6E4-8E18-4DE6-8285-7F0610E934CA}">
      <dsp:nvSpPr>
        <dsp:cNvPr id="0" name=""/>
        <dsp:cNvSpPr/>
      </dsp:nvSpPr>
      <dsp:spPr>
        <a:xfrm>
          <a:off x="3188702" y="2384948"/>
          <a:ext cx="1561042" cy="64328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EC" sz="1200" b="1" kern="1200">
              <a:latin typeface="Times New Roman" panose="02020603050405020304" pitchFamily="18" charset="0"/>
              <a:cs typeface="Times New Roman" panose="02020603050405020304" pitchFamily="18" charset="0"/>
            </a:rPr>
            <a:t>V. Dependiente</a:t>
          </a:r>
        </a:p>
        <a:p>
          <a:pPr marL="0" lvl="0" indent="0" algn="ctr" defTabSz="533400">
            <a:lnSpc>
              <a:spcPct val="90000"/>
            </a:lnSpc>
            <a:spcBef>
              <a:spcPct val="0"/>
            </a:spcBef>
            <a:spcAft>
              <a:spcPct val="35000"/>
            </a:spcAft>
            <a:buNone/>
          </a:pPr>
          <a:r>
            <a:rPr lang="es-EC" sz="1200" kern="1200">
              <a:latin typeface="Times New Roman" panose="02020603050405020304" pitchFamily="18" charset="0"/>
              <a:cs typeface="Times New Roman" panose="02020603050405020304" pitchFamily="18" charset="0"/>
            </a:rPr>
            <a:t>Toma de deciciones estratégicas y éticas</a:t>
          </a:r>
        </a:p>
      </dsp:txBody>
      <dsp:txXfrm>
        <a:off x="3220104" y="2416350"/>
        <a:ext cx="1498238" cy="580476"/>
      </dsp:txXfrm>
    </dsp:sp>
    <dsp:sp modelId="{41AA0C88-5EDD-42C6-A188-FA06F7486D1C}">
      <dsp:nvSpPr>
        <dsp:cNvPr id="0" name=""/>
        <dsp:cNvSpPr/>
      </dsp:nvSpPr>
      <dsp:spPr>
        <a:xfrm rot="9000000">
          <a:off x="1952632" y="2315553"/>
          <a:ext cx="277578" cy="0"/>
        </a:xfrm>
        <a:custGeom>
          <a:avLst/>
          <a:gdLst/>
          <a:ahLst/>
          <a:cxnLst/>
          <a:rect l="0" t="0" r="0" b="0"/>
          <a:pathLst>
            <a:path>
              <a:moveTo>
                <a:pt x="0" y="0"/>
              </a:moveTo>
              <a:lnTo>
                <a:pt x="277578"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714E06-7245-4756-B8CD-86E1FC65150D}">
      <dsp:nvSpPr>
        <dsp:cNvPr id="0" name=""/>
        <dsp:cNvSpPr/>
      </dsp:nvSpPr>
      <dsp:spPr>
        <a:xfrm>
          <a:off x="736655" y="2384948"/>
          <a:ext cx="1354947" cy="64328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s-EC" sz="1200" b="1" kern="1200">
              <a:latin typeface="Times New Roman" panose="02020603050405020304" pitchFamily="18" charset="0"/>
              <a:cs typeface="Times New Roman" panose="02020603050405020304" pitchFamily="18" charset="0"/>
            </a:rPr>
            <a:t>V. Independiente</a:t>
          </a:r>
        </a:p>
        <a:p>
          <a:pPr marL="0" lvl="0" indent="0" algn="ctr" defTabSz="533400">
            <a:lnSpc>
              <a:spcPct val="90000"/>
            </a:lnSpc>
            <a:spcBef>
              <a:spcPct val="0"/>
            </a:spcBef>
            <a:spcAft>
              <a:spcPct val="35000"/>
            </a:spcAft>
            <a:buNone/>
          </a:pPr>
          <a:r>
            <a:rPr lang="es-EC" sz="1200" kern="1200">
              <a:latin typeface="Times New Roman" panose="02020603050405020304" pitchFamily="18" charset="0"/>
              <a:cs typeface="Times New Roman" panose="02020603050405020304" pitchFamily="18" charset="0"/>
            </a:rPr>
            <a:t>Incertidumbre del entorno regulatorio</a:t>
          </a:r>
        </a:p>
      </dsp:txBody>
      <dsp:txXfrm>
        <a:off x="768057" y="2416350"/>
        <a:ext cx="1292143" cy="580476"/>
      </dsp:txXfrm>
    </dsp:sp>
  </dsp:spTree>
</dsp:drawing>
</file>

<file path=word/diagrams/layout1.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FFB93-DD8A-4984-A970-8C3741422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4192</Words>
  <Characters>23056</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UNEMI</Company>
  <LinksUpToDate>false</LinksUpToDate>
  <CharactersWithSpaces>27194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UNEMI</dc:creator>
  <cp:keywords/>
  <dc:description/>
  <cp:lastModifiedBy>Christian Torres</cp:lastModifiedBy>
  <cp:revision>2</cp:revision>
  <cp:lastPrinted>2025-10-27T17:07:00Z</cp:lastPrinted>
  <dcterms:created xsi:type="dcterms:W3CDTF">2026-06-26T03:19:00Z</dcterms:created>
  <dcterms:modified xsi:type="dcterms:W3CDTF">2026-06-26T03:19:00Z</dcterms:modified>
</cp:coreProperties>
</file>