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jc w:val="center"/>
        <w:spacing w:after="160" w:line="360" w:lineRule="auto"/>
      </w:pPr>
      <w:r>
        <w:t xml:space="preserve">四轴视觉检测程序</w:t>
      </w:r>
    </w:p>
    <w:p>
      <w:pPr>
        <w:pStyle w:val="Subtitle"/>
        <w:jc w:val="center"/>
        <w:spacing w:after="500" w:line="360" w:lineRule="auto"/>
      </w:pPr>
      <w:r>
        <w:t xml:space="preserve">页面操作说明书</w:t>
      </w:r>
    </w:p>
    <w:p>
      <w:pPr>
        <w:jc w:val="center"/>
        <w:spacing w:after="100" w:line="360" w:lineRule="auto"/>
      </w:pPr>
      <w:r>
        <w:t xml:space="preserve">适用页面：料号管理、料号设置、参数界面、调试界面</w:t>
      </w:r>
    </w:p>
    <w:p>
      <w:pPr>
        <w:jc w:val="center"/>
        <w:spacing w:after="100" w:line="360" w:lineRule="auto"/>
      </w:pPr>
      <w:r>
        <w:t xml:space="preserve">说明：本手册重点说明页面功能、按钮作用和标准操作方法。</w:t>
      </w:r>
    </w:p>
    <w:p>
      <w:r>
        <w:br w:type="page"/>
      </w:r>
    </w:p>
    <w:p>
      <w:pPr>
        <w:pStyle w:val="Heading1"/>
        <w:spacing w:after="100" w:line="360" w:lineRule="auto"/>
      </w:pPr>
      <w:r>
        <w:t xml:space="preserve">1  料号管理页面</w:t>
      </w:r>
    </w:p>
    <w:p>
      <w:pPr>
        <w:pStyle w:val="Heading2"/>
        <w:spacing w:after="100" w:line="360" w:lineRule="auto"/>
      </w:pPr>
      <w:r>
        <w:t xml:space="preserve">1.1 页面功能</w:t>
      </w:r>
    </w:p>
    <w:p>
      <w:pPr>
        <w:spacing w:after="100" w:line="360" w:lineRule="auto"/>
      </w:pPr>
      <w:r>
        <w:t xml:space="preserve">料号管理页面用于建立产品料号、选择当前生产料号、删除无用料号以及刷新料号列表。不同料号可以在料号设置页面保存各自的定位框参数。</w:t>
      </w:r>
    </w:p>
    <w:p>
      <w:pPr>
        <w:jc w:val="center"/>
        <w:spacing w:after="80"/>
      </w:pPr>
      <w:r>
        <w:drawing>
          <wp:inline distT="0" distB="0" distL="0" distR="0">
            <wp:extent cx="5806440" cy="3266638"/>
            <wp:effectExtent l="0" t="0" r="0" b="0"/>
            <wp:docPr id="10" name="图1  料号管理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aterial_manag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638"/>
                    </a:xfrm>
                    <a:prstGeom prst="rect">
                      <a:avLst/>
                    </a:prstGeom>
                    <a:ln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00" w:line="360" w:lineRule="auto"/>
      </w:pPr>
      <w:r>
        <w:t xml:space="preserve">图1  料号管理页面</w:t>
      </w:r>
    </w:p>
    <w:p>
      <w:pPr>
        <w:pStyle w:val="Heading2"/>
        <w:spacing w:after="100" w:line="360" w:lineRule="auto"/>
      </w:pPr>
      <w:r>
        <w:t xml:space="preserve">1.2 控件和按钮说明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500"/>
      </w:tblGrid>
      <w:tr>
        <w:tc>
          <w:tcPr>
            <w:tcW w:w="24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控件/按钮</w:t>
            </w:r>
          </w:p>
        </w:tc>
        <w:tc>
          <w:tcPr>
            <w:tcW w:w="65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点击或操作后执行的功能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左侧料号列表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显示已有料号。单击某个料号后，该名称会显示到右侧输入框。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料号输入框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输入准备新建的料号名称。名称不能为空、不能重复，也不能包含文件名非法字符。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新建料号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校验名称并创建料号；创建成功后，新料号自动成为当前生产料号。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设为当前料号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把左侧选中的料号切换为当前生产料号，并加载该料号对应的区域配置。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删除料号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确认后删除选中料号。若删除当前料号，程序自动切换到剩余料号；没有剩余料号时自动建立“默认料号”。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刷新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重新读取料号文件并刷新左侧列表。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状态提示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显示创建、切换、删除或刷新是否成功。</w:t>
            </w:r>
          </w:p>
        </w:tc>
      </w:tr>
    </w:tbl>
    <w:p>
      <w:pPr>
        <w:spacing w:after="80" w:line="360" w:lineRule="auto"/>
      </w:pPr>
      <w:r>
        <w:t xml:space="preserve"/>
      </w:r>
    </w:p>
    <w:p>
      <w:pPr>
        <w:pStyle w:val="Heading2"/>
        <w:spacing w:after="100" w:line="360" w:lineRule="auto"/>
      </w:pPr>
      <w:r>
        <w:t xml:space="preserve">1.3 使用方法</w:t>
      </w:r>
    </w:p>
    <w:p>
      <w:pPr>
        <w:spacing w:after="100" w:line="360" w:lineRule="auto"/>
      </w:pPr>
      <w:r>
        <w:t xml:space="preserve">新建：在输入框填写新料号 → 点击“新建料号” → 查看状态提示和当前生产料号。</w:t>
      </w:r>
    </w:p>
    <w:p>
      <w:pPr>
        <w:spacing w:after="100" w:line="360" w:lineRule="auto"/>
      </w:pPr>
      <w:r>
        <w:t xml:space="preserve">切换：在左侧选择目标料号 → 点击“设为当前料号” → 确认顶部当前生产料号已变化。</w:t>
      </w:r>
    </w:p>
    <w:p>
      <w:pPr>
        <w:spacing w:after="100" w:line="360" w:lineRule="auto"/>
      </w:pPr>
      <w:r>
        <w:t xml:space="preserve">删除：在左侧选择料号 → 点击“删除料号” → 在确认窗口选择“是”。</w:t>
      </w:r>
    </w:p>
    <w:p>
      <w:pPr>
        <w:spacing w:after="100" w:line="360" w:lineRule="auto"/>
      </w:pPr>
      <w:r>
        <w:rPr>
          <w:b/>
        </w:rPr>
        <w:t xml:space="preserve">注意：左侧只选中料号不会切换生产料号，必须点击“设为当前料号”。</w:t>
      </w:r>
    </w:p>
    <w:p>
      <w:r>
        <w:br w:type="page"/>
      </w:r>
    </w:p>
    <w:p>
      <w:pPr>
        <w:pStyle w:val="Heading1"/>
        <w:spacing w:after="100" w:line="360" w:lineRule="auto"/>
      </w:pPr>
      <w:r>
        <w:t xml:space="preserve">2  料号设置页面</w:t>
      </w:r>
    </w:p>
    <w:p>
      <w:pPr>
        <w:pStyle w:val="Heading2"/>
        <w:spacing w:after="100" w:line="360" w:lineRule="auto"/>
      </w:pPr>
      <w:r>
        <w:t xml:space="preserve">2.1 页面功能</w:t>
      </w:r>
    </w:p>
    <w:p>
      <w:pPr>
        <w:spacing w:after="100" w:line="360" w:lineRule="auto"/>
      </w:pPr>
      <w:r>
        <w:t xml:space="preserve">料号设置页面用于给指定料号配置产品定位范围、左右银面区域、中间区域和边缘检测区域。页面中的参数按料号分别保存。</w:t>
      </w:r>
    </w:p>
    <w:p>
      <w:pPr>
        <w:jc w:val="center"/>
        <w:spacing w:after="80"/>
      </w:pPr>
      <w:r>
        <w:drawing>
          <wp:inline distT="0" distB="0" distL="0" distR="0">
            <wp:extent cx="5806440" cy="3266638"/>
            <wp:effectExtent l="0" t="0" r="0" b="0"/>
            <wp:docPr id="11" name="图2  料号设置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aterial_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638"/>
                    </a:xfrm>
                    <a:prstGeom prst="rect">
                      <a:avLst/>
                    </a:prstGeom>
                    <a:ln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00" w:line="360" w:lineRule="auto"/>
      </w:pPr>
      <w:r>
        <w:t xml:space="preserve">图2  料号设置页面</w:t>
      </w:r>
    </w:p>
    <w:p>
      <w:pPr>
        <w:pStyle w:val="Heading2"/>
        <w:spacing w:after="100" w:line="360" w:lineRule="auto"/>
      </w:pPr>
      <w:r>
        <w:t xml:space="preserve">2.2 顶部按钮说明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500"/>
      </w:tblGrid>
      <w:tr>
        <w:tc>
          <w:tcPr>
            <w:tcW w:w="24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控件/按钮</w:t>
            </w:r>
          </w:p>
        </w:tc>
        <w:tc>
          <w:tcPr>
            <w:tcW w:w="65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点击或操作后执行的功能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料号下拉框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选择需要编辑配置的料号。只改变编辑对象，不改变当前生产料号。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选择检测图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打开图片选择窗口；载入图片后立即定位产品并显示检测区域框。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保存检测图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保存当前料号的框参数，同时保存当前带框检测图作为该料号参考图。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恢复默认框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把当前编辑参数恢复为默认值；只有再次点击“保存检测图”才正式保存。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状态栏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显示当前料号、产品框坐标、加载失败或保存结果。</w:t>
            </w:r>
          </w:p>
        </w:tc>
      </w:tr>
    </w:tbl>
    <w:p>
      <w:pPr>
        <w:spacing w:after="80" w:line="360" w:lineRule="auto"/>
      </w:pPr>
      <w:r>
        <w:t xml:space="preserve"/>
      </w:r>
    </w:p>
    <w:p>
      <w:pPr>
        <w:pStyle w:val="Heading2"/>
        <w:spacing w:after="100" w:line="360" w:lineRule="auto"/>
      </w:pPr>
      <w:r>
        <w:t xml:space="preserve">2.3 参数区域说明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500"/>
      </w:tblGrid>
      <w:tr>
        <w:tc>
          <w:tcPr>
            <w:tcW w:w="24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选项卡</w:t>
            </w:r>
          </w:p>
        </w:tc>
        <w:tc>
          <w:tcPr>
            <w:tcW w:w="65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主要作用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框比例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调整银面外边界、银面内边界、中间区域宽度、上下缩进、上下分割及边缘检查范围。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定位高级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调整产品暗像素阈值、行列有效比例、平滑半径和支持点，用于产品自动定位不稳定时修正。</w:t>
            </w:r>
          </w:p>
        </w:tc>
      </w:tr>
    </w:tbl>
    <w:p>
      <w:pPr>
        <w:spacing w:after="80" w:line="360" w:lineRule="auto"/>
      </w:pPr>
      <w:r>
        <w:t xml:space="preserve"/>
      </w:r>
    </w:p>
    <w:p>
      <w:pPr>
        <w:pStyle w:val="Heading2"/>
        <w:spacing w:after="100" w:line="360" w:lineRule="auto"/>
      </w:pPr>
      <w:r>
        <w:t xml:space="preserve">2.4 标准操作</w:t>
      </w:r>
    </w:p>
    <w:p>
      <w:pPr>
        <w:spacing w:after="100" w:line="360" w:lineRule="auto"/>
      </w:pPr>
      <w:r>
        <w:t xml:space="preserve">1. 选择要编辑的料号。</w:t>
      </w:r>
    </w:p>
    <w:p>
      <w:pPr>
        <w:spacing w:after="100" w:line="360" w:lineRule="auto"/>
      </w:pPr>
      <w:r>
        <w:t xml:space="preserve">2. 点击“选择检测图”，选择一张产品完整、清晰且位置具有代表性的图片。</w:t>
      </w:r>
    </w:p>
    <w:p>
      <w:pPr>
        <w:spacing w:after="100" w:line="360" w:lineRule="auto"/>
      </w:pPr>
      <w:r>
        <w:t xml:space="preserve">3. 查看左侧框线是否正确覆盖产品、左右银面和中间区域。</w:t>
      </w:r>
    </w:p>
    <w:p>
      <w:pPr>
        <w:spacing w:after="100" w:line="360" w:lineRule="auto"/>
      </w:pPr>
      <w:r>
        <w:t xml:space="preserve">4. 修改右侧参数；框线会随参数变化实时刷新。</w:t>
      </w:r>
    </w:p>
    <w:p>
      <w:pPr>
        <w:spacing w:after="100" w:line="360" w:lineRule="auto"/>
      </w:pPr>
      <w:r>
        <w:t xml:space="preserve">5. 确认后点击“保存检测图”。</w:t>
      </w:r>
    </w:p>
    <w:p>
      <w:pPr>
        <w:spacing w:after="100" w:line="360" w:lineRule="auto"/>
      </w:pPr>
      <w:r>
        <w:rPr>
          <w:b/>
        </w:rPr>
        <w:t xml:space="preserve">建议：先调整产品自动定位，再调整银面和中间区域比例；每次只小幅修改一个参数。</w:t>
      </w:r>
    </w:p>
    <w:p>
      <w:r>
        <w:br w:type="page"/>
      </w:r>
    </w:p>
    <w:p>
      <w:pPr>
        <w:pStyle w:val="Heading1"/>
        <w:spacing w:after="100" w:line="360" w:lineRule="auto"/>
      </w:pPr>
      <w:r>
        <w:t xml:space="preserve">3  参数界面</w:t>
      </w:r>
    </w:p>
    <w:p>
      <w:pPr>
        <w:pStyle w:val="Heading2"/>
        <w:spacing w:after="100" w:line="360" w:lineRule="auto"/>
      </w:pPr>
      <w:r>
        <w:t xml:space="preserve">3.1 页面功能</w:t>
      </w:r>
    </w:p>
    <w:p>
      <w:pPr>
        <w:spacing w:after="100" w:line="360" w:lineRule="auto"/>
      </w:pPr>
      <w:r>
        <w:t xml:space="preserve">参数界面用于设置所有料号共用的检测判定阈值、图像处理参数、调试结果保存路径和系统维护参数。进入此页面需要先完成登录。</w:t>
      </w:r>
    </w:p>
    <w:p>
      <w:pPr>
        <w:jc w:val="center"/>
        <w:spacing w:after="80"/>
      </w:pPr>
      <w:r>
        <w:drawing>
          <wp:inline distT="0" distB="0" distL="0" distR="0">
            <wp:extent cx="5806440" cy="3266638"/>
            <wp:effectExtent l="0" t="0" r="0" b="0"/>
            <wp:docPr id="12" name="图3  参数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aramet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638"/>
                    </a:xfrm>
                    <a:prstGeom prst="rect">
                      <a:avLst/>
                    </a:prstGeom>
                    <a:ln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00" w:line="360" w:lineRule="auto"/>
      </w:pPr>
      <w:r>
        <w:t xml:space="preserve">图3  参数界面</w:t>
      </w:r>
    </w:p>
    <w:p>
      <w:pPr>
        <w:pStyle w:val="Heading2"/>
        <w:spacing w:after="100" w:line="360" w:lineRule="auto"/>
      </w:pPr>
      <w:r>
        <w:t xml:space="preserve">3.2 顶部按钮说明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500"/>
      </w:tblGrid>
      <w:tr>
        <w:tc>
          <w:tcPr>
            <w:tcW w:w="24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控件/按钮</w:t>
            </w:r>
          </w:p>
        </w:tc>
        <w:tc>
          <w:tcPr>
            <w:tcW w:w="65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点击或操作后执行的功能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保存参数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校验当前数值并保存到系统参数文件，保存后正式用于检测。不会覆盖相机设置页面中的曝光和增益。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恢复默认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恢复检测参数默认值；相机曝光、增益及已设置的保存路径保持不变。需点击“保存参数”后生效。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实时预览当前调试图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勾选后，修改检测参数会自动重新处理调试页面当前图片，但修改仍处于未保存状态。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状态栏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提示预览是否成功、参数是否保存以及调试页面是否已经加载图片。</w:t>
            </w:r>
          </w:p>
        </w:tc>
      </w:tr>
    </w:tbl>
    <w:p>
      <w:pPr>
        <w:spacing w:after="80" w:line="360" w:lineRule="auto"/>
      </w:pPr>
      <w:r>
        <w:t xml:space="preserve"/>
      </w:r>
    </w:p>
    <w:p>
      <w:pPr>
        <w:pStyle w:val="Heading2"/>
        <w:spacing w:after="100" w:line="360" w:lineRule="auto"/>
      </w:pPr>
      <w:r>
        <w:t xml:space="preserve">3.3 各选项卡说明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500"/>
      </w:tblGrid>
      <w:tr>
        <w:tc>
          <w:tcPr>
            <w:tcW w:w="24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选项卡</w:t>
            </w:r>
          </w:p>
        </w:tc>
        <w:tc>
          <w:tcPr>
            <w:tcW w:w="65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OK/复检/NG判定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设置银面上下半区覆盖率、内部缺陷面积、边缘凹陷有效面积和中间框残银阈值。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图像处理高级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设置银面掩码形态学、中间框灰度阈值及物料边界检查参数。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调试结果存储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设置调试检测完成后OK图片和NG/复检图片的保存目录；路径框显示当前目录。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系统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设置管理员权限超时时间和图片保留天数。</w:t>
            </w:r>
          </w:p>
        </w:tc>
      </w:tr>
    </w:tbl>
    <w:p>
      <w:pPr>
        <w:spacing w:after="80" w:line="360" w:lineRule="auto"/>
      </w:pPr>
      <w:r>
        <w:t xml:space="preserve"/>
      </w:r>
    </w:p>
    <w:p>
      <w:pPr>
        <w:pStyle w:val="Heading2"/>
        <w:spacing w:after="100" w:line="360" w:lineRule="auto"/>
      </w:pPr>
      <w:r>
        <w:t xml:space="preserve">3.4 主要判定参数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700"/>
        <w:gridCol w:w="6200"/>
      </w:tblGrid>
      <w:tr>
        <w:tc>
          <w:tcPr>
            <w:tcW w:w="27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参数</w:t>
            </w:r>
          </w:p>
        </w:tc>
        <w:tc>
          <w:tcPr>
            <w:tcW w:w="62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作用及调整方向</w:t>
            </w:r>
          </w:p>
        </w:tc>
      </w:tr>
      <w:tr>
        <w:tc>
          <w:tcPr>
            <w:tcW w:w="2700" w:type="dxa"/>
          </w:tcPr>
          <w:p>
            <w:pPr>
              <w:spacing w:after="0" w:line="360" w:lineRule="auto"/>
            </w:pPr>
            <w:r>
              <w:t xml:space="preserve">银面覆盖率NG/OK</w:t>
            </w:r>
          </w:p>
        </w:tc>
        <w:tc>
          <w:tcPr>
            <w:tcW w:w="6200" w:type="dxa"/>
          </w:tcPr>
          <w:p>
            <w:pPr>
              <w:spacing w:after="0" w:line="360" w:lineRule="auto"/>
            </w:pPr>
            <w:r>
              <w:t xml:space="preserve">左右银面分别按上、下半区判断。低于NG线判NG，高于OK线判OK，中间范围进入复检。</w:t>
            </w:r>
          </w:p>
        </w:tc>
      </w:tr>
      <w:tr>
        <w:tc>
          <w:tcPr>
            <w:tcW w:w="2700" w:type="dxa"/>
          </w:tcPr>
          <w:p>
            <w:pPr>
              <w:spacing w:after="0" w:line="360" w:lineRule="auto"/>
            </w:pPr>
            <w:r>
              <w:t xml:space="preserve">内部缺陷复查/NG面积</w:t>
            </w:r>
          </w:p>
        </w:tc>
        <w:tc>
          <w:tcPr>
            <w:tcW w:w="6200" w:type="dxa"/>
          </w:tcPr>
          <w:p>
            <w:pPr>
              <w:spacing w:after="0" w:line="360" w:lineRule="auto"/>
            </w:pPr>
            <w:r>
              <w:t xml:space="preserve">开运算后单个内部缺陷的像素面积。阈值越小越严格。</w:t>
            </w:r>
          </w:p>
        </w:tc>
      </w:tr>
      <w:tr>
        <w:tc>
          <w:tcPr>
            <w:tcW w:w="2700" w:type="dxa"/>
          </w:tcPr>
          <w:p>
            <w:pPr>
              <w:spacing w:after="0" w:line="360" w:lineRule="auto"/>
            </w:pPr>
            <w:r>
              <w:t xml:space="preserve">边缘凹陷复查/NG面积</w:t>
            </w:r>
          </w:p>
        </w:tc>
        <w:tc>
          <w:tcPr>
            <w:tcW w:w="6200" w:type="dxa"/>
          </w:tcPr>
          <w:p>
            <w:pPr>
              <w:spacing w:after="0" w:line="360" w:lineRule="auto"/>
            </w:pPr>
            <w:r>
              <w:t xml:space="preserve">与动态计算后的有效面积比较。阈值越小越严格。</w:t>
            </w:r>
          </w:p>
        </w:tc>
      </w:tr>
      <w:tr>
        <w:tc>
          <w:tcPr>
            <w:tcW w:w="2700" w:type="dxa"/>
          </w:tcPr>
          <w:p>
            <w:pPr>
              <w:spacing w:after="0" w:line="360" w:lineRule="auto"/>
            </w:pPr>
            <w:r>
              <w:t xml:space="preserve">面积形状换算系数</w:t>
            </w:r>
          </w:p>
        </w:tc>
        <w:tc>
          <w:tcPr>
            <w:tcW w:w="6200" w:type="dxa"/>
          </w:tcPr>
          <w:p>
            <w:pPr>
              <w:spacing w:after="0" w:line="360" w:lineRule="auto"/>
            </w:pPr>
            <w:r>
              <w:t xml:space="preserve">放大边缘缺陷有效面积。数值越大越容易进入复检或NG。</w:t>
            </w:r>
          </w:p>
        </w:tc>
      </w:tr>
      <w:tr>
        <w:tc>
          <w:tcPr>
            <w:tcW w:w="2700" w:type="dxa"/>
          </w:tcPr>
          <w:p>
            <w:pPr>
              <w:spacing w:after="0" w:line="360" w:lineRule="auto"/>
            </w:pPr>
            <w:r>
              <w:t xml:space="preserve">最小平均厚度</w:t>
            </w:r>
          </w:p>
        </w:tc>
        <w:tc>
          <w:tcPr>
            <w:tcW w:w="6200" w:type="dxa"/>
          </w:tcPr>
          <w:p>
            <w:pPr>
              <w:spacing w:after="0" w:line="360" w:lineRule="auto"/>
            </w:pPr>
            <w:r>
              <w:t xml:space="preserve">低于该厚度的细长候选被忽略。数值越大，细线过滤越强。</w:t>
            </w:r>
          </w:p>
        </w:tc>
      </w:tr>
      <w:tr>
        <w:tc>
          <w:tcPr>
            <w:tcW w:w="2700" w:type="dxa"/>
          </w:tcPr>
          <w:p>
            <w:pPr>
              <w:spacing w:after="0" w:line="360" w:lineRule="auto"/>
            </w:pPr>
            <w:r>
              <w:t xml:space="preserve">中间框高亮占比</w:t>
            </w:r>
          </w:p>
        </w:tc>
        <w:tc>
          <w:tcPr>
            <w:tcW w:w="6200" w:type="dxa"/>
          </w:tcPr>
          <w:p>
            <w:pPr>
              <w:spacing w:after="0" w:line="360" w:lineRule="auto"/>
            </w:pPr>
            <w:r>
              <w:t xml:space="preserve">中间区域高亮像素比例达到复检线或NG线时产生对应结果。</w:t>
            </w:r>
          </w:p>
        </w:tc>
      </w:tr>
    </w:tbl>
    <w:p>
      <w:pPr>
        <w:spacing w:after="80" w:line="360" w:lineRule="auto"/>
      </w:pPr>
      <w:r>
        <w:t xml:space="preserve"/>
      </w:r>
    </w:p>
    <w:p>
      <w:pPr>
        <w:pStyle w:val="Heading3"/>
        <w:spacing w:after="100" w:line="360" w:lineRule="auto"/>
      </w:pPr>
      <w:r>
        <w:t xml:space="preserve">边缘凹陷计算公式</w:t>
      </w:r>
    </w:p>
    <w:p>
      <w:pPr>
        <w:jc w:val="center"/>
        <w:spacing w:after="100" w:line="360" w:lineRule="auto"/>
      </w:pPr>
      <w:r>
        <w:rPr>
          <w:b/>
        </w:rPr>
        <w:t xml:space="preserve">有效面积 = 实际面积 × 最大深度 ÷ 开口宽度 × 换算系数</w:t>
      </w:r>
    </w:p>
    <w:p>
      <w:pPr>
        <w:spacing w:after="100" w:line="360" w:lineRule="auto"/>
      </w:pPr>
      <w:r>
        <w:t xml:space="preserve">开口越宽或深度越浅，需要更大的实际缺失面积才能判NG；平均厚度过小的细长区域会被忽略。</w:t>
      </w:r>
    </w:p>
    <w:p>
      <w:pPr>
        <w:pStyle w:val="Heading2"/>
        <w:spacing w:after="100" w:line="360" w:lineRule="auto"/>
      </w:pPr>
      <w:r>
        <w:t xml:space="preserve">3.5 推荐调参方式</w:t>
      </w:r>
    </w:p>
    <w:p>
      <w:pPr>
        <w:spacing w:after="100" w:line="360" w:lineRule="auto"/>
      </w:pPr>
      <w:r>
        <w:t xml:space="preserve">1. 先在调试页面加载一组有代表性的OK、复检和NG图片。</w:t>
      </w:r>
    </w:p>
    <w:p>
      <w:pPr>
        <w:spacing w:after="100" w:line="360" w:lineRule="auto"/>
      </w:pPr>
      <w:r>
        <w:t xml:space="preserve">2. 保持实时预览开启，每次只修改一类参数。</w:t>
      </w:r>
    </w:p>
    <w:p>
      <w:pPr>
        <w:spacing w:after="100" w:line="360" w:lineRule="auto"/>
      </w:pPr>
      <w:r>
        <w:t xml:space="preserve">3. 使用“重新检测当前图”验证结果。</w:t>
      </w:r>
    </w:p>
    <w:p>
      <w:pPr>
        <w:spacing w:after="100" w:line="360" w:lineRule="auto"/>
      </w:pPr>
      <w:r>
        <w:t xml:space="preserve">4. 同时检查多张OK图和NG图，确认没有明显误判后再点击“保存参数”。</w:t>
      </w:r>
    </w:p>
    <w:p>
      <w:r>
        <w:br w:type="page"/>
      </w:r>
    </w:p>
    <w:p>
      <w:pPr>
        <w:pStyle w:val="Heading1"/>
        <w:spacing w:after="100" w:line="360" w:lineRule="auto"/>
      </w:pPr>
      <w:r>
        <w:t xml:space="preserve">4  调试界面</w:t>
      </w:r>
    </w:p>
    <w:p>
      <w:pPr>
        <w:pStyle w:val="Heading2"/>
        <w:spacing w:after="100" w:line="360" w:lineRule="auto"/>
      </w:pPr>
      <w:r>
        <w:t xml:space="preserve">4.1 页面功能</w:t>
      </w:r>
    </w:p>
    <w:p>
      <w:pPr>
        <w:spacing w:after="100" w:line="360" w:lineRule="auto"/>
      </w:pPr>
      <w:r>
        <w:t xml:space="preserve">调试界面用于对文件夹中的图片进行逐张或连续检测，显示检测框、缺陷位置和最终OK/复检/NG结果。</w:t>
      </w:r>
    </w:p>
    <w:p>
      <w:pPr>
        <w:jc w:val="center"/>
        <w:spacing w:after="80"/>
      </w:pPr>
      <w:r>
        <w:drawing>
          <wp:inline distT="0" distB="0" distL="0" distR="0">
            <wp:extent cx="5806440" cy="3517697"/>
            <wp:effectExtent l="0" t="0" r="0" b="0"/>
            <wp:docPr id="13" name="图4  调试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ebu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17697"/>
                    </a:xfrm>
                    <a:prstGeom prst="rect">
                      <a:avLst/>
                    </a:prstGeom>
                    <a:ln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00" w:line="360" w:lineRule="auto"/>
      </w:pPr>
      <w:r>
        <w:t xml:space="preserve">图4  调试界面</w:t>
      </w:r>
    </w:p>
    <w:p>
      <w:pPr>
        <w:pStyle w:val="Heading2"/>
        <w:spacing w:after="100" w:line="360" w:lineRule="auto"/>
      </w:pPr>
      <w:r>
        <w:t xml:space="preserve">4.2 控件和按钮说明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500"/>
      </w:tblGrid>
      <w:tr>
        <w:tc>
          <w:tcPr>
            <w:tcW w:w="24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控件/按钮</w:t>
            </w:r>
          </w:p>
        </w:tc>
        <w:tc>
          <w:tcPr>
            <w:tcW w:w="65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点击或操作后执行的功能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结果显示块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显示NA、OK、复检或NG。绿色代表OK，橙色代表复检，红色代表NG。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相机选择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选择检测相机或分类相机；当前文件夹图片调试不依赖该选项。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图片检测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打开文件夹选择窗口，读取文件夹中的BMP、JPG、PNG、TIF等图片并开始检测。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下一张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自动检测未勾选时，检测列表中的下一张图片；全部完成后按钮不可用。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重新检测当前图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使用当前已保存参数重新检测正在显示的图片。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自动检测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勾选后，选择文件夹即连续检测全部图片；处理中会持续更新画面和结果。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相机检测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预留按钮；当前版本进行文件图片调试请使用“图片检测”。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参数预览（未保存）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参数界面进行实时预览时显示，表示画面使用的是尚未保存的参数。</w:t>
            </w:r>
          </w:p>
        </w:tc>
      </w:tr>
    </w:tbl>
    <w:p>
      <w:pPr>
        <w:spacing w:after="80" w:line="360" w:lineRule="auto"/>
      </w:pPr>
      <w:r>
        <w:t xml:space="preserve"/>
      </w:r>
    </w:p>
    <w:p>
      <w:pPr>
        <w:pStyle w:val="Heading2"/>
        <w:spacing w:after="100" w:line="360" w:lineRule="auto"/>
      </w:pPr>
      <w:r>
        <w:t xml:space="preserve">4.3 逐张检测</w:t>
      </w:r>
    </w:p>
    <w:p>
      <w:pPr>
        <w:spacing w:after="100" w:line="360" w:lineRule="auto"/>
      </w:pPr>
      <w:r>
        <w:t xml:space="preserve">1. 取消勾选“自动检测”。</w:t>
      </w:r>
    </w:p>
    <w:p>
      <w:pPr>
        <w:spacing w:after="100" w:line="360" w:lineRule="auto"/>
      </w:pPr>
      <w:r>
        <w:t xml:space="preserve">2. 点击“图片检测”，选择待检测图片文件夹。</w:t>
      </w:r>
    </w:p>
    <w:p>
      <w:pPr>
        <w:spacing w:after="100" w:line="360" w:lineRule="auto"/>
      </w:pPr>
      <w:r>
        <w:t xml:space="preserve">3. 查看第一张图片的框线、缺陷标记和结果。</w:t>
      </w:r>
    </w:p>
    <w:p>
      <w:pPr>
        <w:spacing w:after="100" w:line="360" w:lineRule="auto"/>
      </w:pPr>
      <w:r>
        <w:t xml:space="preserve">4. 点击“下一张”继续；需要复测时点击“重新检测当前图”。</w:t>
      </w:r>
    </w:p>
    <w:p>
      <w:pPr>
        <w:pStyle w:val="Heading2"/>
        <w:spacing w:after="100" w:line="360" w:lineRule="auto"/>
      </w:pPr>
      <w:r>
        <w:t xml:space="preserve">4.4 自动检测</w:t>
      </w:r>
    </w:p>
    <w:p>
      <w:pPr>
        <w:spacing w:after="100" w:line="360" w:lineRule="auto"/>
      </w:pPr>
      <w:r>
        <w:t xml:space="preserve">1. 勾选“自动检测”。</w:t>
      </w:r>
    </w:p>
    <w:p>
      <w:pPr>
        <w:spacing w:after="100" w:line="360" w:lineRule="auto"/>
      </w:pPr>
      <w:r>
        <w:t xml:space="preserve">2. 点击“图片检测”并选择文件夹。</w:t>
      </w:r>
    </w:p>
    <w:p>
      <w:pPr>
        <w:spacing w:after="100" w:line="360" w:lineRule="auto"/>
      </w:pPr>
      <w:r>
        <w:t xml:space="preserve">3. 程序自动处理全部图片，完成后日志区域提示检测完成。</w:t>
      </w:r>
    </w:p>
    <w:p>
      <w:pPr>
        <w:pStyle w:val="Heading2"/>
        <w:spacing w:after="100" w:line="360" w:lineRule="auto"/>
      </w:pPr>
      <w:r>
        <w:t xml:space="preserve">4.5 结果图片保存</w:t>
      </w:r>
    </w:p>
    <w:p>
      <w:pPr>
        <w:spacing w:after="100" w:line="360" w:lineRule="auto"/>
      </w:pPr>
      <w:r>
        <w:t xml:space="preserve">OK结果图保存到参数界面的“OK结果图路径”；NG和复检结果图保存到“NG/复检结果图路径”。同名文件自动增加序号，不会覆盖已有图片。</w:t>
      </w:r>
    </w:p>
    <w:p>
      <w:pPr>
        <w:pStyle w:val="Heading2"/>
        <w:spacing w:after="100" w:line="360" w:lineRule="auto"/>
      </w:pPr>
      <w:r>
        <w:t xml:space="preserve">操作建议</w:t>
      </w:r>
    </w:p>
    <w:p>
      <w:pPr>
        <w:spacing w:after="100" w:line="360" w:lineRule="auto"/>
      </w:pPr>
      <w:r>
        <w:t xml:space="preserve">调参时优先使用逐张检测，确认参数稳定后再使用自动检测批量验证。出现异常结果时，应同时检查料号设置中的区域框和参数界面的判定阈值。</w:t>
      </w:r>
    </w:p>
    <w:sectPr>
      <w:pgSz w:w="11906" w:h="16838"/>
      <w:pgMar w:top="1080" w:right="1080" w:bottom="1080" w:left="108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1"/>
        <w:szCs w:val="21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color w:val="1F4E79"/>
      <w:sz w:val="44"/>
    </w:rPr>
  </w:style>
  <w:style w:type="paragraph" w:styleId="Subtitle">
    <w:name w:val="Subtitle"/>
    <w:basedOn w:val="Normal"/>
    <w:rPr>
      <w:color w:val="5B9BD5"/>
      <w:sz w:val="30"/>
    </w:rPr>
  </w:style>
  <w:style w:type="paragraph" w:styleId="Heading1">
    <w:name w:val="heading 1"/>
    <w:basedOn w:val="Normal"/>
    <w:keepNext/>
    <w:rPr>
      <w:b/>
      <w:color w:val="1F4E79"/>
      <w:sz w:val="32"/>
    </w:rPr>
  </w:style>
  <w:style w:type="paragraph" w:styleId="Heading2">
    <w:name w:val="heading 2"/>
    <w:basedOn w:val="Normal"/>
    <w:keepNext/>
    <w:rPr>
      <w:b/>
      <w:color w:val="2F75B5"/>
      <w:sz w:val="26"/>
    </w:rPr>
  </w:style>
  <w:style w:type="paragraph" w:styleId="Heading3">
    <w:name w:val="heading 3"/>
    <w:basedOn w:val="Normal"/>
    <w:keepNext/>
    <w:rPr>
      <w:b/>
      <w:sz w:val="23"/>
    </w:rPr>
  </w:style>
  <w:style w:type="paragraph" w:styleId="Caption">
    <w:name w:val="caption"/>
    <w:basedOn w:val="Normal"/>
    <w:rPr>
      <w:i/>
      <w:color w:val="666666"/>
      <w:sz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01_material_management.png"/><Relationship Id="rId11" Type="http://schemas.openxmlformats.org/officeDocument/2006/relationships/image" Target="media/02_material_settings.png"/><Relationship Id="rId12" Type="http://schemas.openxmlformats.org/officeDocument/2006/relationships/image" Target="media/03_parameters.png"/><Relationship Id="rId13" Type="http://schemas.openxmlformats.org/officeDocument/2006/relationships/image" Target="media/04_debug.png"/></Relationships>
</file>