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4020"/>
          <w:sz w:val="38"/>
          <w:szCs w:val="38"/>
        </w:rPr>
        <w:t xml:space="preserve">HARD ROCK LEGACY COMPLEX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Financial Statements  |  Year Ended December 31, 2025  |  University of Miami Athletic Complex  |  $1.85B Program</w:t>
      </w:r>
    </w:p>
    <w:p>
      <w:pPr>
        <w:pBdr>
          <w:bottom w:val="single" w:color="1A6B3C" w:sz="8"/>
        </w:pBdr>
        <w:spacing w:before="0" w:after="24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A4020"/>
          <w:sz w:val="24"/>
          <w:szCs w:val="24"/>
        </w:rPr>
        <w:t xml:space="preserve">PROGRAM OVERVIEW — CONTRACT STATUS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GMP Contract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COs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Value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 Rock Legacy Stadium (HRL-2024)</w:t>
            </w:r>
          </w:p>
        </w:tc>
        <w:tc>
          <w:tcPr>
            <w:tcW w:type="dxa" w:w="1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1,100,000,000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19,494,000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1,119,494,000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Football Performance Center (HPC-2024)</w:t>
            </w:r>
          </w:p>
        </w:tc>
        <w:tc>
          <w:tcPr>
            <w:tcW w:type="dxa" w:w="1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285,000,000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290,300,000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Athlete Village (CAV-2024)</w:t>
            </w:r>
          </w:p>
        </w:tc>
        <w:tc>
          <w:tcPr>
            <w:tcW w:type="dxa" w:w="1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195,000,000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8,300,000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203,300,000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Tower (HAA-2024)</w:t>
            </w:r>
          </w:p>
        </w:tc>
        <w:tc>
          <w:tcPr>
            <w:tcW w:type="dxa" w:w="1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185,000,000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2,650,000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187,650,000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 &amp; Infrastructure (SDI-2024)</w:t>
            </w:r>
          </w:p>
        </w:tc>
        <w:tc>
          <w:tcPr>
            <w:tcW w:type="dxa" w:w="1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85,000,000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6,800,000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91,800,000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PROGRAM</w:t>
            </w:r>
          </w:p>
        </w:tc>
        <w:tc>
          <w:tcPr>
            <w:tcW w:type="dxa" w:w="1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1,850,000,000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42,544,000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1,892,544,000</w:t>
            </w:r>
          </w:p>
        </w:tc>
        <w:tc>
          <w:tcPr>
            <w:tcW w:type="dxa" w:w="1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21%</w:t>
            </w:r>
          </w:p>
        </w:tc>
      </w:tr>
    </w:tbl>
    <w:p>
      <w:pPr>
        <w:spacing w:before="320" w:after="80"/>
      </w:pPr>
      <w:r>
        <w:rPr>
          <w:rFonts w:ascii="Arial" w:cs="Arial" w:eastAsia="Arial" w:hAnsi="Arial"/>
          <w:b/>
          <w:bCs/>
          <w:color w:val="0A4020"/>
          <w:sz w:val="24"/>
          <w:szCs w:val="24"/>
        </w:rPr>
        <w:t xml:space="preserve">PROFIT &amp; LOSS STATEMENT</w:t>
      </w:r>
    </w:p>
    <w:p>
      <w:pPr>
        <w:spacing w:before="0"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the Year Ended December 31, 2025  |  JV: Titan Builds / PCL Construction  |  GMP Delivery Method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 Billed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2024 Billed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Complete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CONTRACT REVENUE BY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 Rock Legacy Stadium (HRL-2024)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208,200,000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130,000,000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Football Performance Center (HPC-2024)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29,350,000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33,650,000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Coral Gables Athlete Village (CAV-2024)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14,800,000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8,600,000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Athletic Administration Tower (HAA-2024)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9,750,000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4,750,000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 &amp; Infrastructure (SDI-2024)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28,800,000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22,000,000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Order Revenue - All Projects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19,494,000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7,356,000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290,900,000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194,500,000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DIRECT CONSTRUCTION COSTS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Subcontractor Costs - Structural / Concrete / Site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191,644,920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129,188,000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Subcontractor Costs - MEP (Bechtel, Turner, Johnson Controls)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21,293,880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14,332,000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Materials - Structural Concrete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18,632,145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12,541,000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Materials - Structural Steel &amp; Rebar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13,308,675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8,958,000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Direct Labor - Field Staff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10,646,940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7,180,000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Equipment - Owned Operation &amp; Rented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5,323,470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3,590,000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General Conditions - Site Facilities &amp; Temp Work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5,323,470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3,590,000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DIRECT COSTS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266,173,500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177,968,000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GROSS PROFIT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24,726,500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16,532,000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8.5%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INDIRECT &amp; OVERHEAD COSTS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Project Management Staff (PM, PE, Superintendent)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5,236,200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On-site General Conditions Staff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2,327,200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Safety Director &amp; Safety Program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1,745,400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Builders Risk &amp; General Liability Insurance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2,036,300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Performance &amp; Payment Bonds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1,163,600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Legal &amp; Professional Fees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1,163,600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IT, Software &amp; Communications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872,700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Executive Management Allocation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872,700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OVERHEAD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15,417,700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8,968,000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5.3%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INCOME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9,308,800</w:t>
            </w:r>
          </w:p>
        </w:tc>
        <w:tc>
          <w:tcPr>
            <w:tcW w:type="dxa" w:w="1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7,564,000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3.2%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4020"/>
          <w:sz w:val="38"/>
          <w:szCs w:val="38"/>
        </w:rPr>
        <w:t xml:space="preserve">HARD ROCK LEGACY COMPLEX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Balance Sheet  |  As of December 31, 2025</w:t>
      </w:r>
    </w:p>
    <w:p>
      <w:pPr>
        <w:pBdr>
          <w:bottom w:val="single" w:color="1A6B3C" w:sz="8"/>
        </w:pBdr>
        <w:spacing w:before="0"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31, 2025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CURRENT ASSETS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&amp; Equivalents - Project Operating Accounts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48,500,000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 Receivable - UM Progress Billings (Nov-Dec outstanding)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38,500,000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Retainage Receivable (5% withheld by UM, cumulative)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23,057,500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Costs in Excess of Billings (Underbilled WIP Q4 2025)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15,200,000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Order AR - Approved COs Pending Billing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4,850,000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Prepaid Expenses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4,850,000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CURRENT ASSETS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134,957,500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PROPERTY, PLANT &amp; EQUIPMENT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Construction Equipment - Owned (at cost)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20,850,000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Accumulated Depreciation - Equipment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(3,200,000)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Deposits (Utilities &amp; Permits)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NON-CURRENT ASSETS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19,750,000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ASSETS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154,707,500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CURRENT LIABILITIES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 Payable - Subcontractors (Dec 2025 Outstanding)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41,000,000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Retainage Payable to Subcontractors (5% cumulative withheld)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21,150,000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Accrued Payroll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4,200,000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Accrued Project Costs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6,800,000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Equipment Financing - Current &amp; Long Term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5,500,000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LIABILITIES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78,650,000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OWNERS' EQUITY (JV - Titan Builds / PCL Construction)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 Capital Contributions (JV Funded)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59,163,200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Retained Earnings - Prior Years (2024 Net Income)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7,585,500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Year Net Income (2025)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9,308,800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OWNERS' EQUITY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76,057,500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LIABILITIES &amp; EQUITY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154,707,500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4020"/>
          <w:sz w:val="38"/>
          <w:szCs w:val="38"/>
        </w:rPr>
        <w:t xml:space="preserve">HARD ROCK LEGACY COMPLEX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Statement of Cash Flows  |  Year Ended December 31, 2025</w:t>
      </w:r>
    </w:p>
    <w:p>
      <w:pPr>
        <w:pBdr>
          <w:bottom w:val="single" w:color="1A6B3C" w:sz="8"/>
        </w:pBdr>
        <w:spacing w:before="0"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2025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OPERATING ACTIVITIES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 Income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9,308,800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Adjustments: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   Increase in Accounts Receivable (progress billings)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(45,000,000)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   Increase in Retainage Receivable (5% withheld by UM)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(15,000,000)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   Increase in Accounts Payable - Subcontractors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82,000,000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   Increase in Accrued Costs &amp; Payroll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6,500,000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CASH FROM OPERATING ACTIVITIES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37,808,800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INVESTING ACTIVITIES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Equipment Purchases (Boom Lifts, Trucks)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(2,800,000)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Deposits (New Permit &amp; Utility Deposits)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(800,000)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CASH FROM INVESTING ACTIVITIES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111"/>
                <w:sz w:val="19"/>
                <w:szCs w:val="19"/>
              </w:rPr>
              <w:t xml:space="preserve">(3,600,000)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1A6B3C" w:sz="4"/>
              <w:right w:val="none" w:color="FFFFFF" w:sz="0"/>
            </w:tcBorders>
            <w:shd w:fill="EEF8F2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FINANCING ACTIVITIES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Equipment Financing - New Borrowings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 Distributions to JV Partners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(8,000,000)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CASH FROM FINANCING ACTIVITIES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111"/>
                <w:sz w:val="19"/>
                <w:szCs w:val="19"/>
              </w:rPr>
              <w:t xml:space="preserve">(6,800,000)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CHANGE IN CASH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27,408,800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at Beginning of Year (January 1, 2025)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21,091,200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CASH AT END OF YEAR (December 31, 2025)</w:t>
            </w:r>
          </w:p>
        </w:tc>
        <w:tc>
          <w:tcPr>
            <w:tcW w:type="dxa" w:w="23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48,500,000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480" w:after="80"/>
      </w:pPr>
      <w:r>
        <w:rPr>
          <w:rFonts w:ascii="Arial" w:cs="Arial" w:eastAsia="Arial" w:hAnsi="Arial"/>
          <w:b/>
          <w:bCs/>
          <w:color w:val="0A4020"/>
          <w:sz w:val="24"/>
          <w:szCs w:val="24"/>
        </w:rPr>
        <w:t xml:space="preserve">NOTES TO FINANCIAL STATEMENTS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Basis of Presentation: These financial statements are presented for the joint venture between Titan Builds and PCL Construction formed for the Hard Rock Legacy Complex program. Revenue is recognized on the percentage-of-completion method based on costs incurred relative to estimated total costs.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Contract Values: All five project contracts utilize GMP delivery except the Site &amp; Infrastructure package which is Lump Sum. Approved change orders through December 31, 2025 total $42.5M across the program. Total program value at completion is estimated at $1.893 billion.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Retainage: Owner (University of Miami) withholds 5% retainage from all progress payments. The JV withholds 5% retainage from all subcontractor payments. Retainage is released upon substantial completion of each project and final acceptance.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Accounts Payable - Subcontractors: The $117M subcontractor AP balance represents progress payments approved and due to Barton Malow (structural steel), Bechtel Infrastructure (MEP), Hensel Phelps (concrete), and other major subcontractors for December 2025 billings.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Schedule: As of December 31, 2025 the stadium project is 28% complete on a 42-month schedule targeting first game August 30, 2027. The football performance center targets completion December 31, 2026. The athlete village and admin tower follow in Q1 and Q2 2027 respectively.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Change Orders: Thirteen approved change orders totaling $42.5M are included in contract revenue. Major items include natural grass conversion ($4.85M), enhanced premium club finishes ($8.2M), scoreboard upgrade ($5.5M), unforeseen rock excavation ($2.3M), and expanded tailgate plaza ($6.8M).</w:t>
      </w:r>
    </w:p>
    <w:p>
      <w:pPr>
        <w:spacing w:before="0" w:after="100"/>
      </w:pPr>
      <w:r>
        <w:rPr>
          <w:rFonts w:ascii="Arial" w:cs="Arial" w:eastAsia="Arial" w:hAnsi="Arial"/>
          <w:sz w:val="19"/>
          <w:szCs w:val="19"/>
        </w:rPr>
        <w:t xml:space="preserve">Tax: The joint venture is treated as a pass-through entity for income tax purposes. No income tax provision is recorded at the JV level. Partner-level tax obligations are the responsibility of each JV member.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2026-02-17T23:53:04.139Z</dcterms:created>
  <dcterms:modified xsi:type="dcterms:W3CDTF">2026-02-17T23:53:04.139Z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