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BRICKELL BAY CONDOMINIUMS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Financial Statements | Year Ended December 31, 2025  |  1200 Brickell Bay Drive, Miami, FL 33131  |  800 Units  |  68% Occupancy</w:t>
      </w:r>
    </w:p>
    <w:p>
      <w:pPr>
        <w:pBdr>
          <w:bottom w:val="single" w:color="2E5BA8" w:sz="6"/>
        </w:pBdr>
        <w:spacing w:before="0" w:after="2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PERFORMANCE METRICS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 Avg*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Units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800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Occupied Units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544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Occupancy Rate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68.0%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92-95%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Below Target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Average Monthly Rent (Occupied)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$3,487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Effective Gross Income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$24,008,400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 Operating Income (NOI)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$15,114,980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NOI Margin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62.9%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50-65%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Ratio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37.1%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35-50%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Efficient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Debt Service Coverage Ratio (DSCR)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3.47x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&gt;1.25x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 Rate (at $142M value)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10.6%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4-6% Miami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 NOI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Per Unit (800 total)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$30,011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Per Occupied Unit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$44,133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Operating Expense Per Unit (total)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$11,117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 Income Per Unit (total)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$11,681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Loan-to-Value (LTV)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52.8%</w:t>
            </w:r>
          </w:p>
        </w:tc>
        <w:tc>
          <w:tcPr>
            <w:tcW w:type="dxa" w:w="20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&lt;80%</w:t>
            </w:r>
          </w:p>
        </w:tc>
        <w:tc>
          <w:tcPr>
            <w:tcW w:type="dxa" w:w="20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Healthy</w:t>
            </w:r>
          </w:p>
        </w:tc>
      </w:tr>
    </w:tbl>
    <w:p>
      <w:pPr>
        <w:spacing w:before="32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PROFIT &amp; LOSS STATEMENT</w:t>
      </w:r>
    </w:p>
    <w:p>
      <w:pPr>
        <w:spacing w:before="0"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the Year Ended December 31, 2025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2025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Unit/Yr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Rev</w:t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REVENUE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Residential Rental Income (544 units @ avg $3,487/mo)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22,766,400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28,458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94.9%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Parking Income (400 spaces @ $150/mo)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Pet Fee Income (150 pets @ $75/mo)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135,000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169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Laundry &amp; Vending Income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Late Fee Income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Application &amp; Admin Fees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Storage Unit Income (80 units @ $75/mo)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Utility Reimbursement Income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23,978,400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29,973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OPERATING EXPENSES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Property Management Fees (5% of revenue)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1,200,420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1,501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Repairs &amp; Maintenance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1,125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Landscaping &amp; Grounds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Cleaning &amp; Janitorial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Utilities - Electric (Common Areas)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Utilities - Water &amp; Sewer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Utilities - Gas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- Property &amp; Liability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980,000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1,225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- Workers' Compensation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106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 Estate Taxes (Miami-Dade County)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1,680,000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2,100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Services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1.8%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Elevator Maintenance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HVAC Maintenance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188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0.6%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Pest Control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Pool &amp; Amenity Maintenance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Trash &amp; Recycling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Administrative &amp; Office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&amp; Professional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113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Marketing &amp; Advertising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Leasing Commissions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119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 Debt Expense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Capital Reserve Contribution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Payroll - On-site Staff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780,000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Payroll Taxes &amp; Benefits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156,000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Telephone &amp; Internet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Software &amp; Technology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Licenses &amp; Permits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Bank Charges &amp; Fees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OPERATING EXPENSES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8,893,420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11,117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37.1%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OPERATING INCOME (NOI)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15,084,980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18,856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62.9%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NON-CASH &amp; DEBT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Depreciation - Building (39-yr SL on $70.2M)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1,800,000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2,250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Depreciation - FF&amp;E (7-yr SL)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Interest Expense - Mortgage ($75M @ 5.13%)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3,850,000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4,813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16.1%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INCOME (Before Tax)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9,314,980</w:t>
            </w:r>
          </w:p>
        </w:tc>
        <w:tc>
          <w:tcPr>
            <w:tcW w:type="dxa" w:w="19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11,644</w:t>
            </w:r>
          </w:p>
        </w:tc>
        <w:tc>
          <w:tcPr>
            <w:tcW w:type="dxa" w:w="19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38.8%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BRICKELL BAY CONDOMINIUMS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Balance Sheet | As of December 31, 2025</w:t>
      </w:r>
    </w:p>
    <w:p>
      <w:pPr>
        <w:pBdr>
          <w:bottom w:val="single" w:color="2E5BA8" w:sz="6"/>
        </w:pBdr>
        <w:spacing w:before="0" w:after="2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December 31, 2025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CURRENT ASSETS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&amp; Equivalents (Operating + Payroll Accounts)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4,855,000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 Receivable - Tenants (Net of Allowance)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2,056,450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Deposits Held in Escrow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816,000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Prepaid Expenses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145,000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Petty Cash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CURRENT ASSETS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7,877,450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PROPERTY, PLANT &amp; EQUIPMENT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24,800,000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Building &amp; Improvements (at cost)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70,200,000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Furniture, Fixtures &amp; Equipment (at cost)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Accumulated Depreciation - Building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(30,600,000)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Accumulated Depreciation - FF&amp;E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(504,000)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PROPERTY, PLANT &amp; EQUIPMENT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64,736,000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OTHER ASSETS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Capital Reserve &amp; Replacement Fund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2,400,000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ASSETS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75,013,450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CURRENT LIABILITIES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 Payable - Vendors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943,535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Accrued Expenses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Deposits Liability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816,000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Prepaid Rent (Tenant Advances)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Mortgage Payable - Current Portion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500,004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CURRENT LIABILITIES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2,534,539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LONG-TERM LIABILITIES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Mortgage Payable - Long Term ($75M BankUnited, 5.13%, due 2028)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74,499,996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LIABILITIES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77,034,535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OWNERS' EQUITY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 Capital Contributions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28,500,000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Retained Earnings (Prior Years)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(30,521,085)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OWNERS' EQUITY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111"/>
                <w:sz w:val="19"/>
                <w:szCs w:val="19"/>
              </w:rPr>
              <w:t xml:space="preserve">(2,021,085)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LIABILITIES &amp; EQUITY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75,013,450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BRICKELL BAY CONDOMINIUMS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Statement of Cash Flows | Year Ended December 31, 2025</w:t>
      </w:r>
    </w:p>
    <w:p>
      <w:pPr>
        <w:pBdr>
          <w:bottom w:val="single" w:color="2E5BA8" w:sz="6"/>
        </w:pBdr>
        <w:spacing w:before="0" w:after="2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Ended Dec 31, 2025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OPERATING ACTIVITIES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 Income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9,344,980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Adjustments to reconcile net income to cash: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Depreciation - Building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deprBldg =&gt; deprBldg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Depreciation - Building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1,800,000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Depreciation - FF&amp;E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Increase in Accounts Receivable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(68,000)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Increase in Accounts Payable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943,535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Increase in Accrued Expenses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Increase in Prepaid Expenses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(145,000)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Increase in Security Deposits Held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CASH FROM OPERATING ACTIVITIES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12,240,515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INVESTING ACTIVITIES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Capital Expenditures (pool, elevator, parking, etc.)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(285,000)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Capital Reserve Fund Contributions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(240,000)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CASH FROM INVESTING ACTIVITIES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111"/>
                <w:sz w:val="19"/>
                <w:szCs w:val="19"/>
              </w:rPr>
              <w:t xml:space="preserve">(525,000)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gridSpan w:val="99"/>
            <w:tcBorders>
              <w:top w:val="none" w:color="FFFFFF" w:sz="0"/>
              <w:left w:val="none" w:color="FFFFFF" w:sz="0"/>
              <w:bottom w:val="single" w:color="2E5BA8" w:sz="4"/>
              <w:right w:val="none" w:color="FFFFFF" w:sz="0"/>
            </w:tcBorders>
            <w:shd w:fill="EEF4FF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21"/>
                <w:szCs w:val="21"/>
              </w:rPr>
              <w:t xml:space="preserve">FINANCING ACTIVITIES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Mortgage Principal Payments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(500,004)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 Distributions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(3,500,000)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CASH FROM FINANCING ACTIVITIES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111"/>
                <w:sz w:val="19"/>
                <w:szCs w:val="19"/>
              </w:rPr>
              <w:t xml:space="preserve">(4,000,004)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 CHANGE IN CASH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7,715,511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at Beginning of Year (January 1, 2025)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111"/>
                <w:sz w:val="19"/>
                <w:szCs w:val="19"/>
              </w:rPr>
              <w:t xml:space="preserve">(2,860,511)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CASH AT END OF YEAR (December 31, 2025)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4,855,000</w:t>
            </w:r>
          </w:p>
        </w:tc>
        <w:tc>
          <w:tcPr>
            <w:tcW w:type="dxa" w:w="258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4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NOTES TO FINANCIAL STATEMENTS</w:t>
      </w:r>
    </w:p>
    <w:p>
      <w:pPr>
        <w:spacing w:before="0" w:after="120"/>
      </w:pPr>
      <w:r>
        <w:rPr>
          <w:rFonts w:ascii="Arial" w:cs="Arial" w:eastAsia="Arial" w:hAnsi="Arial"/>
          <w:sz w:val="19"/>
          <w:szCs w:val="19"/>
        </w:rPr>
        <w:t xml:space="preserve">Basis of Presentation: These financial statements have been prepared on the accrual basis of accounting for the 12-month period ended December 31, 2025. The entity is a Florida LLC and is treated as a pass-through entity for income tax purposes; no income tax provision is recorded.</w:t>
      </w:r>
    </w:p>
    <w:p>
      <w:pPr>
        <w:spacing w:before="0" w:after="120"/>
      </w:pPr>
      <w:r>
        <w:rPr>
          <w:rFonts w:ascii="Arial" w:cs="Arial" w:eastAsia="Arial" w:hAnsi="Arial"/>
          <w:sz w:val="19"/>
          <w:szCs w:val="19"/>
        </w:rPr>
        <w:t xml:space="preserve">Occupancy: The property operated at 68% occupancy (544 of 800 units) throughout 2025. Average in-place rents were $3,487/month for occupied units comprising a mix of studios ($2,400), 1BR ($3,000), 2BR ($3,800), and 3BR ($5,200) units.</w:t>
      </w:r>
    </w:p>
    <w:p>
      <w:pPr>
        <w:spacing w:before="0" w:after="120"/>
      </w:pPr>
      <w:r>
        <w:rPr>
          <w:rFonts w:ascii="Arial" w:cs="Arial" w:eastAsia="Arial" w:hAnsi="Arial"/>
          <w:sz w:val="19"/>
          <w:szCs w:val="19"/>
        </w:rPr>
        <w:t xml:space="preserve">Depreciation: Building is depreciated over 39 years using the straight-line method on a depreciable basis of approximately $70.2 million. FF&amp;E is depreciated over 7 years. The building was placed in service in 2008.</w:t>
      </w:r>
    </w:p>
    <w:p>
      <w:pPr>
        <w:spacing w:before="0" w:after="120"/>
      </w:pPr>
      <w:r>
        <w:rPr>
          <w:rFonts w:ascii="Arial" w:cs="Arial" w:eastAsia="Arial" w:hAnsi="Arial"/>
          <w:sz w:val="19"/>
          <w:szCs w:val="19"/>
        </w:rPr>
        <w:t xml:space="preserve">Debt: The property carries a $75 million commercial mortgage with BankUnited at 5.13% interest, originally originated in June 2018, maturing June 2028. Annual interest expense is $3,850,000.</w:t>
      </w:r>
    </w:p>
    <w:p>
      <w:pPr>
        <w:spacing w:before="0" w:after="120"/>
      </w:pPr>
      <w:r>
        <w:rPr>
          <w:rFonts w:ascii="Arial" w:cs="Arial" w:eastAsia="Arial" w:hAnsi="Arial"/>
          <w:sz w:val="19"/>
          <w:szCs w:val="19"/>
        </w:rPr>
        <w:t xml:space="preserve">Insurance: Property and liability insurance premiums are elevated relative to national averages reflecting Miami-Dade County hurricane risk. Annual premium of $980,000 represents approximately 0.69% of current building value.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*Industry averages sourced from NMHC, NAA, and Urban Land Institute multifamily benchmarks for South Florida market.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2026-02-17T23:12:10.661Z</dcterms:created>
  <dcterms:modified xsi:type="dcterms:W3CDTF">2026-02-17T23:12:10.661Z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