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QMS202 SPSS Project</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The prediction of the US dollar on changes of commodity prices.</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26th, 2019</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Statistics II</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CQMS 202</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Britney Lamothe 500882305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Kim 500486770</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Leandra Lai 500765774</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 Chun Lau 500715415</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Objectives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using SPSS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interpretation</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Data Set</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speaking, there is always </w:t>
      </w:r>
      <w:r w:rsidDel="00000000" w:rsidR="00000000" w:rsidRPr="00000000">
        <w:rPr>
          <w:rFonts w:ascii="Times New Roman" w:cs="Times New Roman" w:eastAsia="Times New Roman" w:hAnsi="Times New Roman"/>
          <w:sz w:val="24"/>
          <w:szCs w:val="24"/>
          <w:rtl w:val="0"/>
        </w:rPr>
        <w:t xml:space="preserve">an inverse relationship between the US dollar and most highly invested in commodity prices. History has shown that the prices of commodities in the US have shown a tendency to drop while the US dollar value strengthens against other major currencies. On the contrary, based on historical data, when the value of precious commodities goes up, the price of the US dollar will drop against other major currencies. The examples above are a reflection of the fact that t</w:t>
      </w:r>
      <w:r w:rsidDel="00000000" w:rsidR="00000000" w:rsidRPr="00000000">
        <w:rPr>
          <w:rFonts w:ascii="Times New Roman" w:cs="Times New Roman" w:eastAsia="Times New Roman" w:hAnsi="Times New Roman"/>
          <w:sz w:val="24"/>
          <w:szCs w:val="24"/>
          <w:rtl w:val="0"/>
        </w:rPr>
        <w:t xml:space="preserve">he US dollar is the benchmark pricing mechanism for most commodities worldwide, this is because the US dollar is consistently the most stable foreign conversion instrument. Hence, as mentioned, the US dollar and the commodity prices show an inverse relationship from one to the other. A lot of countries hold US dollars as reserve assets because of this valued consistency. </w:t>
      </w:r>
      <w:r w:rsidDel="00000000" w:rsidR="00000000" w:rsidRPr="00000000">
        <w:rPr>
          <w:rFonts w:ascii="Times New Roman" w:cs="Times New Roman" w:eastAsia="Times New Roman" w:hAnsi="Times New Roman"/>
          <w:sz w:val="24"/>
          <w:szCs w:val="24"/>
          <w:rtl w:val="0"/>
        </w:rPr>
        <w:t xml:space="preserve">In many situations, the US </w:t>
      </w:r>
      <w:r w:rsidDel="00000000" w:rsidR="00000000" w:rsidRPr="00000000">
        <w:rPr>
          <w:rFonts w:ascii="Times New Roman" w:cs="Times New Roman" w:eastAsia="Times New Roman" w:hAnsi="Times New Roman"/>
          <w:sz w:val="24"/>
          <w:szCs w:val="24"/>
          <w:rtl w:val="0"/>
        </w:rPr>
        <w:t xml:space="preserve">dollar is also a common exchange mechanism.</w:t>
      </w:r>
      <w:r w:rsidDel="00000000" w:rsidR="00000000" w:rsidRPr="00000000">
        <w:rPr>
          <w:rFonts w:ascii="Times New Roman" w:cs="Times New Roman" w:eastAsia="Times New Roman" w:hAnsi="Times New Roman"/>
          <w:sz w:val="24"/>
          <w:szCs w:val="24"/>
          <w:rtl w:val="0"/>
        </w:rPr>
        <w:t xml:space="preserve"> It will cost more to people using US currency to purchase goods and materials if the value of the US dollar drops.</w:t>
      </w:r>
      <w:r w:rsidDel="00000000" w:rsidR="00000000" w:rsidRPr="00000000">
        <w:rPr>
          <w:rFonts w:ascii="Times New Roman" w:cs="Times New Roman" w:eastAsia="Times New Roman" w:hAnsi="Times New Roman"/>
          <w:sz w:val="24"/>
          <w:szCs w:val="24"/>
          <w:rtl w:val="0"/>
        </w:rPr>
        <w:t xml:space="preserve"> Conversely, the US dollar has such a profound impact on international markets is due to the fact that commodities are not limited to only the US nation. The US dollar, as mentioned, is a benchmark way of scaling highly valuable stocks prices and therefore impacts the international market everytime it changes. This is why when the US dollar drops foreign buying power increases.</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For the purpose of this report</w:t>
      </w:r>
      <w:r w:rsidDel="00000000" w:rsidR="00000000" w:rsidRPr="00000000">
        <w:rPr>
          <w:rFonts w:ascii="Times New Roman" w:cs="Times New Roman" w:eastAsia="Times New Roman" w:hAnsi="Times New Roman"/>
          <w:sz w:val="24"/>
          <w:szCs w:val="24"/>
          <w:rtl w:val="0"/>
        </w:rPr>
        <w:t xml:space="preserve">, our group will use multiple linear regression to analyze a real life situation regarding the inverse</w:t>
      </w:r>
      <w:r w:rsidDel="00000000" w:rsidR="00000000" w:rsidRPr="00000000">
        <w:rPr>
          <w:rFonts w:ascii="Times New Roman" w:cs="Times New Roman" w:eastAsia="Times New Roman" w:hAnsi="Times New Roman"/>
          <w:sz w:val="24"/>
          <w:szCs w:val="24"/>
          <w:rtl w:val="0"/>
        </w:rPr>
        <w:t xml:space="preserve"> relationship among the US dollar, gold and oil prices. We chose these two commodities because they are two of the most recognized and valued international commodities on the market. Multiple linear regression will help us to predict the the US dollar value based off of the changes in the commodity values. </w:t>
      </w: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Objectives</w:t>
      </w: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conducting our analysis from an investor's perspective. This research is an attempt to further our understanding of making good judgements on equitable investments. By analysing the US dollars relation to two of the largest US commodities - Gold and Oil, we are able to see how the US dollars USDX appraised value has an impact on the return of large stocks.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values of both commodities can vary from time to time. This is, as research has shown, because of the common rule that: When the value of the US dollar increases, the price of the mentioned commodities will most commonly drop for buyers using US currency. While</w:t>
      </w:r>
      <w:r w:rsidDel="00000000" w:rsidR="00000000" w:rsidRPr="00000000">
        <w:rPr>
          <w:rFonts w:ascii="Times New Roman" w:cs="Times New Roman" w:eastAsia="Times New Roman" w:hAnsi="Times New Roman"/>
          <w:sz w:val="24"/>
          <w:szCs w:val="24"/>
          <w:rtl w:val="0"/>
        </w:rPr>
        <w:t xml:space="preserve"> the price of the commodity moves higher, there will likely be fewer buyers as demand declines. Consequently, if the value of the US dollar goes down, commodity prices will tend to rise in the market as it becomes ‘cheaper’ in other currencies</w:t>
      </w:r>
      <w:r w:rsidDel="00000000" w:rsidR="00000000" w:rsidRPr="00000000">
        <w:rPr>
          <w:rFonts w:ascii="Times New Roman" w:cs="Times New Roman" w:eastAsia="Times New Roman" w:hAnsi="Times New Roman"/>
          <w:sz w:val="24"/>
          <w:szCs w:val="24"/>
          <w:rtl w:val="0"/>
        </w:rPr>
        <w:t xml:space="preserve">. High commodity prices can be caused by high demand in the market, insufficient supply, or the drop of the US dollar’s value.</w:t>
      </w:r>
      <w:r w:rsidDel="00000000" w:rsidR="00000000" w:rsidRPr="00000000">
        <w:rPr>
          <w:rFonts w:ascii="Times New Roman" w:cs="Times New Roman" w:eastAsia="Times New Roman" w:hAnsi="Times New Roman"/>
          <w:sz w:val="24"/>
          <w:szCs w:val="24"/>
          <w:rtl w:val="0"/>
        </w:rPr>
        <w:t xml:space="preserve"> Considering most oil contractors around the world are traded in dollars, therefore, commodity exporting countries will need to buy/use the US dollar. In the case of the US dollar declines, the commodity revenue will decline at the same time. However, the cost goes up as the drop in the US dollar’s value drives to cut down oil production, as an example and this causes the supply of oil to decrease, leading oil prices to increase. </w:t>
      </w:r>
      <w:r w:rsidDel="00000000" w:rsidR="00000000" w:rsidRPr="00000000">
        <w:rPr>
          <w:rFonts w:ascii="Times New Roman" w:cs="Times New Roman" w:eastAsia="Times New Roman" w:hAnsi="Times New Roman"/>
          <w:sz w:val="24"/>
          <w:szCs w:val="24"/>
          <w:rtl w:val="0"/>
        </w:rPr>
        <w:t xml:space="preserve">We would like to prove that the stock value of gold and oil has a direct relationship with the US dollar, which proves that the best time to invest in gold and oil is when the US dollar is at a low. We would like to also test if there is a relationship between the stock price of oil and gold and US currency.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Data is collected from investing.com. The range of data is dated from Aug 2010 to July 2019 and the data is listed in Appendix A. The US dollar index, gold commodity futures and crude oil commodity futures are used to conduct an analysis and the unit of prices are in US dollars. The average price of each month reflects each value. The US dollar index measures the US dollar value compared to other major currencies. This is a good reference as it provides accurate data for our analysis. Futures are widely traded among brokers because it is more efficient and liquidable than ETF </w:t>
      </w:r>
      <w:r w:rsidDel="00000000" w:rsidR="00000000" w:rsidRPr="00000000">
        <w:rPr>
          <w:rFonts w:ascii="Times New Roman" w:cs="Times New Roman" w:eastAsia="Times New Roman" w:hAnsi="Times New Roman"/>
          <w:sz w:val="24"/>
          <w:szCs w:val="24"/>
          <w:rtl w:val="0"/>
        </w:rPr>
        <w:t xml:space="preserve">(Exchange Traded Fund)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Why Trade Futures] </w:t>
      </w:r>
      <w:r w:rsidDel="00000000" w:rsidR="00000000" w:rsidRPr="00000000">
        <w:rPr>
          <w:rFonts w:ascii="Times New Roman" w:cs="Times New Roman" w:eastAsia="Times New Roman" w:hAnsi="Times New Roman"/>
          <w:sz w:val="24"/>
          <w:szCs w:val="24"/>
          <w:rtl w:val="0"/>
        </w:rPr>
        <w:t xml:space="preserve">Therefore, we used future data sets for our analysis. The number of samples are 107. The number of independent variables are 2. This data does not consider the inflation rate. </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using SPSS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 assumptions are required so as to use a multiple linear regression.</w:t>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Linearity</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Independence of error</w:t>
      </w:r>
    </w:p>
    <w:p w:rsidR="00000000" w:rsidDel="00000000" w:rsidP="00000000" w:rsidRDefault="00000000" w:rsidRPr="00000000" w14:paraId="0000004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Equal variance</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Normality</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linearity assumption</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scatterplot of USDX against gold and oil, in Figure 1 and 2, shows a straight line. It verifies that there are linear relationship on dependent against independent variables. An assumption of linearity is not violated.</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2399226"/>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90988" cy="239922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scatterplot of Y (USDX) against X1 (Gold) vs Gold</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1961" cy="244316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6196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scatterplot Y (USDX) against X2 (Crudeoil) </w:t>
      </w:r>
    </w:p>
    <w:p w:rsidR="00000000" w:rsidDel="00000000" w:rsidP="00000000" w:rsidRDefault="00000000" w:rsidRPr="00000000" w14:paraId="0000004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independence of errors assumption</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looking for a curvature pattern on the scatterplot of residual against gold and crude oil. All the variables are distributed through a zero horizontal line of residuals and there is no clear curvature pattern on both scatterplots, Figure 3 and 4. An assumption of independence error is not violated.</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8935" cy="22431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9893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scatterplot of residuals against gold X1</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2433202"/>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90988" cy="243320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 scatterplot of residuals against crude oil X2</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of an equal variance assumption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scatterplot of residual against the predicted value, Figure 5, is checking the equal variance assumption. There is no pattern on the scatterplot and the equal variance assumption is not violated.</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2671657"/>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76763" cy="267165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 scatterplot of residual against predicted value Y</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Test of normality assumption</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standardized residuals, Figure 6, shows that it is normally distributed. All the points in a normal profitability line is distributed along the line. The normality assumption is not violated.</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4 assumptions have not violated, we conduct the multiple linear regression analysis. The table generated from SPSS in Figure 8, 9 and 10. The number of independent variable, k, is 2 and the sample size, n, is 107. The standard error of estimate is 3.176.</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2740666"/>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995738" cy="274066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Histogram of standardized residuals</w:t>
      </w:r>
    </w:p>
    <w:p w:rsidR="00000000" w:rsidDel="00000000" w:rsidP="00000000" w:rsidRDefault="00000000" w:rsidRPr="00000000" w14:paraId="00000060">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8251" cy="350678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68251" cy="35067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A normal probability plot of standardized residuals</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Multiple Linear regression using SPSS</w:t>
      </w:r>
    </w:p>
    <w:p w:rsidR="00000000" w:rsidDel="00000000" w:rsidP="00000000" w:rsidRDefault="00000000" w:rsidRPr="00000000" w14:paraId="00000064">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Multiple regression model is constructed of the coefficient table, Figure 10. There are inverse relationships between USDX against gold and oil prices.</w:t>
      </w:r>
      <w:r w:rsidDel="00000000" w:rsidR="00000000" w:rsidRPr="00000000">
        <w:rPr>
          <w:rtl w:val="0"/>
        </w:rPr>
      </w:r>
    </w:p>
    <w:p w:rsidR="00000000" w:rsidDel="00000000" w:rsidP="00000000" w:rsidRDefault="00000000" w:rsidRPr="00000000" w14:paraId="00000065">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i</w:t>
      </w:r>
      <w:r w:rsidDel="00000000" w:rsidR="00000000" w:rsidRPr="00000000">
        <w:rPr>
          <w:rFonts w:ascii="Times New Roman" w:cs="Times New Roman" w:eastAsia="Times New Roman" w:hAnsi="Times New Roman"/>
          <w:color w:val="333333"/>
          <w:sz w:val="24"/>
          <w:szCs w:val="24"/>
          <w:highlight w:val="white"/>
          <w:rtl w:val="0"/>
        </w:rPr>
        <w:t xml:space="preserve"> = β0+ β</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 X</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1i </w:t>
      </w:r>
      <w:r w:rsidDel="00000000" w:rsidR="00000000" w:rsidRPr="00000000">
        <w:rPr>
          <w:rFonts w:ascii="Times New Roman" w:cs="Times New Roman" w:eastAsia="Times New Roman" w:hAnsi="Times New Roman"/>
          <w:color w:val="333333"/>
          <w:sz w:val="24"/>
          <w:szCs w:val="24"/>
          <w:highlight w:val="white"/>
          <w:rtl w:val="0"/>
        </w:rPr>
        <w:t xml:space="preserve">+ β2 X</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2i</w:t>
      </w:r>
      <w:r w:rsidDel="00000000" w:rsidR="00000000" w:rsidRPr="00000000">
        <w:rPr>
          <w:rFonts w:ascii="Times New Roman" w:cs="Times New Roman" w:eastAsia="Times New Roman" w:hAnsi="Times New Roman"/>
          <w:color w:val="333333"/>
          <w:sz w:val="24"/>
          <w:szCs w:val="24"/>
          <w:highlight w:val="white"/>
          <w:rtl w:val="0"/>
        </w:rPr>
        <w:t xml:space="preserve"> + εi</w:t>
      </w:r>
    </w:p>
    <w:p w:rsidR="00000000" w:rsidDel="00000000" w:rsidP="00000000" w:rsidRDefault="00000000" w:rsidRPr="00000000" w14:paraId="00000066">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 = 124.403 -0.01X</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 -0.282X</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2</w:t>
      </w: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462338" cy="1409091"/>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62338" cy="140909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8. A summary from the SPSS result</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1687024"/>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86263" cy="168702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ANOVA table from the SPSS result</w:t>
      </w:r>
    </w:p>
    <w:p w:rsidR="00000000" w:rsidDel="00000000" w:rsidP="00000000" w:rsidRDefault="00000000" w:rsidRPr="00000000" w14:paraId="0000006B">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15240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10 Coefficient table from the SPSS result</w:t>
      </w:r>
      <w:r w:rsidDel="00000000" w:rsidR="00000000" w:rsidRPr="00000000">
        <w:rPr>
          <w:rtl w:val="0"/>
        </w:rPr>
      </w:r>
    </w:p>
    <w:p w:rsidR="00000000" w:rsidDel="00000000" w:rsidP="00000000" w:rsidRDefault="00000000" w:rsidRPr="00000000" w14:paraId="0000006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5% significant level, we like to see the significant relationship between USDX against gold and crude oil prices. Hypothesis test is conducted in the following 5 steps.</w:t>
      </w: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Hypothesis</w:t>
      </w:r>
    </w:p>
    <w:p w:rsidR="00000000" w:rsidDel="00000000" w:rsidP="00000000" w:rsidRDefault="00000000" w:rsidRPr="00000000" w14:paraId="0000006F">
      <w:pPr>
        <w:pBdr>
          <w:top w:color="auto" w:space="0" w:sz="0" w:val="none"/>
          <w:bottom w:color="auto" w:space="0" w:sz="0" w:val="none"/>
          <w:between w:color="auto" w:space="0" w:sz="0" w:val="none"/>
        </w:pBdr>
        <w:spacing w:after="160" w:before="80"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w:t>
      </w:r>
      <w:r w:rsidDel="00000000" w:rsidR="00000000" w:rsidRPr="00000000">
        <w:rPr>
          <w:rFonts w:ascii="Times New Roman" w:cs="Times New Roman" w:eastAsia="Times New Roman" w:hAnsi="Times New Roman"/>
          <w:color w:val="333333"/>
          <w:sz w:val="24"/>
          <w:szCs w:val="24"/>
          <w:vertAlign w:val="subscript"/>
          <w:rtl w:val="0"/>
        </w:rPr>
        <w:t xml:space="preserve">0</w:t>
      </w:r>
      <w:r w:rsidDel="00000000" w:rsidR="00000000" w:rsidRPr="00000000">
        <w:rPr>
          <w:rFonts w:ascii="Times New Roman" w:cs="Times New Roman" w:eastAsia="Times New Roman" w:hAnsi="Times New Roman"/>
          <w:color w:val="333333"/>
          <w:sz w:val="24"/>
          <w:szCs w:val="24"/>
          <w:rtl w:val="0"/>
        </w:rPr>
        <w:t xml:space="preserve">: β</w:t>
      </w:r>
      <w:r w:rsidDel="00000000" w:rsidR="00000000" w:rsidRPr="00000000">
        <w:rPr>
          <w:rFonts w:ascii="Times New Roman" w:cs="Times New Roman" w:eastAsia="Times New Roman" w:hAnsi="Times New Roman"/>
          <w:color w:val="333333"/>
          <w:sz w:val="24"/>
          <w:szCs w:val="24"/>
          <w:vertAlign w:val="subscript"/>
          <w:rtl w:val="0"/>
        </w:rPr>
        <w:t xml:space="preserve">1</w:t>
      </w:r>
      <w:r w:rsidDel="00000000" w:rsidR="00000000" w:rsidRPr="00000000">
        <w:rPr>
          <w:rFonts w:ascii="Times New Roman" w:cs="Times New Roman" w:eastAsia="Times New Roman" w:hAnsi="Times New Roman"/>
          <w:color w:val="333333"/>
          <w:sz w:val="24"/>
          <w:szCs w:val="24"/>
          <w:rtl w:val="0"/>
        </w:rPr>
        <w:t xml:space="preserve"> = β</w:t>
      </w:r>
      <w:r w:rsidDel="00000000" w:rsidR="00000000" w:rsidRPr="00000000">
        <w:rPr>
          <w:rFonts w:ascii="Times New Roman" w:cs="Times New Roman" w:eastAsia="Times New Roman" w:hAnsi="Times New Roman"/>
          <w:color w:val="333333"/>
          <w:sz w:val="24"/>
          <w:szCs w:val="24"/>
          <w:vertAlign w:val="subscript"/>
          <w:rtl w:val="0"/>
        </w:rPr>
        <w:t xml:space="preserve">2</w:t>
      </w:r>
      <w:r w:rsidDel="00000000" w:rsidR="00000000" w:rsidRPr="00000000">
        <w:rPr>
          <w:rFonts w:ascii="Times New Roman" w:cs="Times New Roman" w:eastAsia="Times New Roman" w:hAnsi="Times New Roman"/>
          <w:color w:val="333333"/>
          <w:sz w:val="24"/>
          <w:szCs w:val="24"/>
          <w:rtl w:val="0"/>
        </w:rPr>
        <w:t xml:space="preserve"> =0 (there is no relation between USDX and combined Gold and Oil price)</w:t>
      </w:r>
    </w:p>
    <w:p w:rsidR="00000000" w:rsidDel="00000000" w:rsidP="00000000" w:rsidRDefault="00000000" w:rsidRPr="00000000" w14:paraId="00000070">
      <w:pPr>
        <w:pBdr>
          <w:top w:color="auto" w:space="0" w:sz="0" w:val="none"/>
          <w:bottom w:color="auto" w:space="0" w:sz="0" w:val="none"/>
          <w:between w:color="auto" w:space="0" w:sz="0" w:val="none"/>
        </w:pBdr>
        <w:spacing w:after="160" w:before="8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H</w:t>
      </w:r>
      <w:r w:rsidDel="00000000" w:rsidR="00000000" w:rsidRPr="00000000">
        <w:rPr>
          <w:rFonts w:ascii="Times New Roman" w:cs="Times New Roman" w:eastAsia="Times New Roman" w:hAnsi="Times New Roman"/>
          <w:color w:val="333333"/>
          <w:sz w:val="24"/>
          <w:szCs w:val="24"/>
          <w:vertAlign w:val="subscript"/>
          <w:rtl w:val="0"/>
        </w:rPr>
        <w:t xml:space="preserve">1</w:t>
      </w:r>
      <w:r w:rsidDel="00000000" w:rsidR="00000000" w:rsidRPr="00000000">
        <w:rPr>
          <w:rFonts w:ascii="Times New Roman" w:cs="Times New Roman" w:eastAsia="Times New Roman" w:hAnsi="Times New Roman"/>
          <w:color w:val="333333"/>
          <w:sz w:val="24"/>
          <w:szCs w:val="24"/>
          <w:rtl w:val="0"/>
        </w:rPr>
        <w:t xml:space="preserve">: at least one βi is not equal to zero (there is relation between USDX and combined Gold and Oil price)</w:t>
      </w:r>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Significant level </w:t>
      </w:r>
      <w:r w:rsidDel="00000000" w:rsidR="00000000" w:rsidRPr="00000000">
        <w:rPr>
          <w:rFonts w:ascii="Times New Roman" w:cs="Times New Roman" w:eastAsia="Times New Roman" w:hAnsi="Times New Roman"/>
          <w:sz w:val="24"/>
          <w:szCs w:val="24"/>
          <w:rtl w:val="0"/>
        </w:rPr>
        <w:t xml:space="preserve">α = 0.05</w:t>
      </w: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 Stat = 324.984 from Figure 9</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Critical value of F = 3.354 (using Casio calculator)</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Decision </w:t>
      </w:r>
    </w:p>
    <w:p w:rsidR="00000000" w:rsidDel="00000000" w:rsidP="00000000" w:rsidRDefault="00000000" w:rsidRPr="00000000" w14:paraId="00000075">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Reject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because the value of  Fstat is in the rejection region. There is a relation between USDX and combined gold and oil price.</w:t>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Inference Statistics Analysis (t-test)</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like to find a linear relationship between USDX and Gold while Crude oil price constant and a linear relationship between USDX and gold price holding oil price constant. T-test is conducted.</w:t>
      </w:r>
    </w:p>
    <w:p w:rsidR="00000000" w:rsidDel="00000000" w:rsidP="00000000" w:rsidRDefault="00000000" w:rsidRPr="00000000" w14:paraId="0000007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relation between USDX and Gold while Crude oil price constant</w:t>
      </w:r>
    </w:p>
    <w:p w:rsidR="00000000" w:rsidDel="00000000" w:rsidP="00000000" w:rsidRDefault="00000000" w:rsidRPr="00000000" w14:paraId="0000007A">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Hypothesis</w:t>
      </w:r>
    </w:p>
    <w:p w:rsidR="00000000" w:rsidDel="00000000" w:rsidP="00000000" w:rsidRDefault="00000000" w:rsidRPr="00000000" w14:paraId="0000007B">
      <w:pPr>
        <w:pBdr>
          <w:top w:color="auto" w:space="0" w:sz="0" w:val="none"/>
          <w:bottom w:color="auto" w:space="0" w:sz="0" w:val="none"/>
          <w:between w:color="auto" w:space="0" w:sz="0" w:val="none"/>
        </w:pBdr>
        <w:spacing w:after="160" w:before="8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=0 (there is no relation between USDX and gold price holding oil price constant)</w:t>
      </w:r>
    </w:p>
    <w:p w:rsidR="00000000" w:rsidDel="00000000" w:rsidP="00000000" w:rsidRDefault="00000000" w:rsidRPr="00000000" w14:paraId="0000007C">
      <w:pPr>
        <w:pBdr>
          <w:top w:color="auto" w:space="0" w:sz="0" w:val="none"/>
          <w:bottom w:color="auto" w:space="0" w:sz="0" w:val="none"/>
          <w:between w:color="auto" w:space="0" w:sz="0" w:val="none"/>
        </w:pBdr>
        <w:spacing w:after="160" w:before="8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sdt>
        <w:sdtPr>
          <w:tag w:val="goog_rdk_0"/>
        </w:sdtPr>
        <w:sdtContent>
          <w:r w:rsidDel="00000000" w:rsidR="00000000" w:rsidRPr="00000000">
            <w:rPr>
              <w:rFonts w:ascii="Gungsuh" w:cs="Gungsuh" w:eastAsia="Gungsuh" w:hAnsi="Gungsuh"/>
              <w:sz w:val="24"/>
              <w:szCs w:val="24"/>
              <w:rtl w:val="0"/>
            </w:rPr>
            <w:t xml:space="preserve"> ≠0 (there is relation between USDX and gold price holding oil price constant)</w:t>
          </w:r>
        </w:sdtContent>
      </w:sdt>
    </w:p>
    <w:p w:rsidR="00000000" w:rsidDel="00000000" w:rsidP="00000000" w:rsidRDefault="00000000" w:rsidRPr="00000000" w14:paraId="0000007D">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2: Significant α = 0.05</w:t>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Test statistic t = -4.282 from Figure 10.</w:t>
      </w:r>
    </w:p>
    <w:p w:rsidR="00000000" w:rsidDel="00000000" w:rsidP="00000000" w:rsidRDefault="00000000" w:rsidRPr="00000000" w14:paraId="0000007F">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Critical value for t is </w:t>
      </w:r>
      <w:r w:rsidDel="00000000" w:rsidR="00000000" w:rsidRPr="00000000">
        <w:rPr>
          <w:rFonts w:ascii="Times New Roman" w:cs="Times New Roman" w:eastAsia="Times New Roman" w:hAnsi="Times New Roman"/>
          <w:sz w:val="24"/>
          <w:szCs w:val="24"/>
          <w:rtl w:val="0"/>
        </w:rPr>
        <w:t xml:space="preserve">±2.0518</w:t>
      </w:r>
    </w:p>
    <w:p w:rsidR="00000000" w:rsidDel="00000000" w:rsidP="00000000" w:rsidRDefault="00000000" w:rsidRPr="00000000" w14:paraId="00000080">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Decision</w:t>
      </w:r>
    </w:p>
    <w:p w:rsidR="00000000" w:rsidDel="00000000" w:rsidP="00000000" w:rsidRDefault="00000000" w:rsidRPr="00000000" w14:paraId="00000081">
      <w:pPr>
        <w:pBdr>
          <w:top w:color="auto" w:space="0" w:sz="0" w:val="none"/>
          <w:bottom w:color="auto" w:space="0" w:sz="0" w:val="none"/>
          <w:between w:color="auto" w:space="0" w:sz="0" w:val="none"/>
        </w:pBdr>
        <w:spacing w:after="160" w:before="80" w:line="480" w:lineRule="auto"/>
        <w:ind w:left="0" w:firstLine="720"/>
        <w:rPr>
          <w:rFonts w:ascii="Times New Roman" w:cs="Times New Roman" w:eastAsia="Times New Roman" w:hAnsi="Times New Roman"/>
          <w:sz w:val="24"/>
          <w:szCs w:val="24"/>
          <w:shd w:fill="e3e9e3" w:val="clear"/>
        </w:rPr>
      </w:pPr>
      <w:r w:rsidDel="00000000" w:rsidR="00000000" w:rsidRPr="00000000">
        <w:rPr>
          <w:rFonts w:ascii="Times New Roman" w:cs="Times New Roman" w:eastAsia="Times New Roman" w:hAnsi="Times New Roman"/>
          <w:sz w:val="24"/>
          <w:szCs w:val="24"/>
          <w:rtl w:val="0"/>
        </w:rPr>
        <w:t xml:space="preserve">Reject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because the test statistic is in the rejection region. There is a relation between USDX and gold price holding oil price constant</w:t>
      </w:r>
      <w:r w:rsidDel="00000000" w:rsidR="00000000" w:rsidRPr="00000000">
        <w:rPr>
          <w:rtl w:val="0"/>
        </w:rPr>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relation between USDX and Crude oil while gold price constant</w:t>
      </w:r>
    </w:p>
    <w:p w:rsidR="00000000" w:rsidDel="00000000" w:rsidP="00000000" w:rsidRDefault="00000000" w:rsidRPr="00000000" w14:paraId="00000084">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Hypothesis</w:t>
      </w:r>
    </w:p>
    <w:p w:rsidR="00000000" w:rsidDel="00000000" w:rsidP="00000000" w:rsidRDefault="00000000" w:rsidRPr="00000000" w14:paraId="00000085">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=0 (there is no relation between USDX and oil price holding gold price constant)</w:t>
      </w:r>
    </w:p>
    <w:p w:rsidR="00000000" w:rsidDel="00000000" w:rsidP="00000000" w:rsidRDefault="00000000" w:rsidRPr="00000000" w14:paraId="00000086">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sdt>
        <w:sdtPr>
          <w:tag w:val="goog_rdk_1"/>
        </w:sdtPr>
        <w:sdtContent>
          <w:r w:rsidDel="00000000" w:rsidR="00000000" w:rsidRPr="00000000">
            <w:rPr>
              <w:rFonts w:ascii="Gungsuh" w:cs="Gungsuh" w:eastAsia="Gungsuh" w:hAnsi="Gungsuh"/>
              <w:sz w:val="24"/>
              <w:szCs w:val="24"/>
              <w:rtl w:val="0"/>
            </w:rPr>
            <w:t xml:space="preserve"> ≠0 (there is relation between USDX and oil price holding gold price constant)</w:t>
          </w:r>
        </w:sdtContent>
      </w:sdt>
    </w:p>
    <w:p w:rsidR="00000000" w:rsidDel="00000000" w:rsidP="00000000" w:rsidRDefault="00000000" w:rsidRPr="00000000" w14:paraId="00000087">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2: Significant α = 0.05 from Figure 10</w:t>
      </w:r>
      <w:r w:rsidDel="00000000" w:rsidR="00000000" w:rsidRPr="00000000">
        <w:rPr>
          <w:rtl w:val="0"/>
        </w:rPr>
      </w:r>
    </w:p>
    <w:p w:rsidR="00000000" w:rsidDel="00000000" w:rsidP="00000000" w:rsidRDefault="00000000" w:rsidRPr="00000000" w14:paraId="00000088">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Test statistic t = -4.282</w:t>
      </w:r>
    </w:p>
    <w:p w:rsidR="00000000" w:rsidDel="00000000" w:rsidP="00000000" w:rsidRDefault="00000000" w:rsidRPr="00000000" w14:paraId="00000089">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Critical value for t is ±2.0518</w:t>
      </w:r>
    </w:p>
    <w:p w:rsidR="00000000" w:rsidDel="00000000" w:rsidP="00000000" w:rsidRDefault="00000000" w:rsidRPr="00000000" w14:paraId="0000008A">
      <w:pPr>
        <w:pBdr>
          <w:top w:color="auto" w:space="0" w:sz="0" w:val="none"/>
          <w:bottom w:color="auto" w:space="0" w:sz="0" w:val="none"/>
          <w:between w:color="auto" w:space="0" w:sz="0" w:val="none"/>
        </w:pBdr>
        <w:spacing w:after="160" w:before="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5:Decision</w:t>
      </w:r>
    </w:p>
    <w:p w:rsidR="00000000" w:rsidDel="00000000" w:rsidP="00000000" w:rsidRDefault="00000000" w:rsidRPr="00000000" w14:paraId="0000008B">
      <w:pPr>
        <w:pBdr>
          <w:top w:color="auto" w:space="0" w:sz="0" w:val="none"/>
          <w:bottom w:color="auto" w:space="0" w:sz="0" w:val="none"/>
          <w:between w:color="auto" w:space="0" w:sz="0" w:val="none"/>
        </w:pBdr>
        <w:spacing w:after="160" w:before="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because test statistic is in the rejection region. There is a relation between USDX and gold price holding oil price constant</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Interpretation</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 assumption tests are conducted before we use a multiple linear regression model and all assumptions are not violated. We conclude that the US dollar index, USDX, has an inverse relationship with oil and gold price within 95% confidence level. The coefficient of determination is 0.86 in Figure 8 and it means 86% of US dollar index price is explained by gold and crude oil prices. We have a confidence interval value with 95% confidence in Figure 10. As each dollar increases in gold price, the interval of USDX will decrease by $0.016 to $0.006. And as each dollar increases in oil prices, the interval of USDX will decrease by $0.320 to $0.224. </w:t>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conclude that US dollars and commodity prices are highly related. The analysis shows that as the US dollar price changes, other commodity’s prices such as gold and crude oil have a reverse effect. These patterns are described in economics theory and this is one way of proving the relationship between the US dollar and commodities. Using the multiple linear regression model, these patterns are proved under the assumptions within the significance level.</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Data Set</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9803834150691"/>
        <w:gridCol w:w="1268.5867142220243"/>
        <w:gridCol w:w="1268.5867142220243"/>
        <w:gridCol w:w="1268.5867142220243"/>
        <w:gridCol w:w="880.4993312527865"/>
        <w:gridCol w:w="1268.5867142220243"/>
        <w:gridCol w:w="1268.5867142220243"/>
        <w:gridCol w:w="1268.5867142220243"/>
        <w:tblGridChange w:id="0">
          <w:tblGrid>
            <w:gridCol w:w="867.9803834150691"/>
            <w:gridCol w:w="1268.5867142220243"/>
            <w:gridCol w:w="1268.5867142220243"/>
            <w:gridCol w:w="1268.5867142220243"/>
            <w:gridCol w:w="880.4993312527865"/>
            <w:gridCol w:w="1268.5867142220243"/>
            <w:gridCol w:w="1268.5867142220243"/>
            <w:gridCol w:w="1268.5867142220243"/>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USDX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Gold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Crude oil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USDX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Gold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Crude oil </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83.25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1,248.30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71.92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78.85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1,663.40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104.87</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78.94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1,307.80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79.97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83.13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1,562.60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86.53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77.46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1,357.10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81.43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81.75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1,603.50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84.96</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81.27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1,385.00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84.11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82.71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1,610.50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88.06</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79.29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1,421.10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91.38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1,684.60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96.47</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77.87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1,333.80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80.03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1,771.10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92.19</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76.92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1,409.30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96.97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79.99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1,717.50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86.24</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76.07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1,438.90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106.72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1,710.90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88.91</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73.11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1,556.00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113.93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79.87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1,674.80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91.82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74.70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1,535.90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102.70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1,660.60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97.49</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74.64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1,502.30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82.00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1,577.70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92.05</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74.04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1,628.30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83.18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1,594.80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97.23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74.17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1,828.50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88.81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1,472.20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93.46</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1,620.40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83.40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1,392.60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91.97</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76.31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1,724.20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93.19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83.38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1,374.90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96.56</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78.49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1,745.50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100.36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81.54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1,468.60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105.03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80.52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1,565.80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98.83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82.14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1,573.00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107.65</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1,737.80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98.48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80.32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1,485.40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102.33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78.79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1,709.90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107.07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80.26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1,453.90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96.38</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1,669.30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103.02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80.66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1,377.20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92.72</w:t>
            </w:r>
          </w:p>
        </w:tc>
      </w:tr>
    </w:tbl>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3232413178986"/>
        <w:gridCol w:w="1266.8922528940338"/>
        <w:gridCol w:w="1266.8922528940338"/>
        <w:gridCol w:w="1266.8922528940338"/>
        <w:gridCol w:w="879.3232413178986"/>
        <w:gridCol w:w="1266.8922528940338"/>
        <w:gridCol w:w="1266.8922528940338"/>
        <w:gridCol w:w="1266.8922528940338"/>
        <w:tblGridChange w:id="0">
          <w:tblGrid>
            <w:gridCol w:w="879.3232413178986"/>
            <w:gridCol w:w="1266.8922528940338"/>
            <w:gridCol w:w="1266.8922528940338"/>
            <w:gridCol w:w="1266.8922528940338"/>
            <w:gridCol w:w="879.3232413178986"/>
            <w:gridCol w:w="1266.8922528940338"/>
            <w:gridCol w:w="1266.8922528940338"/>
            <w:gridCol w:w="1266.8922528940338"/>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USDX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Gold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Crude oil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USDX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Gold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Crude oil </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1,338.40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97.44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1,143.50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47.12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1,370.20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97.49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95.85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1,177.50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49.20</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79.72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1,446.40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102.59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96.48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1,149.40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45.09</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80.25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1,407.70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101.58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1,169.90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46.59</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79.53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1,405.70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99.74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100.21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1,098.30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41.65</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1,342.80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102.71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98.75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1,095.80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37.04</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79.81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1,419.00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105.37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99.65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1,140.00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33.62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81.52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1,385.40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1,255.00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33.75</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82.78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1,384.50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95.96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94.58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1,261.60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38.34</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86.05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1,310.60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91.16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93.05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1,321.90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45.92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87.02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1,248.50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80.54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95.88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1,252.70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49.10</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88.41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1,244.80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66.15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1,358.00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48.33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90.65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1,251.30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53.27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95.49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1,395.20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41.60</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1,325.40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48.24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1,347.00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44.70</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95.32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1,267.60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49.76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95.39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1,353.50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48.24</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98.66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1,230.80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47.60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1,312.80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46.86</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94.71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1,231.90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59.63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101.54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1,214.10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49.44</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96.99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1,240.80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60.30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102.29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1,199.50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53.72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95.66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1,229.70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59.47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99.48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1,257.00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52.81</w:t>
            </w:r>
          </w:p>
        </w:tc>
      </w:tr>
    </w:tbl>
    <w:p w:rsidR="00000000" w:rsidDel="00000000" w:rsidP="00000000" w:rsidRDefault="00000000" w:rsidRPr="00000000" w14:paraId="000001E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980461811723"/>
        <w:gridCol w:w="1263.5168738898758"/>
        <w:gridCol w:w="1263.5168738898758"/>
        <w:gridCol w:w="1263.5168738898758"/>
        <w:gridCol w:w="876.980461811723"/>
        <w:gridCol w:w="1263.5168738898758"/>
        <w:gridCol w:w="1275.9857904085259"/>
        <w:gridCol w:w="1275.9857904085259"/>
        <w:tblGridChange w:id="0">
          <w:tblGrid>
            <w:gridCol w:w="876.980461811723"/>
            <w:gridCol w:w="1263.5168738898758"/>
            <w:gridCol w:w="1263.5168738898758"/>
            <w:gridCol w:w="1263.5168738898758"/>
            <w:gridCol w:w="876.980461811723"/>
            <w:gridCol w:w="1263.5168738898758"/>
            <w:gridCol w:w="1275.9857904085259"/>
            <w:gridCol w:w="1275.9857904085259"/>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USDX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Gold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Crude oil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USDX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Gold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Crude oil </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101.13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1,299.70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54.01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94.74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1,213.20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73.25</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1,295.10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1,233.00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65.31</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98.90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1,312.00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49.33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1,237.90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50.93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96.85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1,314.40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48.32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95.74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1,294.20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45.41</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1,281.20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46.04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1,331.60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53.79</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92.72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1,305.80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1,322.70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57.22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92.63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1,354.30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47.23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96.85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1,298.50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60.14</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92.88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1,320.90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51.67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1,285.70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63.91</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94.43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1,307.50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54.38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97.67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1,305.80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53.50</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93.00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1,314.00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57.40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95.67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1,395.15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58.47</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91.83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1,347.40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60.42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96.82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1,427.60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56.19</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88.95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1,383.00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64.73</w:t>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90.55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1,361.00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61.64</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89.81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1,364.90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64.94</w:t>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91.63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1,357.60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68.57</w:t>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93.96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1,336.30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67.04</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94.35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1,284.60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74.15</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94.28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1,250.90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68.76</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Aug-18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95.08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1,223.40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69.80</w:t>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“Crude oil Futures Historical Prices.” </w:t>
      </w:r>
      <w:r w:rsidDel="00000000" w:rsidR="00000000" w:rsidRPr="00000000">
        <w:rPr>
          <w:rFonts w:ascii="Times New Roman" w:cs="Times New Roman" w:eastAsia="Times New Roman" w:hAnsi="Times New Roman"/>
          <w:i w:val="1"/>
          <w:color w:val="333333"/>
          <w:sz w:val="24"/>
          <w:szCs w:val="24"/>
          <w:rtl w:val="0"/>
        </w:rPr>
        <w:t xml:space="preserve">Investing.com Canada</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Investing.com Canada</w:t>
      </w:r>
      <w:r w:rsidDel="00000000" w:rsidR="00000000" w:rsidRPr="00000000">
        <w:rPr>
          <w:rFonts w:ascii="Times New Roman" w:cs="Times New Roman" w:eastAsia="Times New Roman" w:hAnsi="Times New Roman"/>
          <w:color w:val="333333"/>
          <w:sz w:val="24"/>
          <w:szCs w:val="24"/>
          <w:highlight w:val="white"/>
          <w:rtl w:val="0"/>
        </w:rPr>
        <w:t xml:space="preserve">, Investing.com, </w:t>
      </w:r>
      <w:hyperlink r:id="rId17">
        <w:r w:rsidDel="00000000" w:rsidR="00000000" w:rsidRPr="00000000">
          <w:rPr>
            <w:rFonts w:ascii="Times New Roman" w:cs="Times New Roman" w:eastAsia="Times New Roman" w:hAnsi="Times New Roman"/>
            <w:color w:val="1155cc"/>
            <w:sz w:val="24"/>
            <w:szCs w:val="24"/>
            <w:u w:val="single"/>
            <w:rtl w:val="0"/>
          </w:rPr>
          <w:t xml:space="preserve">ca.investing.com/commodities/crude-oil-historical-data</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“Gold Futures Historical Prices.” </w:t>
      </w:r>
      <w:r w:rsidDel="00000000" w:rsidR="00000000" w:rsidRPr="00000000">
        <w:rPr>
          <w:rFonts w:ascii="Times New Roman" w:cs="Times New Roman" w:eastAsia="Times New Roman" w:hAnsi="Times New Roman"/>
          <w:i w:val="1"/>
          <w:color w:val="333333"/>
          <w:sz w:val="24"/>
          <w:szCs w:val="24"/>
          <w:rtl w:val="0"/>
        </w:rPr>
        <w:t xml:space="preserve">Investing.com Canada</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Investing.com Canada</w:t>
      </w:r>
      <w:r w:rsidDel="00000000" w:rsidR="00000000" w:rsidRPr="00000000">
        <w:rPr>
          <w:rFonts w:ascii="Times New Roman" w:cs="Times New Roman" w:eastAsia="Times New Roman" w:hAnsi="Times New Roman"/>
          <w:color w:val="333333"/>
          <w:sz w:val="24"/>
          <w:szCs w:val="24"/>
          <w:highlight w:val="white"/>
          <w:rtl w:val="0"/>
        </w:rPr>
        <w:t xml:space="preserve">, Investing.com, ca.investing.com/commodities/gold-historical-data.</w:t>
      </w:r>
    </w:p>
    <w:p w:rsidR="00000000" w:rsidDel="00000000" w:rsidP="00000000" w:rsidRDefault="00000000" w:rsidRPr="00000000" w14:paraId="0000028D">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 Dollar Index Historical Data: USD Index Historical Data.” </w:t>
      </w:r>
      <w:r w:rsidDel="00000000" w:rsidR="00000000" w:rsidRPr="00000000">
        <w:rPr>
          <w:rFonts w:ascii="Times New Roman" w:cs="Times New Roman" w:eastAsia="Times New Roman" w:hAnsi="Times New Roman"/>
          <w:i w:val="1"/>
          <w:color w:val="333333"/>
          <w:sz w:val="24"/>
          <w:szCs w:val="24"/>
          <w:rtl w:val="0"/>
        </w:rPr>
        <w:t xml:space="preserve">Investing.com Canada</w:t>
      </w:r>
      <w:r w:rsidDel="00000000" w:rsidR="00000000" w:rsidRPr="00000000">
        <w:rPr>
          <w:rFonts w:ascii="Times New Roman" w:cs="Times New Roman" w:eastAsia="Times New Roman" w:hAnsi="Times New Roman"/>
          <w:color w:val="333333"/>
          <w:sz w:val="24"/>
          <w:szCs w:val="24"/>
          <w:highlight w:val="white"/>
          <w:rtl w:val="0"/>
        </w:rPr>
        <w:t xml:space="preserve">, Investing.com, ca.investing.com/currencies/us-dollar-index-historical-data.</w:t>
      </w:r>
    </w:p>
    <w:p w:rsidR="00000000" w:rsidDel="00000000" w:rsidP="00000000" w:rsidRDefault="00000000" w:rsidRPr="00000000" w14:paraId="0000028F">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Kowalski. “Impact of the Dollar on Commodity Prices.” </w:t>
      </w:r>
      <w:r w:rsidDel="00000000" w:rsidR="00000000" w:rsidRPr="00000000">
        <w:rPr>
          <w:rFonts w:ascii="Times New Roman" w:cs="Times New Roman" w:eastAsia="Times New Roman" w:hAnsi="Times New Roman"/>
          <w:i w:val="1"/>
          <w:color w:val="333333"/>
          <w:sz w:val="24"/>
          <w:szCs w:val="24"/>
          <w:rtl w:val="0"/>
        </w:rPr>
        <w:t xml:space="preserve">The Balance</w:t>
      </w:r>
      <w:r w:rsidDel="00000000" w:rsidR="00000000" w:rsidRPr="00000000">
        <w:rPr>
          <w:rFonts w:ascii="Times New Roman" w:cs="Times New Roman" w:eastAsia="Times New Roman" w:hAnsi="Times New Roman"/>
          <w:color w:val="333333"/>
          <w:sz w:val="24"/>
          <w:szCs w:val="24"/>
          <w:highlight w:val="white"/>
          <w:rtl w:val="0"/>
        </w:rPr>
        <w:t xml:space="preserve">, The Balance, 7 July 2019,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www.thebalance.com/how-the-dollar-impacts-commodity-prices-809294</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91">
      <w:pPr>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“Why Trade Futures Instead of ETFs? - CME Group.” </w:t>
      </w:r>
      <w:r w:rsidDel="00000000" w:rsidR="00000000" w:rsidRPr="00000000">
        <w:rPr>
          <w:rFonts w:ascii="Times New Roman" w:cs="Times New Roman" w:eastAsia="Times New Roman" w:hAnsi="Times New Roman"/>
          <w:i w:val="1"/>
          <w:color w:val="333333"/>
          <w:sz w:val="24"/>
          <w:szCs w:val="24"/>
          <w:rtl w:val="0"/>
        </w:rPr>
        <w:t xml:space="preserve">Futures &amp; Options Trading for Risk Management - CME Group</w:t>
      </w:r>
      <w:r w:rsidDel="00000000" w:rsidR="00000000" w:rsidRPr="00000000">
        <w:rPr>
          <w:rFonts w:ascii="Times New Roman" w:cs="Times New Roman" w:eastAsia="Times New Roman" w:hAnsi="Times New Roman"/>
          <w:color w:val="333333"/>
          <w:sz w:val="24"/>
          <w:szCs w:val="24"/>
          <w:highlight w:val="white"/>
          <w:rtl w:val="0"/>
        </w:rPr>
        <w:t xml:space="preserve">, 2019,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www.cmegroup.com/education/courses/futures-vs-etfs/why-trade-futures-instead-of-etfs.html</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93">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4">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95">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sectPr>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ca.investing.com/commodities/crude-oil-historical-data"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www.cmegroup.com/education/courses/futures-vs-etfs/why-trade-futures-instead-of-etfs.html" TargetMode="External"/><Relationship Id="rId6" Type="http://schemas.openxmlformats.org/officeDocument/2006/relationships/customXml" Target="../customXML/item1.xml"/><Relationship Id="rId18" Type="http://schemas.openxmlformats.org/officeDocument/2006/relationships/hyperlink" Target="http://www.thebalance.com/how-the-dollar-impacts-commodity-prices-809294" TargetMode="Externa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p87s/vhwLrSs3QwV/e5sxWJEA==">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