
<file path=[Content_Types].xml><?xml version="1.0" encoding="utf-8"?>
<ns0:Types xmlns:ns0="http://schemas.openxmlformats.org/package/2006/content-types">
  <ns0:Default ContentType="image/png" Extension="png"/>
  <ns0:Default ContentType="image/jpeg" Extension="jpeg"/>
  <ns0:Default ContentType="image/jpeg" Extension="jpg"/>
  <ns0:Default ContentType="image/bmp" Extension="bmp"/>
  <ns0:Default ContentType="image/gif" Extension="gif"/>
  <ns0:Default ContentType="image/svg+xml" Extension="svg"/>
  <ns0:Default ContentType="application/vnd.openxmlformats-package.relationships+xml" Extension="rels"/>
  <ns0:Default ContentType="application/xml" Extension="xml"/>
  <ns0:Default ContentType="application/vnd.openxmlformats-officedocument.obfuscatedFont" Extension="odttf"/>
  <ns0:Override ContentType="application/vnd.openxmlformats-officedocument.wordprocessingml.document.main+xml" PartName="/word/document.xml"/>
  <ns0:Override ContentType="application/vnd.openxmlformats-officedocument.wordprocessingml.styles+xml" PartName="/word/styles.xml"/>
  <ns0:Override ContentType="application/vnd.openxmlformats-package.core-properties+xml" PartName="/docProps/core.xml"/>
  <ns0:Override ContentType="application/vnd.openxmlformats-officedocument.custom-properties+xml" PartName="/docProps/custom.xml"/>
  <ns0:Override ContentType="application/vnd.openxmlformats-officedocument.extended-properties+xml" PartName="/docProps/app.xml"/>
  <ns0:Override ContentType="application/vnd.openxmlformats-officedocument.wordprocessingml.numbering+xml" PartName="/word/numbering.xml"/>
  <ns0:Override ContentType="application/vnd.openxmlformats-officedocument.wordprocessingml.footnotes+xml" PartName="/word/footnotes.xml"/>
  <ns0:Override ContentType="application/vnd.openxmlformats-officedocument.wordprocessingml.endnotes+xml" PartName="/word/endnotes.xml"/>
  <ns0:Override ContentType="application/vnd.openxmlformats-officedocument.wordprocessingml.settings+xml" PartName="/word/settings.xml"/>
  <ns0:Override ContentType="application/vnd.openxmlformats-officedocument.wordprocessingml.comments+xml" PartName="/word/comments.xml"/>
  <ns0:Override ContentType="application/vnd.openxmlformats-officedocument.wordprocessingml.fontTable+xml" PartName="/word/fontTable.xml"/>
  <ns0:Override ContentType="application/vnd.openxmlformats-officedocument.wordprocessingml.header+xml" PartName="/word/header1.xml"/>
  <ns0:Override ContentType="application/vnd.openxmlformats-officedocument.wordprocessingml.footer+xml" PartName="/word/footer1.xml"/>
  <ns0:Override PartName="/word/webextensions/taskpanes.xml" ContentType="application/vnd.ms-office.webextensiontaskpanes+xml"/>
  <ns0:Override PartName="/word/webextensions/webextension1.xml" ContentType="application/vnd.ms-office.webextension+xml"/>
</ns0:Types>
</file>

<file path=_rels/.rels><?xml version='1.0' encoding='UTF-8'?>
<ns0:Relationships xmlns:ns0="http://schemas.openxmlformats.org/package/2006/relationships"><ns0:Relationship Id="rId1" Type="http://schemas.openxmlformats.org/officeDocument/2006/relationships/officeDocument" Target="word/document.xml" /><ns0:Relationship Id="rId2" Type="http://schemas.openxmlformats.org/package/2006/relationships/metadata/core-properties" Target="docProps/core.xml" /><ns0:Relationship Id="rId3" Type="http://schemas.openxmlformats.org/officeDocument/2006/relationships/extended-properties" Target="docProps/app.xml" /><ns0:Relationship Id="rId4" Type="http://schemas.openxmlformats.org/officeDocument/2006/relationships/custom-properties" Target="docProps/custom.xml" /><ns0:Relationship Id="rId5" Type="http://schemas.microsoft.com/office/2011/relationships/webextensiontaskpanes" Target="word/webextensions/taskpanes.xml" /></ns0: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/>
              <w:left/>
              <w:bottom/>
              <w:right/>
            </w:tcBorders>
            <w:shd w:fill="1A3A5C" w:val="clear"/>
          </w:tcPr>
          <w:p>
            <w:pPr>
              <w:spacing w:after="200" w:before="2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MARKET ANALYSIS REPORT</w:t>
            </w:r>
          </w:p>
        </w:tc>
      </w:tr>
    </w:tbl>
    <w:p>
      <w:pPr>
        <w:pStyle w:val="DocTitle"/>
        <w:spacing w:after="120" w:before="300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Market Analysis for VoltEdge Accessories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5FA3"/>
          <w:sz w:val="38"/>
          <w:szCs w:val="38"/>
        </w:rPr>
        <w:t xml:space="preserve">Amazon India Entry</w:t>
      </w:r>
    </w:p>
    <w:p>
      <w:pPr>
        <w:spacing w:after="360" w:before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Focus Categories: Electronics &amp; Computers/Accessories  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|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  Dataset: 1,465 Amazon India Listings Snapshot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E5FA3" w:val="clear"/>
          </w:tcPr>
          <w:p>
            <w:pPr>
              <w:spacing w:after="40" w:before="40"/>
            </w:pPr>
            <w:r>
              <w:t xml:space="preserve"/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Competitive Landscape Summary</w:t>
      </w:r>
    </w:p>
    <w:p>
      <w:pPr>
        <w:pStyle w:val="BodyTex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The market is dominated by Indian-origin brands that compete on aggressive discounting and massive review volumes. Below is the competitive positioning across VoltEdge's target sub-categories.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100"/>
        <w:gridCol w:w="1700"/>
        <w:gridCol w:w="1080"/>
        <w:gridCol w:w="1180"/>
        <w:gridCol w:w="2000"/>
      </w:tblGrid>
      <w:tr>
        <w:trPr>
          <w:tblHeader/>
        </w:trPr>
        <w:tc>
          <w:tcPr>
            <w:tcW w:type="dxa" w:w="13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21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Brands</w:t>
            </w:r>
          </w:p>
        </w:tc>
        <w:tc>
          <w:tcPr>
            <w:tcW w:type="dxa" w:w="17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Discounted Price Range</w:t>
            </w:r>
          </w:p>
        </w:tc>
        <w:tc>
          <w:tcPr>
            <w:tcW w:type="dxa" w:w="10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Rating</w:t>
            </w:r>
          </w:p>
        </w:tc>
        <w:tc>
          <w:tcPr>
            <w:tcW w:type="dxa" w:w="11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Discount %</w:t>
            </w:r>
          </w:p>
        </w:tc>
        <w:tc>
          <w:tcPr>
            <w:tcW w:type="dxa" w:w="20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Positioning</w:t>
            </w:r>
          </w:p>
        </w:tc>
      </w:tr>
      <w:tr>
        <w:tc>
          <w:tcPr>
            <w:tcW w:type="dxa" w:w="13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Cables / Chargers</w:t>
            </w:r>
          </w:p>
        </w:tc>
        <w:tc>
          <w:tcPr>
            <w:tcW w:type="dxa" w:w="21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boAt, Portronics, Ambrane, OnePlus, AmazonBasics</w:t>
            </w:r>
          </w:p>
        </w:tc>
        <w:tc>
          <w:tcPr>
            <w:tcW w:type="dxa" w:w="17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₹149–₹2,499</w:t>
            </w:r>
          </w:p>
        </w:tc>
        <w:tc>
          <w:tcPr>
            <w:tcW w:type="dxa" w:w="10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4.0–4.5</w:t>
            </w:r>
          </w:p>
        </w:tc>
        <w:tc>
          <w:tcPr>
            <w:tcW w:type="dxa" w:w="11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44–64%</w:t>
            </w:r>
          </w:p>
        </w:tc>
        <w:tc>
          <w:tcPr>
            <w:tcW w:type="dxa" w:w="20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Value + durability; boAt leads review volume (4.38M total reviews across 65 products)</w:t>
            </w:r>
          </w:p>
        </w:tc>
      </w:tr>
      <w:tr>
        <w:tc>
          <w:tcPr>
            <w:tcW w:type="dxa" w:w="13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Earbuds / Headphones</w:t>
            </w:r>
          </w:p>
        </w:tc>
        <w:tc>
          <w:tcPr>
            <w:tcW w:type="dxa" w:w="21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boAt, Boult Audio, Noise, JBL, OnePlus, Realme</w:t>
            </w:r>
          </w:p>
        </w:tc>
        <w:tc>
          <w:tcPr>
            <w:tcW w:type="dxa" w:w="17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₹349–₹1,799 (budget); ₹1,500–₹2,000 (fastest-growing band)</w:t>
            </w:r>
          </w:p>
        </w:tc>
        <w:tc>
          <w:tcPr>
            <w:tcW w:type="dxa" w:w="10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3.87–4.05</w:t>
            </w:r>
          </w:p>
        </w:tc>
        <w:tc>
          <w:tcPr>
            <w:tcW w:type="dxa" w:w="11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46–61%</w:t>
            </w:r>
          </w:p>
        </w:tc>
        <w:tc>
          <w:tcPr>
            <w:tcW w:type="dxa" w:w="20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boAt holds 32.9% TWS share (2024) but eroding; Boult surging at 17%</w:t>
            </w:r>
          </w:p>
        </w:tc>
      </w:tr>
      <w:tr>
        <w:tc>
          <w:tcPr>
            <w:tcW w:type="dxa" w:w="13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Smartwatches</w:t>
            </w:r>
          </w:p>
        </w:tc>
        <w:tc>
          <w:tcPr>
            <w:tcW w:type="dxa" w:w="21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Noise, Fire-Boltt, boAt, Titan/Fastrack</w:t>
            </w:r>
          </w:p>
        </w:tc>
        <w:tc>
          <w:tcPr>
            <w:tcW w:type="dxa" w:w="17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₹249–₹4,499 (budget); ₹1,499–₹3,999 (Fire-Boltt)</w:t>
            </w:r>
          </w:p>
        </w:tc>
        <w:tc>
          <w:tcPr>
            <w:tcW w:type="dxa" w:w="10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3.96–4.23</w:t>
            </w:r>
          </w:p>
        </w:tc>
        <w:tc>
          <w:tcPr>
            <w:tcW w:type="dxa" w:w="11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57–80%</w:t>
            </w:r>
          </w:p>
        </w:tc>
        <w:tc>
          <w:tcPr>
            <w:tcW w:type="dxa" w:w="20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Category contracting (−43.9% revenue from 2023 peak); Noise leads at 26.6% share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SourceLabel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Sources: [Dataset] amazon.csv brand/price/rating analysis [178][179]; [Quick Research: 02b_QR_Competitors] market share data [192][214].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Key Trends and Signals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Insight 1: USB Chargers/Cables is the safest entry category — largest, growing, lowest competitive moat</w:t>
      </w:r>
    </w:p>
    <w:p>
      <w:pPr>
        <w:pStyle w:val="BulletBody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USB chargers are the largest sub-segment at $2.30B (8.9% CAGR), versus TWS at $1.3B (flattening) and smartwatches at $0.78B (contracting) [176][180].</w:t>
      </w:r>
    </w:p>
    <w:p>
      <w:pPr>
        <w:pStyle w:val="BulletBody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[Dataset] Cables/chargers show the highest average ratings (4.0–4.5) and the most fragmented brand landscape — no single brand dominates the way boAt does in earbuds.</w:t>
      </w:r>
    </w:p>
    <w:p>
      <w:pPr>
        <w:pStyle w:val="Confidence"/>
        <w:spacing w:after="16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Confidence: High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Insight 2: The ₹1,500–₹2,000 TWS price band is the growth sweet spot, but competition is brutal</w:t>
      </w:r>
    </w:p>
    <w:p>
      <w:pPr>
        <w:pStyle w:val="BulletBody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This band grew 52% YoY in 2024 [191][214]. Chinese brands (OnePlus, Realme) are the fastest growers at 33% YoY, leveraging smartphone ecosystem lock-in [192].</w:t>
      </w:r>
    </w:p>
    <w:p>
      <w:pPr>
        <w:pStyle w:val="BulletBody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[Dataset] Earbuds in this band average only 3.87–4.05 ratings, suggesting quality gaps remain exploitable.</w:t>
      </w:r>
    </w:p>
    <w:p>
      <w:pPr>
        <w:pStyle w:val="Confidence"/>
        <w:spacing w:after="160" w:before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Confidence: Medium (entry requires significant brand-building investment)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Insight 3: Smartwatches are a value trap — avoid as entry category</w:t>
      </w:r>
    </w:p>
    <w:p>
      <w:pPr>
        <w:pStyle w:val="BulletBody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Shipments collapsed from 53.4M to 28.9M units (2023→2025). Revenue down 43.9% [192][214].</w:t>
      </w:r>
    </w:p>
    <w:p>
      <w:pPr>
        <w:pStyle w:val="BulletBody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Fire-Boltt's 79.5% average discount off MRP signals a race-to-bottom that erodes consumer trust [179].</w:t>
      </w:r>
    </w:p>
    <w:p>
      <w:pPr>
        <w:pStyle w:val="Confidence"/>
        <w:spacing w:after="16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Confidence: High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Insight 4: Tier-2/3 cities are the growth engine</w:t>
      </w:r>
    </w:p>
    <w:p>
      <w:pPr>
        <w:pStyle w:val="BulletBody"/>
        <w:numPr>
          <w:ilvl w:val="0"/>
          <w:numId w:val="5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Over 65% of Amazon India's consumer electronics orders now come from tier-2/3 cities, yet online penetration is only 4% [176][177].</w:t>
      </w:r>
    </w:p>
    <w:p>
      <w:pPr>
        <w:pStyle w:val="BulletBody"/>
        <w:numPr>
          <w:ilvl w:val="0"/>
          <w:numId w:val="5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Quick commerce is growing ~75% YoY, capturing sub-₹1,000 impulse purchases [177].</w:t>
      </w:r>
    </w:p>
    <w:p>
      <w:pPr>
        <w:pStyle w:val="Confidence"/>
        <w:spacing w:after="16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Confidence: High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Insight 5: Festival-season concentration demands inventory timing precision</w:t>
      </w:r>
    </w:p>
    <w:p>
      <w:pPr>
        <w:pStyle w:val="BulletBody"/>
        <w:numPr>
          <w:ilvl w:val="0"/>
          <w:numId w:val="6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The 2025 festive season generated ₹1.24 lakh crore in e-commerce GMV (+31% YoY), with the first week capturing 48% of total festive GMV [177][193].</w:t>
      </w:r>
    </w:p>
    <w:p>
      <w:pPr>
        <w:pStyle w:val="Confidence"/>
        <w:spacing w:after="20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Confidence: High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Customer Signals (Review Themes)</w:t>
      </w:r>
    </w:p>
    <w:p>
      <w:pPr>
        <w:pStyle w:val="BodyTex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Based on review_title and review_content analysis from the dataset [182]–[189][207]–[212]: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30"/>
        <w:gridCol w:w="3930"/>
      </w:tblGrid>
      <w:tr>
        <w:trPr>
          <w:tblHeader/>
        </w:trPr>
        <w:tc>
          <w:tcPr>
            <w:tcW w:type="dxa" w:w="150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Sub-Category</w:t>
            </w:r>
          </w:p>
        </w:tc>
        <w:tc>
          <w:tcPr>
            <w:tcW w:type="dxa" w:w="393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Praise Themes</w:t>
            </w:r>
          </w:p>
        </w:tc>
        <w:tc>
          <w:tcPr>
            <w:tcW w:type="dxa" w:w="393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 Complaint Themes</w:t>
            </w:r>
          </w:p>
        </w:tc>
      </w:tr>
      <w:tr>
        <w:tc>
          <w:tcPr>
            <w:tcW w:type="dxa" w:w="15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Cables / Chargers</w:t>
            </w:r>
          </w:p>
        </w:tc>
        <w:tc>
          <w:tcPr>
            <w:tcW w:type="dxa" w:w="393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Fast charging speed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Durability/braided build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Value for money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Good length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Multi-device compatibility</w:t>
            </w:r>
          </w:p>
        </w:tc>
        <w:tc>
          <w:tcPr>
            <w:tcW w:type="dxa" w:w="393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Stops working after weeks/months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Cable too short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true fast charging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Loose connector fit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Overpriced vs. quality</w:t>
            </w:r>
          </w:p>
        </w:tc>
      </w:tr>
      <w:tr>
        <w:tc>
          <w:tcPr>
            <w:tcW w:type="dxa" w:w="15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Earbuds / Headphones</w:t>
            </w:r>
          </w:p>
        </w:tc>
        <w:tc>
          <w:tcPr>
            <w:tcW w:type="dxa" w:w="393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Sound quality for price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Battery life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Comfortable fit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ANC performance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Build quality</w:t>
            </w:r>
          </w:p>
        </w:tc>
        <w:tc>
          <w:tcPr>
            <w:tcW w:type="dxa" w:w="393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Poor after-sales service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Bass overpowering/distorted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Connectivity drops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Mic quality in calls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Durability (breaks within months)</w:t>
            </w:r>
          </w:p>
        </w:tc>
      </w:tr>
      <w:tr>
        <w:tc>
          <w:tcPr>
            <w:tcW w:type="dxa" w:w="150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Smartwatches</w:t>
            </w:r>
          </w:p>
        </w:tc>
        <w:tc>
          <w:tcPr>
            <w:tcW w:type="dxa" w:w="393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Display quality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Feature-rich for price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Stylish design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Fitness tracking variety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Battery life</w:t>
            </w:r>
          </w:p>
        </w:tc>
        <w:tc>
          <w:tcPr>
            <w:tcW w:type="dxa" w:w="393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EEF4FB" w:val="clear"/>
          </w:tcPr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Inaccurate health sensors (SpO2, HR)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Clunky UI/software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Poor after-sales/warranty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Strap quality</w:t>
            </w:r>
          </w:p>
          <w:p>
            <w:pPr>
              <w:spacing w:after="40" w:before="40"/>
              <w:ind w:left="200" w:hanging="16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White-label feel / no real upgrades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SourceLabel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Sources: [Dataset] review text analysis [182]–[189]; [Quick Research: 02b_QR_Competitors] quality complaints section [214].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Opportunities for VoltEdge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Opportunity A: Lead with USB-C cables/chargers at ₹300–₹800, emphasizing genuine durability</w:t>
      </w:r>
    </w:p>
    <w:p>
      <w:pPr>
        <w:pStyle w:val="BulletBody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[Dataset] Many cable listings rated 4.0–4.2 have recurring complaints about "stops working after a few months." A brand that can demonstrably prove 12-month+ durability (e.g., warranty-backed, stress-test certifications) can differentiate without competing purely on price.</w:t>
      </w:r>
    </w:p>
    <w:p>
      <w:pPr>
        <w:pStyle w:val="BulletBody"/>
        <w:numPr>
          <w:ilvl w:val="0"/>
          <w:numId w:val="2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Amazon's zero referral fee for products under ₹1,000 [198] makes this price band margin-friendly.</w:t>
      </w:r>
    </w:p>
    <w:p>
      <w:pPr>
        <w:pStyle w:val="Confidence"/>
        <w:spacing w:after="20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Confidence: High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Opportunity B: Enter earbuds at ₹1,500–₹2,000 as a second wave, targeting the "quality gap"</w:t>
      </w:r>
    </w:p>
    <w:p>
      <w:pPr>
        <w:pStyle w:val="BulletBody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[Dataset] Average ratings in this band hover at 3.87–4.05 — below the 4.2+ threshold that drives strong conversion. Consumers are vocal about wanting better mic quality and reliable connectivity [214].</w:t>
      </w:r>
    </w:p>
    <w:p>
      <w:pPr>
        <w:pStyle w:val="BulletBody"/>
        <w:numPr>
          <w:ilvl w:val="0"/>
          <w:numId w:val="3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[Quick Research: 02b_QR_Competitors] The premium segment above ₹15,000 surged 147% YoY, confirming consumers will pay more for quality [214].</w:t>
      </w:r>
    </w:p>
    <w:p>
      <w:pPr>
        <w:pStyle w:val="Confidence"/>
        <w:spacing w:after="200" w:before="80"/>
      </w:pPr>
      <w:r>
        <w:rPr>
          <w:rFonts w:ascii="Arial" w:cs="Arial" w:eastAsia="Arial" w:hAnsi="Arial"/>
          <w:b/>
          <w:bCs/>
          <w:color w:val="E65100"/>
          <w:sz w:val="20"/>
          <w:szCs w:val="20"/>
        </w:rPr>
        <w:t xml:space="preserve">Confidence: Medium (requires brand trust that cables can help build first)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Opportunity C: Exploit the after-sales service gap</w:t>
      </w:r>
    </w:p>
    <w:p>
      <w:pPr>
        <w:pStyle w:val="BulletBody"/>
        <w:numPr>
          <w:ilvl w:val="0"/>
          <w:numId w:val="4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Portronics is rated 1.6/5 on Trustpilot; Ambrane requires unboxing videos for returns [214]. A responsive, no-hassle warranty/replacement policy would be a genuine differentiator in this market.</w:t>
      </w:r>
    </w:p>
    <w:p>
      <w:pPr>
        <w:pStyle w:val="Confidence"/>
        <w:spacing w:after="200" w:before="80"/>
      </w:pPr>
      <w:r>
        <w:rPr>
          <w:rFonts w:ascii="Arial" w:cs="Arial" w:eastAsia="Arial" w:hAnsi="Arial"/>
          <w:b/>
          <w:bCs/>
          <w:color w:val="2E7D32"/>
          <w:sz w:val="20"/>
          <w:szCs w:val="20"/>
        </w:rPr>
        <w:t xml:space="preserve">Confidence: High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60"/>
        <w:gridCol w:w="880"/>
        <w:gridCol w:w="4280"/>
        <w:gridCol w:w="2440"/>
      </w:tblGrid>
      <w:tr>
        <w:trPr>
          <w:tblHeader/>
        </w:trPr>
        <w:tc>
          <w:tcPr>
            <w:tcW w:type="dxa" w:w="176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8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28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440"/>
            <w:tcBorders>
              <w:top w:val="single" w:color="B0C4DE" w:sz="4"/>
              <w:left w:val="single" w:color="B0C4DE" w:sz="4"/>
              <w:bottom w:val="single" w:color="B0C4DE" w:sz="4"/>
              <w:right w:val="single" w:color="B0C4DE" w:sz="4"/>
            </w:tcBorders>
            <w:shd w:fill="1A3A5C" w:val="clear"/>
            <w:vAlign w:val="center"/>
          </w:tcPr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176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3F3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Import Duties</w:t>
            </w:r>
          </w:p>
        </w:tc>
        <w:tc>
          <w:tcPr>
            <w:tcW w:type="dxa" w:w="8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3F3" w:val="clear"/>
          </w:tcPr>
          <w:p>
            <w:pPr>
              <w:spacing w:after="80" w:before="80"/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🔴</w:t>
            </w:r>
          </w:p>
        </w:tc>
        <w:tc>
          <w:tcPr>
            <w:tcW w:type="dxa" w:w="42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3F3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16.5–22% of CIF value in irrecoverable duties (BCD + SWS), creating structural cost disadvantage vs. domestic manufacturers</w:t>
            </w:r>
          </w:p>
        </w:tc>
        <w:tc>
          <w:tcPr>
            <w:tcW w:type="dxa" w:w="244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3F3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[Quick Research: 02c_QR_Risks] [197][202]</w:t>
            </w:r>
          </w:p>
        </w:tc>
      </w:tr>
      <w:tr>
        <w:tc>
          <w:tcPr>
            <w:tcW w:type="dxa" w:w="176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BIS Certification</w:t>
            </w:r>
          </w:p>
        </w:tc>
        <w:tc>
          <w:tcPr>
            <w:tcW w:type="dxa" w:w="8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🔴</w:t>
            </w:r>
          </w:p>
        </w:tc>
        <w:tc>
          <w:tcPr>
            <w:tcW w:type="dxa" w:w="42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Mandatory for chargers, power banks, earphones. ₹28K–65K per SKU, 20–40 working days. Raids on Amazon warehouses are active enforcement</w:t>
            </w:r>
          </w:p>
        </w:tc>
        <w:tc>
          <w:tcPr>
            <w:tcW w:type="dxa" w:w="244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[Quick Research: 02c_QR_Risks] [197]</w:t>
            </w:r>
          </w:p>
        </w:tc>
      </w:tr>
      <w:tr>
        <w:tc>
          <w:tcPr>
            <w:tcW w:type="dxa" w:w="176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FDI Entity Setup</w:t>
            </w:r>
          </w:p>
        </w:tc>
        <w:tc>
          <w:tcPr>
            <w:tcW w:type="dxa" w:w="8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🟡</w:t>
            </w:r>
          </w:p>
        </w:tc>
        <w:tc>
          <w:tcPr>
            <w:tcW w:type="dxa" w:w="42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Foreign entities cannot sell directly; must incorporate Indian subsidiary or appoint distributor. $10K–$50K, 2–4 months</w:t>
            </w:r>
          </w:p>
        </w:tc>
        <w:tc>
          <w:tcPr>
            <w:tcW w:type="dxa" w:w="244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[Quick Research: 02c_QR_Risks] [199]</w:t>
            </w:r>
          </w:p>
        </w:tc>
      </w:tr>
      <w:tr>
        <w:tc>
          <w:tcPr>
            <w:tcW w:type="dxa" w:w="176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USB-C Mandate</w:t>
            </w:r>
          </w:p>
        </w:tc>
        <w:tc>
          <w:tcPr>
            <w:tcW w:type="dxa" w:w="8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🟡</w:t>
            </w:r>
          </w:p>
        </w:tc>
        <w:tc>
          <w:tcPr>
            <w:tcW w:type="dxa" w:w="42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All smartphones/tablets must use USB-C from June 2025; non-compliant inventory risks write-off. Chargers &gt;15W must support USB Power Delivery</w:t>
            </w:r>
          </w:p>
        </w:tc>
        <w:tc>
          <w:tcPr>
            <w:tcW w:type="dxa" w:w="244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[Quick Research: 02c_QR_Risks] [197]</w:t>
            </w:r>
          </w:p>
        </w:tc>
      </w:tr>
      <w:tr>
        <w:tc>
          <w:tcPr>
            <w:tcW w:type="dxa" w:w="176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Platform Fee Erosion</w:t>
            </w:r>
          </w:p>
        </w:tc>
        <w:tc>
          <w:tcPr>
            <w:tcW w:type="dxa" w:w="8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🟡</w:t>
            </w:r>
          </w:p>
        </w:tc>
        <w:tc>
          <w:tcPr>
            <w:tcW w:type="dxa" w:w="42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seller fees (closing, weight handling, logistics surcharge) consume 10–20% of selling price even after zero referral fee. Non-refundable closing fees on returns</w:t>
            </w:r>
          </w:p>
        </w:tc>
        <w:tc>
          <w:tcPr>
            <w:tcW w:type="dxa" w:w="244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BF0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[Quick Research: 02c_QR_Risks] [198][200][201]</w:t>
            </w:r>
          </w:p>
        </w:tc>
      </w:tr>
      <w:tr>
        <w:tc>
          <w:tcPr>
            <w:tcW w:type="dxa" w:w="176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Competitive Intensity</w:t>
            </w:r>
          </w:p>
        </w:tc>
        <w:tc>
          <w:tcPr>
            <w:tcW w:type="dxa" w:w="8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🟡</w:t>
            </w:r>
          </w:p>
        </w:tc>
        <w:tc>
          <w:tcPr>
            <w:tcW w:type="dxa" w:w="42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boAt (65 products, 4.38M reviews), Ambrane, Portronics are entrenched. Chinese brands growing 33% YoY. Price war dynamic with 44–80% discounts off MRP</w:t>
            </w:r>
          </w:p>
        </w:tc>
        <w:tc>
          <w:tcPr>
            <w:tcW w:type="dxa" w:w="244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FFF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[Quick Research: 02b_QR_Competitors] [192][214]</w:t>
            </w:r>
          </w:p>
        </w:tc>
      </w:tr>
      <w:tr>
        <w:tc>
          <w:tcPr>
            <w:tcW w:type="dxa" w:w="176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5F5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Amazon MAU Decline</w:t>
            </w:r>
          </w:p>
        </w:tc>
        <w:tc>
          <w:tcPr>
            <w:tcW w:type="dxa" w:w="8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5F5FF" w:val="clear"/>
          </w:tcPr>
          <w:p>
            <w:pPr>
              <w:spacing w:after="80" w:before="80"/>
              <w:jc w:val="center"/>
            </w:pPr>
            <w:r>
              <w:rPr>
                <w:rFonts w:ascii="Segoe UI Emoji" w:cs="Segoe UI Emoji" w:eastAsia="Segoe UI Emoji" w:hAnsi="Segoe UI Emoji"/>
                <w:sz w:val="24"/>
                <w:szCs w:val="24"/>
              </w:rPr>
              <w:t xml:space="preserve">🟠</w:t>
            </w:r>
          </w:p>
        </w:tc>
        <w:tc>
          <w:tcPr>
            <w:tcW w:type="dxa" w:w="428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5F5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Amazon India's MAU declining YoY while Flipkart grew 15%; Flipkart's MAU lead doubled to 17 percentage points by mid-2026</w:t>
            </w:r>
          </w:p>
        </w:tc>
        <w:tc>
          <w:tcPr>
            <w:tcW w:type="dxa" w:w="2440"/>
            <w:tcBorders>
              <w:top w:val="single" w:color="D0D8E8" w:sz="2"/>
              <w:left w:val="single" w:color="D0D8E8" w:sz="2"/>
              <w:bottom w:val="single" w:color="D0D8E8" w:sz="2"/>
              <w:right w:val="single" w:color="D0D8E8" w:sz="2"/>
            </w:tcBorders>
            <w:shd w:fill="F5F5FF" w:val="clear"/>
          </w:tcPr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[Quick Research: 02a_QR_Market_Trends] [190][195]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BodyText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Cumulative cost impact: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~30–40% of consumer selling price consumed by duties + platform fees before product cost, marketing, or margin [204].</w:t>
      </w:r>
    </w:p>
    <w:p>
      <w:pPr>
        <w:spacing w:after="80"/>
      </w:pPr>
      <w:r>
        <w:t xml:space="preserve"/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Severity Legend:  </w:t>
      </w:r>
      <w:r>
        <w:rPr>
          <w:rFonts w:ascii="Segoe UI Emoji" w:cs="Segoe UI Emoji" w:eastAsia="Segoe UI Emoji" w:hAnsi="Segoe UI Emoji"/>
          <w:sz w:val="20"/>
          <w:szCs w:val="20"/>
        </w:rPr>
        <w:t xml:space="preserve">🔴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High    </w:t>
      </w:r>
      <w:r>
        <w:rPr>
          <w:rFonts w:ascii="Segoe UI Emoji" w:cs="Segoe UI Emoji" w:eastAsia="Segoe UI Emoji" w:hAnsi="Segoe UI Emoji"/>
          <w:sz w:val="20"/>
          <w:szCs w:val="20"/>
        </w:rPr>
        <w:t xml:space="preserve">🟡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Medium    </w:t>
      </w:r>
      <w:r>
        <w:rPr>
          <w:rFonts w:ascii="Segoe UI Emoji" w:cs="Segoe UI Emoji" w:eastAsia="Segoe UI Emoji" w:hAnsi="Segoe UI Emoji"/>
          <w:sz w:val="20"/>
          <w:szCs w:val="20"/>
        </w:rPr>
        <w:t xml:space="preserve">🟠</w:t>
      </w:r>
      <w:r>
        <w:rPr>
          <w:rFonts w:ascii="Arial" w:cs="Arial" w:eastAsia="Arial" w:hAnsi="Arial"/>
          <w:color w:val="444444"/>
          <w:sz w:val="20"/>
          <w:szCs w:val="20"/>
        </w:rPr>
        <w:t xml:space="preserve"> Low–Medium</w:t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Supporting Evidence</w:t>
      </w:r>
    </w:p>
    <w:p>
      <w:pPr>
        <w:pStyle w:val="BodyText"/>
      </w:pPr>
      <w:r>
        <w:rPr>
          <w:rFonts w:ascii="Arial" w:cs="Arial" w:eastAsia="Arial" w:hAnsi="Arial"/>
          <w:color w:val="222222"/>
          <w:sz w:val="22"/>
          <w:szCs w:val="22"/>
        </w:rPr>
        <w:t xml:space="preserve">Every data point and assertion in this report is sourced from one of two evidence streams:</w:t>
      </w:r>
    </w:p>
    <w:p>
      <w:pPr>
        <w:pStyle w:val="BulletBody"/>
        <w:numPr>
          <w:ilvl w:val="0"/>
          <w:numId w:val="7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[Dataset] — amazon.csv (1,465 Amazon India electronics/computers listings snapshot). Figures include brand listing counts, rating_count totals, discounted_price medians, discount % calculations, and review text theme extraction.</w:t>
      </w:r>
    </w:p>
    <w:p>
      <w:pPr>
        <w:pStyle w:val="BulletBody"/>
        <w:numPr>
          <w:ilvl w:val="0"/>
          <w:numId w:val="7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[Quick Research: 02a_QR_Market_Trends] — Market sizing, growth rates, tier-2/3 city penetration, festive GMV data, and Amazon/Flipkart MAU trends.</w:t>
      </w:r>
    </w:p>
    <w:p>
      <w:pPr>
        <w:pStyle w:val="BulletBody"/>
        <w:numPr>
          <w:ilvl w:val="0"/>
          <w:numId w:val="7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[Quick Research: 02b_QR_Competitors] — Brand market share (boAt 32.9% TWS, Noise 26.6% smartwatches, Boult 17%), YoY growth rates by brand, quality complaint profiles.</w:t>
      </w:r>
    </w:p>
    <w:p>
      <w:pPr>
        <w:pStyle w:val="BulletBody"/>
        <w:numPr>
          <w:ilvl w:val="0"/>
          <w:numId w:val="7"/>
        </w:numPr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[Quick Research: 02c_QR_Risks] — Regulatory requirements (BIS certification costs/timelines), import duty rates (BCD + SWS), FDI entity setup costs, Amazon platform fee structure.</w:t>
      </w:r>
    </w:p>
    <w:p>
      <w:pPr>
        <w:spacing w:after="20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Bottom-Line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A5C" w:sz="12"/>
              <w:left w:val="single" w:color="1A3A5C" w:sz="12"/>
              <w:bottom w:val="single" w:color="1A3A5C" w:sz="12"/>
              <w:right w:val="single" w:color="1A3A5C" w:sz="12"/>
            </w:tcBorders>
            <w:shd w:fill="EEF4FB" w:val="clear"/>
          </w:tcPr>
          <w:p>
            <w:pPr>
              <w:spacing w:after="120" w:before="20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6"/>
                <w:szCs w:val="26"/>
              </w:rPr>
              <w:t xml:space="preserve">Primary Recommendation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Enter with USB-C cables and chargers first (₹300–₹800 band), not earbuds or smartwatches. This category is the largest ($2.30B), growing (8.9% CAGR), benefits from Amazon's zero referral fee under ₹1,000, and has the most fragmented competitive landscape with exploitable quality gaps.</w:t>
            </w:r>
          </w:p>
          <w:p>
            <w:pPr>
              <w:spacing w:after="8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Budget Requirements</w:t>
            </w:r>
          </w:p>
          <w:p>
            <w:pPr>
              <w:spacing w:after="60" w:before="0"/>
              <w:ind w:left="28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₹5–15 lakh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for BIS certification across 10–15 SKUs</w:t>
            </w:r>
          </w:p>
          <w:p>
            <w:pPr>
              <w:spacing w:after="60" w:before="0"/>
              <w:ind w:left="28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$10K–$50K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for Indian entity setup (subsidiary or distributor arrangement)</w:t>
            </w:r>
          </w:p>
          <w:p>
            <w:pPr>
              <w:spacing w:after="120" w:before="0"/>
              <w:ind w:left="280"/>
              <w:jc w:val="left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3–4 months</w:t>
            </w: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  minimum runway before first sale</w:t>
            </w:r>
          </w:p>
          <w:p>
            <w:pPr>
              <w:spacing w:after="8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2E5FA3"/>
                <w:sz w:val="24"/>
                <w:szCs w:val="24"/>
              </w:rPr>
              <w:t xml:space="preserve">Launch Timing</w:t>
            </w:r>
          </w:p>
          <w:p>
            <w:pPr>
              <w:spacing w:after="160" w:before="0"/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Time your launch inventory to land ahead of the September–October festive window, which captures 48% of annual festive GMV in its first week alone.</w:t>
            </w:r>
          </w:p>
          <w:p>
            <w:pPr>
              <w:spacing w:after="80" w:before="12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Category to Avoid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Avoid smartwatches entirely — the category is contracting, trust-eroded, and dominated by aggressive discounters with 79.5% average discount off MRP.</w:t>
            </w:r>
          </w:p>
        </w:tc>
      </w:tr>
    </w:tbl>
    <w:p>
      <w:pPr>
        <w:spacing w:after="24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FA3" w:sz="4"/>
      </w:pBdr>
      <w:spacing w:before="0"/>
      <w:jc w:val="center"/>
    </w:pPr>
    <w:r>
      <w:rPr>
        <w:rFonts w:ascii="Arial" w:cs="Arial" w:eastAsia="Arial" w:hAnsi="Arial"/>
        <w:color w:val="777777"/>
        <w:sz w:val="18"/>
        <w:szCs w:val="18"/>
      </w:rPr>
      <w:t xml:space="preserve">Confidential — VoltEdge Accessories  |  Page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77777"/>
        <w:sz w:val="18"/>
        <w:szCs w:val="18"/>
      </w:rPr>
      <w:t xml:space="preserve"> of </w:t>
    </w:r>
    <w:r>
      <w:rPr>
        <w:rFonts w:ascii="Arial" w:cs="Arial" w:eastAsia="Arial" w:hAnsi="Arial"/>
        <w:color w:val="777777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FA3" w:sz="4"/>
      </w:pBdr>
      <w:spacing w:after="0"/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VoltEdge Accessories — Amazon India Entry Market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Title"/>
    <w:basedOn w:val="Normal"/>
    <w:qFormat/>
    <w:pPr>
      <w:spacing w:after="100"/>
      <w:jc w:val="center"/>
    </w:pPr>
    <w:rPr>
      <w:b/>
      <w:bCs/>
      <w:color w:val="1A3A5C"/>
      <w:sz w:val="52"/>
      <w:szCs w:val="52"/>
    </w:rPr>
  </w:style>
  <w:style w:type="paragraph" w:styleId="DocSubtitle">
    <w:name w:val="DocSubtitle"/>
    <w:basedOn w:val="Normal"/>
    <w:qFormat/>
    <w:pPr>
      <w:spacing w:after="400"/>
      <w:jc w:val="center"/>
    </w:pPr>
    <w:rPr>
      <w:i/>
      <w:iCs/>
      <w:color w:val="4A6FA5"/>
      <w:sz w:val="26"/>
      <w:szCs w:val="26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b/>
      <w:bCs/>
      <w:color w:val="2E5FA3"/>
      <w:sz w:val="26"/>
      <w:szCs w:val="26"/>
    </w:rPr>
  </w:style>
  <w:style w:type="paragraph" w:styleId="BodyText">
    <w:name w:val="BodyText"/>
    <w:basedOn w:val="Normal"/>
    <w:qFormat/>
    <w:pPr>
      <w:spacing w:after="180" w:line="288"/>
    </w:pPr>
    <w:rPr>
      <w:color w:val="222222"/>
      <w:sz w:val="22"/>
      <w:szCs w:val="22"/>
    </w:rPr>
  </w:style>
  <w:style w:type="paragraph" w:styleId="BulletBody">
    <w:name w:val="BulletBody"/>
    <w:basedOn w:val="Normal"/>
    <w:qFormat/>
    <w:pPr>
      <w:spacing w:after="100" w:line="276"/>
    </w:pPr>
    <w:rPr>
      <w:color w:val="222222"/>
      <w:sz w:val="22"/>
      <w:szCs w:val="22"/>
    </w:rPr>
  </w:style>
  <w:style w:type="paragraph" w:styleId="SourceLabel">
    <w:name w:val="SourceLabel"/>
    <w:basedOn w:val="Normal"/>
    <w:qFormat/>
    <w:pPr>
      <w:spacing w:after="160"/>
    </w:pPr>
    <w:rPr>
      <w:i/>
      <w:iCs/>
      <w:color w:val="555555"/>
      <w:sz w:val="18"/>
      <w:szCs w:val="18"/>
    </w:rPr>
  </w:style>
  <w:style w:type="paragraph" w:styleId="Confidence">
    <w:name w:val="Confidence"/>
    <w:basedOn w:val="Normal"/>
    <w:qFormat/>
    <w:pPr>
      <w:spacing w:after="200"/>
    </w:pPr>
    <w:rPr>
      <w:b/>
      <w:bCs/>
      <w:color w:val="2E7D32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webextensions/_rels/taskpanes.xml.rels><?xml version="1.0" encoding="UTF-8" standalone="yes"?>
<Relationships xmlns="http://schemas.openxmlformats.org/package/2006/relationships">
  <Relationship Id="rId1" Type="http://schemas.microsoft.com/office/2011/relationships/webextension" Target="webextension1.xml"/>
</Relationships>
</file>

<file path=word/webextensions/taskpanes.xml><?xml version="1.0" encoding="utf-8"?>
<wetp:taskpanes xmlns:wetp="http://schemas.microsoft.com/office/webextensions/taskpanes/2010/11">
  <wetp:taskpane dockstate="right" visibility="1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F779F04-2296-4798-9C09-3722FE978153}">
  <we:reference id="WA200010615" version="1.0.10036.0" store="en-us" storeType="OMEX"/>
  <we:alternateReferences/>
  <we:properties>
    <we:property name="Office.AutoShowTaskpaneWithDocument" value="true"/>
    <we:property name="conversationId" value="&quot;392d6400-b640-4165-bd24-f9afae8ab35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2026-10-09T17:21:44.649Z</dcterms:created>
  <dcterms:modified xsi:type="dcterms:W3CDTF">2026-10-09T17:21:44.650Z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