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A5C"/>
          <w:sz w:val="52"/>
          <w:szCs w:val="52"/>
        </w:rPr>
        <w:t xml:space="preserve">VoltEdge Accessories</w:t>
      </w:r>
    </w:p>
    <w:p>
      <w:pPr>
        <w:spacing w:after="60" w:before="0"/>
      </w:pPr>
      <w:r>
        <w:rPr>
          <w:rFonts w:ascii="Arial" w:cs="Arial" w:eastAsia="Arial" w:hAnsi="Arial"/>
          <w:b/>
          <w:bCs/>
          <w:color w:val="2E5FA3"/>
          <w:sz w:val="38"/>
          <w:szCs w:val="38"/>
        </w:rPr>
        <w:t xml:space="preserve">Amazon India Market Entry</w:t>
      </w:r>
    </w:p>
    <w:p>
      <w:pPr>
        <w:spacing w:after="60" w:before="0"/>
      </w:pPr>
      <w:r>
        <w:rPr>
          <w:rFonts w:ascii="Arial" w:cs="Arial" w:eastAsia="Arial" w:hAnsi="Arial"/>
          <w:i/>
          <w:iCs/>
          <w:color w:val="4A6FA5"/>
          <w:sz w:val="28"/>
          <w:szCs w:val="28"/>
        </w:rPr>
        <w:t xml:space="preserve">Reliability Assessment Report</w:t>
      </w:r>
    </w:p>
    <w:p>
      <w:pPr>
        <w:pBdr>
          <w:bottom w:val="single" w:color="1A3A5C" w:sz="12"/>
        </w:pBdr>
        <w:spacing w:after="280" w:before="0"/>
      </w:pPr>
    </w:p>
    <w:p>
      <w:pPr>
        <w:spacing w:after="80" w:before="0"/>
      </w:pPr>
      <w:r>
        <w:rPr>
          <w:b/>
          <w:bCs/>
          <w:color w:val="222222"/>
          <w:sz w:val="22"/>
          <w:szCs w:val="22"/>
        </w:rPr>
        <w:t xml:space="preserve">Scope: </w:t>
      </w:r>
      <w:r>
        <w:rPr>
          <w:color w:val="444444"/>
          <w:sz w:val="22"/>
          <w:szCs w:val="22"/>
        </w:rPr>
        <w:t xml:space="preserve">Electronics &amp; Computers/Accessories | Amazon India Listings Snapshot (1,465 products)</w:t>
      </w:r>
    </w:p>
    <w:p>
      <w:pPr>
        <w:spacing w:after="80" w:before="0"/>
      </w:pPr>
      <w:r>
        <w:rPr>
          <w:b/>
          <w:bCs/>
          <w:color w:val="222222"/>
          <w:sz w:val="22"/>
          <w:szCs w:val="22"/>
        </w:rPr>
        <w:t xml:space="preserve">Categories: </w:t>
      </w:r>
      <w:r>
        <w:rPr>
          <w:color w:val="444444"/>
          <w:sz w:val="22"/>
          <w:szCs w:val="22"/>
        </w:rPr>
        <w:t xml:space="preserve">USB Cables/Chargers  •  Earbuds/Headphones  •  Smartwatches</w:t>
      </w:r>
    </w:p>
    <w:p>
      <w:pPr>
        <w:spacing w:after="80" w:before="0"/>
      </w:pPr>
      <w:r>
        <w:rPr>
          <w:b/>
          <w:bCs/>
          <w:color w:val="222222"/>
          <w:sz w:val="22"/>
          <w:szCs w:val="22"/>
        </w:rPr>
        <w:t xml:space="preserve">Sources: </w:t>
      </w:r>
      <w:r>
        <w:rPr>
          <w:color w:val="444444"/>
          <w:sz w:val="22"/>
          <w:szCs w:val="22"/>
        </w:rPr>
        <w:t xml:space="preserve">amazon.csv dataset  •  Quick Research: 02a_QR_Market_Trends, 02b_QR_Competitors, 02c_QR_Risks</w:t>
      </w:r>
    </w:p>
    <w:p>
      <w:pPr>
        <w:spacing w:after="40" w:before="0"/>
      </w:pPr>
      <w:r>
        <w:rPr>
          <w:b/>
          <w:bCs/>
          <w:color w:val="222222"/>
          <w:sz w:val="22"/>
          <w:szCs w:val="22"/>
        </w:rPr>
        <w:t xml:space="preserve">Classification: </w:t>
      </w:r>
      <w:r>
        <w:rPr>
          <w:b/>
          <w:bCs/>
          <w:color w:val="C0392B"/>
          <w:sz w:val="22"/>
          <w:szCs w:val="22"/>
        </w:rPr>
        <w:t xml:space="preserve">Confidential — Internal Use Only</w:t>
      </w:r>
    </w:p>
    <w:p>
      <w:pPr>
        <w:pBdr>
          <w:bottom w:val="single" w:color="B8C9E1" w:sz="6"/>
        </w:pBdr>
        <w:spacing w:after="200" w:before="80"/>
      </w:pPr>
    </w:p>
    <w:p>
      <w:pPr>
        <w:spacing w:after="80" w:before="360"/>
      </w:pPr>
      <w:r>
        <w:rPr>
          <w:b/>
          <w:bCs/>
          <w:caps/>
          <w:color w:val="2E5FA3"/>
          <w:sz w:val="20"/>
          <w:szCs w:val="20"/>
        </w:rPr>
        <w:t xml:space="preserve">SECTION 1  </w:t>
      </w:r>
      <w:r>
        <w:rPr>
          <w:b/>
          <w:bCs/>
          <w:color w:val="1A3A5C"/>
          <w:sz w:val="32"/>
          <w:szCs w:val="32"/>
        </w:rPr>
        <w:t xml:space="preserve">Insight-Level Reliability Table</w:t>
      </w:r>
    </w:p>
    <w:p>
      <w:pPr>
        <w:pStyle w:val="BodyText"/>
        <w:spacing w:after="200" w:before="0"/>
      </w:pPr>
      <w:r>
        <w:rPr>
          <w:sz w:val="22"/>
          <w:szCs w:val="22"/>
        </w:rPr>
        <w:t xml:space="preserve">Each major insight from the VoltEdge Market Analysis is evaluated below against two evidence streams: structured dataset signals and external Quick Research reports. Confidence ratings follow a consistent three-tier rule: High = dataset and external research agree with adequate sample; Medium = one strong source or partial agreement; Low = inference, small sample, or uncited data.</w:t>
      </w:r>
    </w:p>
    <w:p>
      <w:pPr>
        <w:spacing w:after="80" w:before="0"/>
      </w:pPr>
      <w:r>
        <w:rPr>
          <w:b/>
          <w:bCs/>
          <w:color w:val="1A3A5C"/>
          <w:sz w:val="20"/>
          <w:szCs w:val="20"/>
        </w:rPr>
        <w:t xml:space="preserve">Confidence Key: </w:t>
      </w:r>
      <w:r>
        <w:rPr>
          <w:b/>
          <w:bCs/>
          <w:color w:val="1A6B3C"/>
          <w:sz w:val="20"/>
          <w:szCs w:val="20"/>
        </w:rPr>
        <w:t xml:space="preserve">⬤ High </w:t>
      </w:r>
      <w:r>
        <w:rPr>
          <w:color w:val="444444"/>
          <w:sz w:val="20"/>
          <w:szCs w:val="20"/>
        </w:rPr>
        <w:t xml:space="preserve">= dataset + external research agree, adequate sample   </w:t>
      </w:r>
      <w:r>
        <w:rPr>
          <w:b/>
          <w:bCs/>
          <w:color w:val="8B6914"/>
          <w:sz w:val="20"/>
          <w:szCs w:val="20"/>
        </w:rPr>
        <w:t xml:space="preserve">⬤ Medium </w:t>
      </w:r>
      <w:r>
        <w:rPr>
          <w:color w:val="444444"/>
          <w:sz w:val="20"/>
          <w:szCs w:val="20"/>
        </w:rPr>
        <w:t xml:space="preserve">= one strong source or partial agreement   </w:t>
      </w:r>
      <w:r>
        <w:rPr>
          <w:b/>
          <w:bCs/>
          <w:color w:val="C0392B"/>
          <w:sz w:val="20"/>
          <w:szCs w:val="20"/>
        </w:rPr>
        <w:t xml:space="preserve">⬤ Low </w:t>
      </w:r>
      <w:r>
        <w:rPr>
          <w:color w:val="444444"/>
          <w:sz w:val="20"/>
          <w:szCs w:val="20"/>
        </w:rPr>
        <w:t xml:space="preserve">= inference, small sample, or old/uncited source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600"/>
        <w:gridCol w:w="1500"/>
        <w:gridCol w:w="1380"/>
        <w:gridCol w:w="1380"/>
      </w:tblGrid>
      <w:tr>
        <w:trPr>
          <w:tblHeader/>
        </w:trPr>
        <w:tc>
          <w:tcPr>
            <w:tcW w:type="dxa" w:w="1800"/>
            <w:tcBorders>
              <w:top w:val="single" w:color="1A3A5C" w:sz="10"/>
              <w:left w:val="single" w:color="1A3A5C" w:sz="10"/>
              <w:bottom w:val="single" w:color="1A3A5C" w:sz="10"/>
              <w:right w:val="single" w:color="1A3A5C" w:sz="10"/>
            </w:tcBorders>
            <w:shd w:fill="1A3A5C" w:val="clear"/>
            <w:vAlign w:val="center"/>
          </w:tcPr>
          <w:p>
            <w:pPr>
              <w:spacing w:after="80" w:before="80"/>
              <w:jc w:val="center"/>
            </w:pPr>
            <w:r>
              <w:rPr>
                <w:b/>
                <w:bCs/>
                <w:color w:val="FFFFFF"/>
                <w:sz w:val="20"/>
                <w:szCs w:val="20"/>
              </w:rPr>
              <w:t xml:space="preserve">Insight</w:t>
            </w:r>
          </w:p>
        </w:tc>
        <w:tc>
          <w:tcPr>
            <w:tcW w:type="dxa" w:w="1700"/>
            <w:tcBorders>
              <w:top w:val="single" w:color="1A3A5C" w:sz="10"/>
              <w:left w:val="single" w:color="1A3A5C" w:sz="10"/>
              <w:bottom w:val="single" w:color="1A3A5C" w:sz="10"/>
              <w:right w:val="single" w:color="1A3A5C" w:sz="10"/>
            </w:tcBorders>
            <w:shd w:fill="1A3A5C" w:val="clear"/>
            <w:vAlign w:val="center"/>
          </w:tcPr>
          <w:p>
            <w:pPr>
              <w:spacing w:after="80" w:before="80"/>
              <w:jc w:val="center"/>
            </w:pPr>
            <w:r>
              <w:rPr>
                <w:b/>
                <w:bCs/>
                <w:color w:val="FFFFFF"/>
                <w:sz w:val="20"/>
                <w:szCs w:val="20"/>
              </w:rPr>
              <w:t xml:space="preserve">Evidence — Dataset</w:t>
            </w:r>
          </w:p>
        </w:tc>
        <w:tc>
          <w:tcPr>
            <w:tcW w:type="dxa" w:w="1600"/>
            <w:tcBorders>
              <w:top w:val="single" w:color="1A3A5C" w:sz="10"/>
              <w:left w:val="single" w:color="1A3A5C" w:sz="10"/>
              <w:bottom w:val="single" w:color="1A3A5C" w:sz="10"/>
              <w:right w:val="single" w:color="1A3A5C" w:sz="10"/>
            </w:tcBorders>
            <w:shd w:fill="1A3A5C" w:val="clear"/>
            <w:vAlign w:val="center"/>
          </w:tcPr>
          <w:p>
            <w:pPr>
              <w:spacing w:after="80" w:before="80"/>
              <w:jc w:val="center"/>
            </w:pPr>
            <w:r>
              <w:rPr>
                <w:b/>
                <w:bCs/>
                <w:color w:val="FFFFFF"/>
                <w:sz w:val="20"/>
                <w:szCs w:val="20"/>
              </w:rPr>
              <w:t xml:space="preserve">Evidence — Quick Research</w:t>
            </w:r>
          </w:p>
        </w:tc>
        <w:tc>
          <w:tcPr>
            <w:tcW w:type="dxa" w:w="1500"/>
            <w:tcBorders>
              <w:top w:val="single" w:color="1A3A5C" w:sz="10"/>
              <w:left w:val="single" w:color="1A3A5C" w:sz="10"/>
              <w:bottom w:val="single" w:color="1A3A5C" w:sz="10"/>
              <w:right w:val="single" w:color="1A3A5C" w:sz="10"/>
            </w:tcBorders>
            <w:shd w:fill="1A3A5C" w:val="clear"/>
            <w:vAlign w:val="center"/>
          </w:tcPr>
          <w:p>
            <w:pPr>
              <w:spacing w:after="80" w:before="80"/>
              <w:jc w:val="center"/>
            </w:pPr>
            <w:r>
              <w:rPr>
                <w:b/>
                <w:bCs/>
                <w:color w:val="FFFFFF"/>
                <w:sz w:val="20"/>
                <w:szCs w:val="20"/>
              </w:rPr>
              <w:t xml:space="preserve">Gaps / Missing Context / Assumptions</w:t>
            </w:r>
          </w:p>
        </w:tc>
        <w:tc>
          <w:tcPr>
            <w:tcW w:type="dxa" w:w="1380"/>
            <w:tcBorders>
              <w:top w:val="single" w:color="1A3A5C" w:sz="10"/>
              <w:left w:val="single" w:color="1A3A5C" w:sz="10"/>
              <w:bottom w:val="single" w:color="1A3A5C" w:sz="10"/>
              <w:right w:val="single" w:color="1A3A5C" w:sz="10"/>
            </w:tcBorders>
            <w:shd w:fill="1A3A5C" w:val="clear"/>
            <w:vAlign w:val="center"/>
          </w:tcPr>
          <w:p>
            <w:pPr>
              <w:spacing w:after="80" w:before="80"/>
              <w:jc w:val="center"/>
            </w:pPr>
            <w:r>
              <w:rPr>
                <w:b/>
                <w:bCs/>
                <w:color w:val="FFFFFF"/>
                <w:sz w:val="20"/>
                <w:szCs w:val="20"/>
              </w:rPr>
              <w:t xml:space="preserve">Confidence &amp; Reason</w:t>
            </w:r>
          </w:p>
        </w:tc>
        <w:tc>
          <w:tcPr>
            <w:tcW w:type="dxa" w:w="1380"/>
            <w:tcBorders>
              <w:top w:val="single" w:color="1A3A5C" w:sz="10"/>
              <w:left w:val="single" w:color="1A3A5C" w:sz="10"/>
              <w:bottom w:val="single" w:color="1A3A5C" w:sz="10"/>
              <w:right w:val="single" w:color="1A3A5C" w:sz="10"/>
            </w:tcBorders>
            <w:shd w:fill="1A3A5C" w:val="clear"/>
            <w:vAlign w:val="center"/>
          </w:tcPr>
          <w:p>
            <w:pPr>
              <w:spacing w:after="80" w:before="80"/>
              <w:jc w:val="center"/>
            </w:pPr>
            <w:r>
              <w:rPr>
                <w:b/>
                <w:bCs/>
                <w:color w:val="FFFFFF"/>
                <w:sz w:val="20"/>
                <w:szCs w:val="20"/>
              </w:rPr>
              <w:t xml:space="preserve">Limitations — What Cannot Be Concluded</w:t>
            </w:r>
          </w:p>
        </w:tc>
      </w:tr>
      <w:tr>
        <w:tc>
          <w:tcPr>
            <w:tcW w:type="dxa" w:w="1800"/>
            <w:tcBorders>
              <w:top w:val="single" w:color="D5E3F0" w:sz="4"/>
              <w:left w:val="single" w:color="D5E3F0" w:sz="4"/>
              <w:bottom w:val="single" w:color="D5E3F0" w:sz="4"/>
              <w:right w:val="single" w:color="D5E3F0" w:sz="4"/>
            </w:tcBorders>
            <w:shd w:fill="F0F5FA" w:val="clear"/>
            <w:vAlign w:val="top"/>
          </w:tcPr>
          <w:p>
            <w:pPr>
              <w:spacing w:after="40" w:before="80"/>
            </w:pPr>
            <w:r>
              <w:rPr>
                <w:b/>
                <w:bCs/>
                <w:color w:val="1A3A5C"/>
                <w:sz w:val="20"/>
                <w:szCs w:val="20"/>
              </w:rPr>
              <w:t xml:space="preserve">1. USB Cables/Chargers: Best Entry Category</w:t>
            </w:r>
          </w:p>
          <w:p>
            <w:pPr>
              <w:spacing w:after="80" w:before="0"/>
            </w:pPr>
            <w:r>
              <w:rPr>
                <w:i/>
                <w:iCs/>
                <w:color w:val="444444"/>
                <w:sz w:val="19"/>
                <w:szCs w:val="19"/>
              </w:rPr>
              <w:t xml:space="preserve">$2.30B, 8.9% CAGR, highest ratings, most fragmented</w:t>
            </w:r>
          </w:p>
        </w:tc>
        <w:tc>
          <w:tcPr>
            <w:tcW w:type="dxa" w:w="1700"/>
            <w:tcBorders>
              <w:top w:val="single" w:color="D5E3F0" w:sz="4"/>
              <w:left w:val="single" w:color="D5E3F0" w:sz="4"/>
              <w:bottom w:val="single" w:color="D5E3F0" w:sz="4"/>
              <w:right w:val="single" w:color="D5E3F0" w:sz="4"/>
            </w:tcBorders>
            <w:shd w:fill="FFFFFF" w:val="clear"/>
            <w:vAlign w:val="top"/>
          </w:tcPr>
          <w:p>
            <w:pPr>
              <w:spacing w:after="40" w:before="80"/>
            </w:pPr>
            <w:r>
              <w:rPr>
                <w:b/>
                <w:bCs/>
                <w:sz w:val="19"/>
                <w:szCs w:val="19"/>
              </w:rPr>
              <w:t xml:space="preserve">392 listings, 97 brands</w:t>
            </w:r>
          </w:p>
          <w:p>
            <w:pPr>
              <w:spacing w:after="40" w:before="0"/>
            </w:pPr>
            <w:r>
              <w:rPr>
                <w:sz w:val="19"/>
                <w:szCs w:val="19"/>
              </w:rPr>
              <w:t xml:space="preserve">Mean rating: 4.17</w:t>
            </w:r>
          </w:p>
          <w:p>
            <w:pPr>
              <w:spacing w:after="40" w:before="0"/>
            </w:pPr>
            <w:r>
              <w:rPr>
                <w:sz w:val="19"/>
                <w:szCs w:val="19"/>
              </w:rPr>
              <w:t xml:space="preserve">Median price: ₹326</w:t>
            </w:r>
          </w:p>
          <w:p>
            <w:pPr>
              <w:spacing w:after="80" w:before="0"/>
            </w:pPr>
            <w:r>
              <w:rPr>
                <w:sz w:val="19"/>
                <w:szCs w:val="19"/>
              </w:rPr>
              <w:t xml:space="preserve">Median discount: 60.0%</w:t>
            </w:r>
          </w:p>
          <w:p>
            <w:pPr>
              <w:spacing w:after="80" w:before="0"/>
            </w:pPr>
            <w:r>
              <w:rPr>
                <w:sz w:val="19"/>
                <w:szCs w:val="19"/>
              </w:rPr>
              <w:t xml:space="preserve">Most fragmented sub-category by brand count</w:t>
            </w:r>
          </w:p>
        </w:tc>
        <w:tc>
          <w:tcPr>
            <w:tcW w:type="dxa" w:w="1600"/>
            <w:tcBorders>
              <w:top w:val="single" w:color="D5E3F0" w:sz="4"/>
              <w:left w:val="single" w:color="D5E3F0" w:sz="4"/>
              <w:bottom w:val="single" w:color="D5E3F0" w:sz="4"/>
              <w:right w:val="single" w:color="D5E3F0" w:sz="4"/>
            </w:tcBorders>
            <w:shd w:fill="FFFFFF" w:val="clear"/>
            <w:vAlign w:val="top"/>
          </w:tcPr>
          <w:p>
            <w:pPr>
              <w:spacing w:after="40" w:before="80"/>
            </w:pPr>
            <w:r>
              <w:rPr>
                <w:sz w:val="19"/>
                <w:szCs w:val="19"/>
              </w:rPr>
              <w:t xml:space="preserve">02a: USB charger market $2.30B in 2025, 8.9% CAGR 2026–2035 (Expert Market Research)</w:t>
            </w:r>
          </w:p>
          <w:p>
            <w:pPr>
              <w:spacing w:after="80" w:before="40"/>
            </w:pPr>
            <w:r>
              <w:rPr>
                <w:sz w:val="19"/>
                <w:szCs w:val="19"/>
              </w:rPr>
              <w:t xml:space="preserve">02c: 15% BCD + zero referral fee under ₹1,000</w:t>
            </w:r>
          </w:p>
        </w:tc>
        <w:tc>
          <w:tcPr>
            <w:tcW w:type="dxa" w:w="1500"/>
            <w:tcBorders>
              <w:top w:val="single" w:color="D5E3F0" w:sz="4"/>
              <w:left w:val="single" w:color="D5E3F0" w:sz="4"/>
              <w:bottom w:val="single" w:color="D5E3F0" w:sz="4"/>
              <w:right w:val="single" w:color="D5E3F0" w:sz="4"/>
            </w:tcBorders>
            <w:shd w:fill="FFFDF5" w:val="clear"/>
            <w:vAlign w:val="top"/>
          </w:tcPr>
          <w:p>
            <w:pPr>
              <w:spacing w:after="40" w:before="80"/>
            </w:pPr>
            <w:r>
              <w:rPr>
                <w:sz w:val="19"/>
                <w:szCs w:val="19"/>
              </w:rPr>
              <w:t xml:space="preserve">Market size from a single vendor report; no cross-validation with second source</w:t>
            </w:r>
          </w:p>
          <w:p>
            <w:pPr>
              <w:spacing w:after="40" w:before="40"/>
            </w:pPr>
            <w:r>
              <w:rPr>
                <w:sz w:val="19"/>
                <w:szCs w:val="19"/>
              </w:rPr>
              <w:t xml:space="preserve">Dataset shows listing count, not revenue</w:t>
            </w:r>
          </w:p>
          <w:p>
            <w:pPr>
              <w:spacing w:after="80" w:before="40"/>
            </w:pPr>
            <w:r>
              <w:rPr>
                <w:sz w:val="19"/>
                <w:szCs w:val="19"/>
              </w:rPr>
              <w:t xml:space="preserve">97 brands in sample ≠ total market fragmentation</w:t>
            </w:r>
          </w:p>
        </w:tc>
        <w:tc>
          <w:tcPr>
            <w:tcW w:type="dxa" w:w="1380"/>
            <w:tcBorders>
              <w:top w:val="single" w:color="D5E3F0" w:sz="4"/>
              <w:left w:val="single" w:color="D5E3F0" w:sz="4"/>
              <w:bottom w:val="single" w:color="D5E3F0" w:sz="4"/>
              <w:right w:val="single" w:color="D5E3F0" w:sz="4"/>
            </w:tcBorders>
            <w:shd w:fill="F0FBF4" w:val="clear"/>
            <w:vAlign w:val="top"/>
          </w:tcPr>
          <w:p>
            <w:pPr>
              <w:spacing w:after="60" w:before="80"/>
            </w:pPr>
            <w:r>
              <w:rPr>
                <w:b/>
                <w:bCs/>
                <w:color w:val="1A6B3C"/>
                <w:sz w:val="20"/>
                <w:szCs w:val="20"/>
              </w:rPr>
              <w:t xml:space="preserve">HIGH</w:t>
            </w:r>
          </w:p>
          <w:p>
            <w:pPr>
              <w:spacing w:after="80" w:before="0"/>
            </w:pPr>
            <w:r>
              <w:rPr>
                <w:color w:val="333333"/>
                <w:sz w:val="19"/>
                <w:szCs w:val="19"/>
              </w:rPr>
              <w:t xml:space="preserve">Dataset and external research directionally agree; largest sub-category (392 listings) and multiple structural signals align</w:t>
            </w:r>
          </w:p>
        </w:tc>
        <w:tc>
          <w:tcPr>
            <w:tcW w:type="dxa" w:w="1380"/>
            <w:tcBorders>
              <w:top w:val="single" w:color="D5E3F0" w:sz="4"/>
              <w:left w:val="single" w:color="D5E3F0" w:sz="4"/>
              <w:bottom w:val="single" w:color="D5E3F0" w:sz="4"/>
              <w:right w:val="single" w:color="D5E3F0" w:sz="4"/>
            </w:tcBorders>
            <w:shd w:fill="FFFFFF" w:val="clear"/>
            <w:vAlign w:val="top"/>
          </w:tcPr>
          <w:p>
            <w:pPr>
              <w:spacing w:after="40" w:before="80"/>
            </w:pPr>
            <w:r>
              <w:rPr>
                <w:sz w:val="19"/>
                <w:szCs w:val="19"/>
              </w:rPr>
              <w:t xml:space="preserve">Cannot conclude actual market share VoltEdge could capture, nor that fragmentation = easy entry</w:t>
            </w:r>
          </w:p>
          <w:p>
            <w:pPr>
              <w:spacing w:after="80" w:before="40"/>
            </w:pPr>
            <w:r>
              <w:rPr>
                <w:sz w:val="19"/>
                <w:szCs w:val="19"/>
              </w:rPr>
              <w:t xml:space="preserve">Dataset does not show sales velocity or conversion rates</w:t>
            </w:r>
          </w:p>
        </w:tc>
      </w:tr>
      <w:tr>
        <w:tc>
          <w:tcPr>
            <w:tcW w:type="dxa" w:w="1800"/>
            <w:tcBorders>
              <w:top w:val="single" w:color="D5E3F0" w:sz="4"/>
              <w:left w:val="single" w:color="D5E3F0" w:sz="4"/>
              <w:bottom w:val="single" w:color="D5E3F0" w:sz="4"/>
              <w:right w:val="single" w:color="D5E3F0" w:sz="4"/>
            </w:tcBorders>
            <w:shd w:fill="F0F5FA" w:val="clear"/>
            <w:vAlign w:val="top"/>
          </w:tcPr>
          <w:p>
            <w:pPr>
              <w:spacing w:after="40" w:before="80"/>
            </w:pPr>
            <w:r>
              <w:rPr>
                <w:b/>
                <w:bCs/>
                <w:color w:val="1A3A5C"/>
                <w:sz w:val="20"/>
                <w:szCs w:val="20"/>
              </w:rPr>
              <w:t xml:space="preserve">2. Earbuds/Headphones: Growing but Highly Competitive</w:t>
            </w:r>
          </w:p>
          <w:p>
            <w:pPr>
              <w:spacing w:after="80" w:before="0"/>
            </w:pPr>
            <w:r>
              <w:rPr>
                <w:i/>
                <w:iCs/>
                <w:color w:val="444444"/>
                <w:sz w:val="19"/>
                <w:szCs w:val="19"/>
              </w:rPr>
              <w:t xml:space="preserve">52% YoY in ₹1,500–₹2,000 band; quality gaps at 3.87–4.05 ratings</w:t>
            </w:r>
          </w:p>
        </w:tc>
        <w:tc>
          <w:tcPr>
            <w:tcW w:type="dxa" w:w="1700"/>
            <w:tcBorders>
              <w:top w:val="single" w:color="D5E3F0" w:sz="4"/>
              <w:left w:val="single" w:color="D5E3F0" w:sz="4"/>
              <w:bottom w:val="single" w:color="D5E3F0" w:sz="4"/>
              <w:right w:val="single" w:color="D5E3F0" w:sz="4"/>
            </w:tcBorders>
            <w:shd w:fill="FFFFFF" w:val="clear"/>
            <w:vAlign w:val="top"/>
          </w:tcPr>
          <w:p>
            <w:pPr>
              <w:spacing w:after="40" w:before="80"/>
            </w:pPr>
            <w:r>
              <w:rPr>
                <w:b/>
                <w:bCs/>
                <w:sz w:val="19"/>
                <w:szCs w:val="19"/>
              </w:rPr>
              <w:t xml:space="preserve">73 listings, 22 brands</w:t>
            </w:r>
          </w:p>
          <w:p>
            <w:pPr>
              <w:spacing w:after="40" w:before="0"/>
            </w:pPr>
            <w:r>
              <w:rPr>
                <w:sz w:val="19"/>
                <w:szCs w:val="19"/>
              </w:rPr>
              <w:t xml:space="preserve">boAt: 23 listings, 2.98M rating_count</w:t>
            </w:r>
          </w:p>
          <w:p>
            <w:pPr>
              <w:spacing w:after="40" w:before="0"/>
            </w:pPr>
            <w:r>
              <w:rPr>
                <w:sz w:val="19"/>
                <w:szCs w:val="19"/>
              </w:rPr>
              <w:t xml:space="preserve">Mean rating: 3.92 (lowest of 3 sub-categories)</w:t>
            </w:r>
          </w:p>
          <w:p>
            <w:pPr>
              <w:spacing w:after="80" w:before="0"/>
            </w:pPr>
            <w:r>
              <w:rPr>
                <w:sz w:val="19"/>
                <w:szCs w:val="19"/>
              </w:rPr>
              <w:t xml:space="preserve">Median price: ₹899 | Median discount: 62.0%</w:t>
            </w:r>
          </w:p>
        </w:tc>
        <w:tc>
          <w:tcPr>
            <w:tcW w:type="dxa" w:w="1600"/>
            <w:tcBorders>
              <w:top w:val="single" w:color="D5E3F0" w:sz="4"/>
              <w:left w:val="single" w:color="D5E3F0" w:sz="4"/>
              <w:bottom w:val="single" w:color="D5E3F0" w:sz="4"/>
              <w:right w:val="single" w:color="D5E3F0" w:sz="4"/>
            </w:tcBorders>
            <w:shd w:fill="FFFFFF" w:val="clear"/>
            <w:vAlign w:val="top"/>
          </w:tcPr>
          <w:p>
            <w:pPr>
              <w:spacing w:after="40" w:before="80"/>
            </w:pPr>
            <w:r>
              <w:rPr>
                <w:sz w:val="19"/>
                <w:szCs w:val="19"/>
              </w:rPr>
              <w:t xml:space="preserve">02a: TWS &gt;$1.3B in 2024, +1% in 2025 (Counterpoint)</w:t>
            </w:r>
          </w:p>
          <w:p>
            <w:pPr>
              <w:spacing w:after="40" w:before="40"/>
            </w:pPr>
            <w:r>
              <w:rPr>
                <w:sz w:val="19"/>
                <w:szCs w:val="19"/>
              </w:rPr>
              <w:t xml:space="preserve">02b: boAt 32.9% share; ₹1,500–₹2,000 band grew 52% YoY; ANC +24% YoY</w:t>
            </w:r>
          </w:p>
          <w:p>
            <w:pPr>
              <w:spacing w:after="80" w:before="40"/>
            </w:pPr>
            <w:r>
              <w:rPr>
                <w:sz w:val="19"/>
                <w:szCs w:val="19"/>
              </w:rPr>
              <w:t xml:space="preserve">Chinese brands at 16% share, growing 33% YoY</w:t>
            </w:r>
          </w:p>
        </w:tc>
        <w:tc>
          <w:tcPr>
            <w:tcW w:type="dxa" w:w="1500"/>
            <w:tcBorders>
              <w:top w:val="single" w:color="D5E3F0" w:sz="4"/>
              <w:left w:val="single" w:color="D5E3F0" w:sz="4"/>
              <w:bottom w:val="single" w:color="D5E3F0" w:sz="4"/>
              <w:right w:val="single" w:color="D5E3F0" w:sz="4"/>
            </w:tcBorders>
            <w:shd w:fill="FFFDF5" w:val="clear"/>
            <w:vAlign w:val="top"/>
          </w:tcPr>
          <w:p>
            <w:pPr>
              <w:spacing w:after="40" w:before="80"/>
            </w:pPr>
            <w:r>
              <w:rPr>
                <w:sz w:val="19"/>
                <w:szCs w:val="19"/>
              </w:rPr>
              <w:t xml:space="preserve">52% growth is for a specific price band, not whole category — easy to misread</w:t>
            </w:r>
          </w:p>
          <w:p>
            <w:pPr>
              <w:spacing w:after="40" w:before="40"/>
            </w:pPr>
            <w:r>
              <w:rPr>
                <w:sz w:val="19"/>
                <w:szCs w:val="19"/>
              </w:rPr>
              <w:t xml:space="preserve">73 listings is a small sample</w:t>
            </w:r>
          </w:p>
          <w:p>
            <w:pPr>
              <w:spacing w:after="80" w:before="40"/>
            </w:pPr>
            <w:r>
              <w:rPr>
                <w:sz w:val="19"/>
                <w:szCs w:val="19"/>
              </w:rPr>
              <w:t xml:space="preserve">Rating gap (3.87–4.05) is narrow; no mic/connectivity data in structured fields</w:t>
            </w:r>
          </w:p>
        </w:tc>
        <w:tc>
          <w:tcPr>
            <w:tcW w:type="dxa" w:w="1380"/>
            <w:tcBorders>
              <w:top w:val="single" w:color="D5E3F0" w:sz="4"/>
              <w:left w:val="single" w:color="D5E3F0" w:sz="4"/>
              <w:bottom w:val="single" w:color="D5E3F0" w:sz="4"/>
              <w:right w:val="single" w:color="D5E3F0" w:sz="4"/>
            </w:tcBorders>
            <w:shd w:fill="FFFDF0" w:val="clear"/>
            <w:vAlign w:val="top"/>
          </w:tcPr>
          <w:p>
            <w:pPr>
              <w:spacing w:after="60" w:before="80"/>
            </w:pPr>
            <w:r>
              <w:rPr>
                <w:b/>
                <w:bCs/>
                <w:color w:val="8B6914"/>
                <w:sz w:val="20"/>
                <w:szCs w:val="20"/>
              </w:rPr>
              <w:t xml:space="preserve">MEDIUM</w:t>
            </w:r>
          </w:p>
          <w:p>
            <w:pPr>
              <w:spacing w:after="80" w:before="0"/>
            </w:pPr>
            <w:r>
              <w:rPr>
                <w:color w:val="333333"/>
                <w:sz w:val="19"/>
                <w:szCs w:val="19"/>
              </w:rPr>
              <w:t xml:space="preserve">External research (Counterpoint) is strong, but dataset sample is thin (73 listings, 22 brands). Quality-gap claim rests on review text interpretation</w:t>
            </w:r>
          </w:p>
        </w:tc>
        <w:tc>
          <w:tcPr>
            <w:tcW w:type="dxa" w:w="1380"/>
            <w:tcBorders>
              <w:top w:val="single" w:color="D5E3F0" w:sz="4"/>
              <w:left w:val="single" w:color="D5E3F0" w:sz="4"/>
              <w:bottom w:val="single" w:color="D5E3F0" w:sz="4"/>
              <w:right w:val="single" w:color="D5E3F0" w:sz="4"/>
            </w:tcBorders>
            <w:shd w:fill="FFFFFF" w:val="clear"/>
            <w:vAlign w:val="top"/>
          </w:tcPr>
          <w:p>
            <w:pPr>
              <w:spacing w:after="40" w:before="80"/>
            </w:pPr>
            <w:r>
              <w:rPr>
                <w:sz w:val="19"/>
                <w:szCs w:val="19"/>
              </w:rPr>
              <w:t xml:space="preserve">Cannot conclude quality gaps are exploitable without brand equity</w:t>
            </w:r>
          </w:p>
          <w:p>
            <w:pPr>
              <w:spacing w:after="80" w:before="40"/>
            </w:pPr>
            <w:r>
              <w:rPr>
                <w:sz w:val="19"/>
                <w:szCs w:val="19"/>
              </w:rPr>
              <w:t xml:space="preserve">Cannot size the ₹1,500–₹2,000 opportunity from the dataset alone</w:t>
            </w:r>
          </w:p>
        </w:tc>
      </w:tr>
      <w:tr>
        <w:tc>
          <w:tcPr>
            <w:tcW w:type="dxa" w:w="1800"/>
            <w:tcBorders>
              <w:top w:val="single" w:color="D5E3F0" w:sz="4"/>
              <w:left w:val="single" w:color="D5E3F0" w:sz="4"/>
              <w:bottom w:val="single" w:color="D5E3F0" w:sz="4"/>
              <w:right w:val="single" w:color="D5E3F0" w:sz="4"/>
            </w:tcBorders>
            <w:shd w:fill="F0F5FA" w:val="clear"/>
            <w:vAlign w:val="top"/>
          </w:tcPr>
          <w:p>
            <w:pPr>
              <w:spacing w:after="40" w:before="80"/>
            </w:pPr>
            <w:r>
              <w:rPr>
                <w:b/>
                <w:bCs/>
                <w:color w:val="1A3A5C"/>
                <w:sz w:val="20"/>
                <w:szCs w:val="20"/>
              </w:rPr>
              <w:t xml:space="preserve">3. Smartwatches: Avoid — Contracting Category</w:t>
            </w:r>
          </w:p>
          <w:p>
            <w:pPr>
              <w:spacing w:after="80" w:before="0"/>
            </w:pPr>
            <w:r>
              <w:rPr>
                <w:i/>
                <w:iCs/>
                <w:color w:val="444444"/>
                <w:sz w:val="19"/>
                <w:szCs w:val="19"/>
              </w:rPr>
              <w:t xml:space="preserve">−43.9% revenue decline, 79.5% avg discount, eroded trust</w:t>
            </w:r>
          </w:p>
        </w:tc>
        <w:tc>
          <w:tcPr>
            <w:tcW w:type="dxa" w:w="1700"/>
            <w:tcBorders>
              <w:top w:val="single" w:color="D5E3F0" w:sz="4"/>
              <w:left w:val="single" w:color="D5E3F0" w:sz="4"/>
              <w:bottom w:val="single" w:color="D5E3F0" w:sz="4"/>
              <w:right w:val="single" w:color="D5E3F0" w:sz="4"/>
            </w:tcBorders>
            <w:shd w:fill="FFFFFF" w:val="clear"/>
            <w:vAlign w:val="top"/>
          </w:tcPr>
          <w:p>
            <w:pPr>
              <w:spacing w:after="40" w:before="80"/>
            </w:pPr>
            <w:r>
              <w:rPr>
                <w:b/>
                <w:bCs/>
                <w:sz w:val="19"/>
                <w:szCs w:val="19"/>
              </w:rPr>
              <w:t xml:space="preserve">76 listings, 13 brands</w:t>
            </w:r>
          </w:p>
          <w:p>
            <w:pPr>
              <w:spacing w:after="40" w:before="0"/>
            </w:pPr>
            <w:r>
              <w:rPr>
                <w:sz w:val="19"/>
                <w:szCs w:val="19"/>
              </w:rPr>
              <w:t xml:space="preserve">Median discount: 74.5%</w:t>
            </w:r>
          </w:p>
          <w:p>
            <w:pPr>
              <w:spacing w:after="40" w:before="0"/>
            </w:pPr>
            <w:r>
              <w:rPr>
                <w:sz w:val="19"/>
                <w:szCs w:val="19"/>
              </w:rPr>
              <w:t xml:space="preserve">Fire-Boltt avg discount: 79.5%</w:t>
            </w:r>
          </w:p>
          <w:p>
            <w:pPr>
              <w:spacing w:after="40" w:before="0"/>
            </w:pPr>
            <w:r>
              <w:rPr>
                <w:sz w:val="19"/>
                <w:szCs w:val="19"/>
              </w:rPr>
              <w:t xml:space="preserve">Mean rating: 4.03 (higher than earbuds)</w:t>
            </w:r>
          </w:p>
          <w:p>
            <w:pPr>
              <w:spacing w:after="80" w:before="0"/>
            </w:pPr>
            <w:r>
              <w:rPr>
                <w:sz w:val="19"/>
                <w:szCs w:val="19"/>
              </w:rPr>
              <w:t xml:space="preserve">boAt/Noise/Fire-Boltt dominate (64 of 76 listings)</w:t>
            </w:r>
          </w:p>
        </w:tc>
        <w:tc>
          <w:tcPr>
            <w:tcW w:type="dxa" w:w="1600"/>
            <w:tcBorders>
              <w:top w:val="single" w:color="D5E3F0" w:sz="4"/>
              <w:left w:val="single" w:color="D5E3F0" w:sz="4"/>
              <w:bottom w:val="single" w:color="D5E3F0" w:sz="4"/>
              <w:right w:val="single" w:color="D5E3F0" w:sz="4"/>
            </w:tcBorders>
            <w:shd w:fill="FFFFFF" w:val="clear"/>
            <w:vAlign w:val="top"/>
          </w:tcPr>
          <w:p>
            <w:pPr>
              <w:spacing w:after="40" w:before="80"/>
            </w:pPr>
            <w:r>
              <w:rPr>
                <w:sz w:val="19"/>
                <w:szCs w:val="19"/>
              </w:rPr>
              <w:t xml:space="preserve">02a: Revenue fell from $1.39B (2023) to $780M (2025) — IDC via Livemint</w:t>
            </w:r>
          </w:p>
          <w:p>
            <w:pPr>
              <w:spacing w:after="40" w:before="40"/>
            </w:pPr>
            <w:r>
              <w:rPr>
                <w:sz w:val="19"/>
                <w:szCs w:val="19"/>
              </w:rPr>
              <w:t xml:space="preserve">02b: Fire-Boltt share collapsed 30% → 9.7%; shipments −30% in 2024, −18% in 2025 (Counterpoint)</w:t>
            </w:r>
          </w:p>
          <w:p>
            <w:pPr>
              <w:spacing w:after="80" w:before="40"/>
            </w:pPr>
            <w:r>
              <w:rPr>
                <w:sz w:val="19"/>
                <w:szCs w:val="19"/>
              </w:rPr>
              <w:t xml:space="preserve">Premium segment &gt;₹15K surged 147%</w:t>
            </w:r>
          </w:p>
        </w:tc>
        <w:tc>
          <w:tcPr>
            <w:tcW w:type="dxa" w:w="1500"/>
            <w:tcBorders>
              <w:top w:val="single" w:color="D5E3F0" w:sz="4"/>
              <w:left w:val="single" w:color="D5E3F0" w:sz="4"/>
              <w:bottom w:val="single" w:color="D5E3F0" w:sz="4"/>
              <w:right w:val="single" w:color="D5E3F0" w:sz="4"/>
            </w:tcBorders>
            <w:shd w:fill="FFFDF5" w:val="clear"/>
            <w:vAlign w:val="top"/>
          </w:tcPr>
          <w:p>
            <w:pPr>
              <w:spacing w:after="40" w:before="80"/>
            </w:pPr>
            <w:r>
              <w:rPr>
                <w:sz w:val="19"/>
                <w:szCs w:val="19"/>
              </w:rPr>
              <w:t xml:space="preserve">"Avoid" assumes VoltEdge would enter budget segment; premium (+147%) tells different story</w:t>
            </w:r>
          </w:p>
          <w:p>
            <w:pPr>
              <w:spacing w:after="80" w:before="40"/>
            </w:pPr>
            <w:r>
              <w:rPr>
                <w:sz w:val="19"/>
                <w:szCs w:val="19"/>
              </w:rPr>
              <w:t xml:space="preserve">Dataset mean rating (4.03) is decent — "eroded trust" claim comes from external qualitative reports, not ratings data. 13 brands is a very small sample</w:t>
            </w:r>
          </w:p>
        </w:tc>
        <w:tc>
          <w:tcPr>
            <w:tcW w:type="dxa" w:w="1380"/>
            <w:tcBorders>
              <w:top w:val="single" w:color="D5E3F0" w:sz="4"/>
              <w:left w:val="single" w:color="D5E3F0" w:sz="4"/>
              <w:bottom w:val="single" w:color="D5E3F0" w:sz="4"/>
              <w:right w:val="single" w:color="D5E3F0" w:sz="4"/>
            </w:tcBorders>
            <w:shd w:fill="F0FBF4" w:val="clear"/>
            <w:vAlign w:val="top"/>
          </w:tcPr>
          <w:p>
            <w:pPr>
              <w:spacing w:after="60" w:before="80"/>
            </w:pPr>
            <w:r>
              <w:rPr>
                <w:b/>
                <w:bCs/>
                <w:color w:val="1A6B3C"/>
                <w:sz w:val="20"/>
                <w:szCs w:val="20"/>
              </w:rPr>
              <w:t xml:space="preserve">HIGH</w:t>
            </w:r>
          </w:p>
          <w:p>
            <w:pPr>
              <w:spacing w:after="80" w:before="0"/>
            </w:pPr>
            <w:r>
              <w:rPr>
                <w:color w:val="333333"/>
                <w:sz w:val="19"/>
                <w:szCs w:val="19"/>
              </w:rPr>
              <w:t xml:space="preserve">Dataset (extreme discounts, concentrated brands) and multiple external sources (Counterpoint, IDC, Livemint) strongly agree on contraction</w:t>
            </w:r>
          </w:p>
        </w:tc>
        <w:tc>
          <w:tcPr>
            <w:tcW w:type="dxa" w:w="1380"/>
            <w:tcBorders>
              <w:top w:val="single" w:color="D5E3F0" w:sz="4"/>
              <w:left w:val="single" w:color="D5E3F0" w:sz="4"/>
              <w:bottom w:val="single" w:color="D5E3F0" w:sz="4"/>
              <w:right w:val="single" w:color="D5E3F0" w:sz="4"/>
            </w:tcBorders>
            <w:shd w:fill="FFFFFF" w:val="clear"/>
            <w:vAlign w:val="top"/>
          </w:tcPr>
          <w:p>
            <w:pPr>
              <w:spacing w:after="40" w:before="80"/>
            </w:pPr>
            <w:r>
              <w:rPr>
                <w:sz w:val="19"/>
                <w:szCs w:val="19"/>
              </w:rPr>
              <w:t xml:space="preserve">Cannot conclude the premium segment is also unattractive</w:t>
            </w:r>
          </w:p>
          <w:p>
            <w:pPr>
              <w:spacing w:after="80" w:before="40"/>
            </w:pPr>
            <w:r>
              <w:rPr>
                <w:sz w:val="19"/>
                <w:szCs w:val="19"/>
              </w:rPr>
              <w:t xml:space="preserve">Cannot conclude category won't recover — ASPs rising for first time since 2019</w:t>
            </w:r>
          </w:p>
        </w:tc>
      </w:tr>
      <w:tr>
        <w:tc>
          <w:tcPr>
            <w:tcW w:type="dxa" w:w="1800"/>
            <w:tcBorders>
              <w:top w:val="single" w:color="D5E3F0" w:sz="4"/>
              <w:left w:val="single" w:color="D5E3F0" w:sz="4"/>
              <w:bottom w:val="single" w:color="D5E3F0" w:sz="4"/>
              <w:right w:val="single" w:color="D5E3F0" w:sz="4"/>
            </w:tcBorders>
            <w:shd w:fill="F0F5FA" w:val="clear"/>
            <w:vAlign w:val="top"/>
          </w:tcPr>
          <w:p>
            <w:pPr>
              <w:spacing w:after="40" w:before="80"/>
            </w:pPr>
            <w:r>
              <w:rPr>
                <w:b/>
                <w:bCs/>
                <w:color w:val="1A3A5C"/>
                <w:sz w:val="20"/>
                <w:szCs w:val="20"/>
              </w:rPr>
              <w:t xml:space="preserve">4. Tier-2/3 Cities Drive 65% of Orders</w:t>
            </w:r>
          </w:p>
          <w:p>
            <w:pPr>
              <w:spacing w:after="80" w:before="0"/>
            </w:pPr>
            <w:r>
              <w:rPr>
                <w:i/>
                <w:iCs/>
                <w:color w:val="444444"/>
                <w:sz w:val="19"/>
                <w:szCs w:val="19"/>
              </w:rPr>
              <w:t xml:space="preserve">Only 4% online penetration; major growth runway</w:t>
            </w:r>
          </w:p>
        </w:tc>
        <w:tc>
          <w:tcPr>
            <w:tcW w:type="dxa" w:w="1700"/>
            <w:tcBorders>
              <w:top w:val="single" w:color="D5E3F0" w:sz="4"/>
              <w:left w:val="single" w:color="D5E3F0" w:sz="4"/>
              <w:bottom w:val="single" w:color="D5E3F0" w:sz="4"/>
              <w:right w:val="single" w:color="D5E3F0" w:sz="4"/>
            </w:tcBorders>
            <w:shd w:fill="F8F8F8" w:val="clear"/>
            <w:vAlign w:val="top"/>
          </w:tcPr>
          <w:p>
            <w:pPr>
              <w:spacing w:after="80" w:before="80"/>
            </w:pPr>
            <w:r>
              <w:rPr>
                <w:i/>
                <w:iCs/>
                <w:color w:val="666666"/>
                <w:sz w:val="19"/>
                <w:szCs w:val="19"/>
              </w:rPr>
              <w:t xml:space="preserve">Not directly observable in dataset. No geographic data fields in amazon.csv.</w:t>
            </w:r>
          </w:p>
        </w:tc>
        <w:tc>
          <w:tcPr>
            <w:tcW w:type="dxa" w:w="1600"/>
            <w:tcBorders>
              <w:top w:val="single" w:color="D5E3F0" w:sz="4"/>
              <w:left w:val="single" w:color="D5E3F0" w:sz="4"/>
              <w:bottom w:val="single" w:color="D5E3F0" w:sz="4"/>
              <w:right w:val="single" w:color="D5E3F0" w:sz="4"/>
            </w:tcBorders>
            <w:shd w:fill="FFFFFF" w:val="clear"/>
            <w:vAlign w:val="top"/>
          </w:tcPr>
          <w:p>
            <w:pPr>
              <w:spacing w:after="40" w:before="80"/>
            </w:pPr>
            <w:r>
              <w:rPr>
                <w:sz w:val="19"/>
                <w:szCs w:val="19"/>
              </w:rPr>
              <w:t xml:space="preserve">02a: &gt;65% of Amazon India CE orders from tier-2/3 (Moneycontrol)</w:t>
            </w:r>
          </w:p>
          <w:p>
            <w:pPr>
              <w:spacing w:after="40" w:before="40"/>
            </w:pPr>
            <w:r>
              <w:rPr>
                <w:sz w:val="19"/>
                <w:szCs w:val="19"/>
              </w:rPr>
              <w:t xml:space="preserve">Online penetration ~4% in non-metro (ET Retail)</w:t>
            </w:r>
          </w:p>
          <w:p>
            <w:pPr>
              <w:spacing w:after="80" w:before="40"/>
            </w:pPr>
            <w:r>
              <w:rPr>
                <w:sz w:val="19"/>
                <w:szCs w:val="19"/>
              </w:rPr>
              <w:t xml:space="preserve">64% of online shoppers by FY2030 (BW Marketing)</w:t>
            </w:r>
          </w:p>
        </w:tc>
        <w:tc>
          <w:tcPr>
            <w:tcW w:type="dxa" w:w="1500"/>
            <w:tcBorders>
              <w:top w:val="single" w:color="D5E3F0" w:sz="4"/>
              <w:left w:val="single" w:color="D5E3F0" w:sz="4"/>
              <w:bottom w:val="single" w:color="D5E3F0" w:sz="4"/>
              <w:right w:val="single" w:color="D5E3F0" w:sz="4"/>
            </w:tcBorders>
            <w:shd w:fill="FFFDF5" w:val="clear"/>
            <w:vAlign w:val="top"/>
          </w:tcPr>
          <w:p>
            <w:pPr>
              <w:spacing w:after="40" w:before="80"/>
            </w:pPr>
            <w:r>
              <w:rPr>
                <w:sz w:val="19"/>
                <w:szCs w:val="19"/>
              </w:rPr>
              <w:t xml:space="preserve">65% figure is Amazon's self-reported claim (potential PR bias)</w:t>
            </w:r>
          </w:p>
          <w:p>
            <w:pPr>
              <w:spacing w:after="80" w:before="40"/>
            </w:pPr>
            <w:r>
              <w:rPr>
                <w:sz w:val="19"/>
                <w:szCs w:val="19"/>
              </w:rPr>
              <w:t xml:space="preserve">"4% penetration" definition unclear (GMV-based? user-based?). Dataset provides zero corroboration.</w:t>
            </w:r>
          </w:p>
        </w:tc>
        <w:tc>
          <w:tcPr>
            <w:tcW w:type="dxa" w:w="1380"/>
            <w:tcBorders>
              <w:top w:val="single" w:color="D5E3F0" w:sz="4"/>
              <w:left w:val="single" w:color="D5E3F0" w:sz="4"/>
              <w:bottom w:val="single" w:color="D5E3F0" w:sz="4"/>
              <w:right w:val="single" w:color="D5E3F0" w:sz="4"/>
            </w:tcBorders>
            <w:shd w:fill="FFFDF0" w:val="clear"/>
            <w:vAlign w:val="top"/>
          </w:tcPr>
          <w:p>
            <w:pPr>
              <w:spacing w:after="60" w:before="80"/>
            </w:pPr>
            <w:r>
              <w:rPr>
                <w:b/>
                <w:bCs/>
                <w:color w:val="8B6914"/>
                <w:sz w:val="20"/>
                <w:szCs w:val="20"/>
              </w:rPr>
              <w:t xml:space="preserve">MEDIUM</w:t>
            </w:r>
          </w:p>
          <w:p>
            <w:pPr>
              <w:spacing w:after="80" w:before="0"/>
            </w:pPr>
            <w:r>
              <w:rPr>
                <w:color w:val="333333"/>
                <w:sz w:val="19"/>
                <w:szCs w:val="19"/>
              </w:rPr>
              <w:t xml:space="preserve">Single strong external source (Amazon India VP quote), but no dataset corroboration and potential self-serving bias</w:t>
            </w:r>
          </w:p>
        </w:tc>
        <w:tc>
          <w:tcPr>
            <w:tcW w:type="dxa" w:w="1380"/>
            <w:tcBorders>
              <w:top w:val="single" w:color="D5E3F0" w:sz="4"/>
              <w:left w:val="single" w:color="D5E3F0" w:sz="4"/>
              <w:bottom w:val="single" w:color="D5E3F0" w:sz="4"/>
              <w:right w:val="single" w:color="D5E3F0" w:sz="4"/>
            </w:tcBorders>
            <w:shd w:fill="FFFFFF" w:val="clear"/>
            <w:vAlign w:val="top"/>
          </w:tcPr>
          <w:p>
            <w:pPr>
              <w:spacing w:after="40" w:before="80"/>
            </w:pPr>
            <w:r>
              <w:rPr>
                <w:sz w:val="19"/>
                <w:szCs w:val="19"/>
              </w:rPr>
              <w:t xml:space="preserve">Cannot conclude tier-2/3 demand translates to VoltEdge's specific categories</w:t>
            </w:r>
          </w:p>
          <w:p>
            <w:pPr>
              <w:spacing w:after="80" w:before="40"/>
            </w:pPr>
            <w:r>
              <w:rPr>
                <w:sz w:val="19"/>
                <w:szCs w:val="19"/>
              </w:rPr>
              <w:t xml:space="preserve">Cannot validate the 4% penetration figure independently</w:t>
            </w:r>
          </w:p>
        </w:tc>
      </w:tr>
      <w:tr>
        <w:tc>
          <w:tcPr>
            <w:tcW w:type="dxa" w:w="1800"/>
            <w:tcBorders>
              <w:top w:val="single" w:color="D5E3F0" w:sz="4"/>
              <w:left w:val="single" w:color="D5E3F0" w:sz="4"/>
              <w:bottom w:val="single" w:color="D5E3F0" w:sz="4"/>
              <w:right w:val="single" w:color="D5E3F0" w:sz="4"/>
            </w:tcBorders>
            <w:shd w:fill="F0F5FA" w:val="clear"/>
            <w:vAlign w:val="top"/>
          </w:tcPr>
          <w:p>
            <w:pPr>
              <w:spacing w:after="40" w:before="80"/>
            </w:pPr>
            <w:r>
              <w:rPr>
                <w:b/>
                <w:bCs/>
                <w:color w:val="1A3A5C"/>
                <w:sz w:val="20"/>
                <w:szCs w:val="20"/>
              </w:rPr>
              <w:t xml:space="preserve">5. Regulatory/Cost Stack Consumes 30–40% of Selling Price</w:t>
            </w:r>
          </w:p>
          <w:p>
            <w:pPr>
              <w:spacing w:after="80" w:before="0"/>
            </w:pPr>
            <w:r>
              <w:rPr>
                <w:i/>
                <w:iCs/>
                <w:color w:val="444444"/>
                <w:sz w:val="19"/>
                <w:szCs w:val="19"/>
              </w:rPr>
              <w:t xml:space="preserve">BIS ₹28K–65K/SKU, import duties 16.5–22%, FDI setup $10K–$50K</w:t>
            </w:r>
          </w:p>
        </w:tc>
        <w:tc>
          <w:tcPr>
            <w:tcW w:type="dxa" w:w="1700"/>
            <w:tcBorders>
              <w:top w:val="single" w:color="D5E3F0" w:sz="4"/>
              <w:left w:val="single" w:color="D5E3F0" w:sz="4"/>
              <w:bottom w:val="single" w:color="D5E3F0" w:sz="4"/>
              <w:right w:val="single" w:color="D5E3F0" w:sz="4"/>
            </w:tcBorders>
            <w:shd w:fill="F8F8F8" w:val="clear"/>
            <w:vAlign w:val="top"/>
          </w:tcPr>
          <w:p>
            <w:pPr>
              <w:spacing w:after="80" w:before="80"/>
            </w:pPr>
            <w:r>
              <w:rPr>
                <w:i/>
                <w:iCs/>
                <w:color w:val="666666"/>
                <w:sz w:val="19"/>
                <w:szCs w:val="19"/>
              </w:rPr>
              <w:t xml:space="preserve">Not in dataset. No regulatory or cost fields in amazon.csv.</w:t>
            </w:r>
          </w:p>
        </w:tc>
        <w:tc>
          <w:tcPr>
            <w:tcW w:type="dxa" w:w="1600"/>
            <w:tcBorders>
              <w:top w:val="single" w:color="D5E3F0" w:sz="4"/>
              <w:left w:val="single" w:color="D5E3F0" w:sz="4"/>
              <w:bottom w:val="single" w:color="D5E3F0" w:sz="4"/>
              <w:right w:val="single" w:color="D5E3F0" w:sz="4"/>
            </w:tcBorders>
            <w:shd w:fill="FFFFFF" w:val="clear"/>
            <w:vAlign w:val="top"/>
          </w:tcPr>
          <w:p>
            <w:pPr>
              <w:spacing w:after="40" w:before="80"/>
            </w:pPr>
            <w:r>
              <w:rPr>
                <w:sz w:val="19"/>
                <w:szCs w:val="19"/>
              </w:rPr>
              <w:t xml:space="preserve">02c: BCD 15–20%, SWS 10% of BCD, IGST 18% (reclaimable)</w:t>
            </w:r>
          </w:p>
          <w:p>
            <w:pPr>
              <w:spacing w:after="40" w:before="40"/>
            </w:pPr>
            <w:r>
              <w:rPr>
                <w:sz w:val="19"/>
                <w:szCs w:val="19"/>
              </w:rPr>
              <w:t xml:space="preserve">BIS CRS: ₹28K–65K per model, 20–40 working days</w:t>
            </w:r>
          </w:p>
          <w:p>
            <w:pPr>
              <w:spacing w:after="40" w:before="40"/>
            </w:pPr>
            <w:r>
              <w:rPr>
                <w:sz w:val="19"/>
                <w:szCs w:val="19"/>
              </w:rPr>
              <w:t xml:space="preserve">FDI entity: $10K–$50K, 2–4 months</w:t>
            </w:r>
          </w:p>
          <w:p>
            <w:pPr>
              <w:spacing w:after="80" w:before="40"/>
            </w:pPr>
            <w:r>
              <w:rPr>
                <w:sz w:val="19"/>
                <w:szCs w:val="19"/>
              </w:rPr>
              <w:t xml:space="preserve">Amazon fees: 10–20% cumulative. Sources: govt tariff schedules, BIS Act, Amazon seller docs</w:t>
            </w:r>
          </w:p>
        </w:tc>
        <w:tc>
          <w:tcPr>
            <w:tcW w:type="dxa" w:w="1500"/>
            <w:tcBorders>
              <w:top w:val="single" w:color="D5E3F0" w:sz="4"/>
              <w:left w:val="single" w:color="D5E3F0" w:sz="4"/>
              <w:bottom w:val="single" w:color="D5E3F0" w:sz="4"/>
              <w:right w:val="single" w:color="D5E3F0" w:sz="4"/>
            </w:tcBorders>
            <w:shd w:fill="FFFDF5" w:val="clear"/>
            <w:vAlign w:val="top"/>
          </w:tcPr>
          <w:p>
            <w:pPr>
              <w:spacing w:after="40" w:before="80"/>
            </w:pPr>
            <w:r>
              <w:rPr>
                <w:sz w:val="19"/>
                <w:szCs w:val="19"/>
              </w:rPr>
              <w:t xml:space="preserve">"30–40%" is a compounded estimate across multiple fee layers — exact figure depends on product price, weight, return rate, and entity structure</w:t>
            </w:r>
          </w:p>
          <w:p>
            <w:pPr>
              <w:spacing w:after="80" w:before="40"/>
            </w:pPr>
            <w:r>
              <w:rPr>
                <w:sz w:val="19"/>
                <w:szCs w:val="19"/>
              </w:rPr>
              <w:t xml:space="preserve">IGST is reclaimable (reducing net duty to 16.5–22%). Tariff rates change annually via Union Budget</w:t>
            </w:r>
          </w:p>
        </w:tc>
        <w:tc>
          <w:tcPr>
            <w:tcW w:type="dxa" w:w="1380"/>
            <w:tcBorders>
              <w:top w:val="single" w:color="D5E3F0" w:sz="4"/>
              <w:left w:val="single" w:color="D5E3F0" w:sz="4"/>
              <w:bottom w:val="single" w:color="D5E3F0" w:sz="4"/>
              <w:right w:val="single" w:color="D5E3F0" w:sz="4"/>
            </w:tcBorders>
            <w:shd w:fill="EEF4FF" w:val="clear"/>
            <w:vAlign w:val="top"/>
          </w:tcPr>
          <w:p>
            <w:pPr>
              <w:spacing w:after="60" w:before="80"/>
            </w:pPr>
            <w:r>
              <w:rPr>
                <w:b/>
                <w:bCs/>
                <w:color w:val="2E5FA3"/>
                <w:sz w:val="20"/>
                <w:szCs w:val="20"/>
              </w:rPr>
              <w:t xml:space="preserve">MEDIUM–HIGH</w:t>
            </w:r>
          </w:p>
          <w:p>
            <w:pPr>
              <w:spacing w:after="80" w:before="0"/>
            </w:pPr>
            <w:r>
              <w:rPr>
                <w:color w:val="333333"/>
                <w:sz w:val="19"/>
                <w:szCs w:val="19"/>
              </w:rPr>
              <w:t xml:space="preserve">Government sources and platform documentation are reliable, but the 30–40% range is wide and scenario-dependent. No VoltEdge-specific landed-cost model exists.</w:t>
            </w:r>
          </w:p>
        </w:tc>
        <w:tc>
          <w:tcPr>
            <w:tcW w:type="dxa" w:w="1380"/>
            <w:tcBorders>
              <w:top w:val="single" w:color="D5E3F0" w:sz="4"/>
              <w:left w:val="single" w:color="D5E3F0" w:sz="4"/>
              <w:bottom w:val="single" w:color="D5E3F0" w:sz="4"/>
              <w:right w:val="single" w:color="D5E3F0" w:sz="4"/>
            </w:tcBorders>
            <w:shd w:fill="FFFFFF" w:val="clear"/>
            <w:vAlign w:val="top"/>
          </w:tcPr>
          <w:p>
            <w:pPr>
              <w:spacing w:after="40" w:before="80"/>
            </w:pPr>
            <w:r>
              <w:rPr>
                <w:sz w:val="19"/>
                <w:szCs w:val="19"/>
              </w:rPr>
              <w:t xml:space="preserve">Cannot conclude exact margin erosion without VoltEdge's actual COGS, shipping costs, and return rates</w:t>
            </w:r>
          </w:p>
          <w:p>
            <w:pPr>
              <w:spacing w:after="80" w:before="40"/>
            </w:pPr>
            <w:r>
              <w:rPr>
                <w:sz w:val="19"/>
                <w:szCs w:val="19"/>
              </w:rPr>
              <w:t xml:space="preserve">Tariff rates may change in Budget 2027</w:t>
            </w:r>
          </w:p>
        </w:tc>
      </w:tr>
    </w:tbl>
    <w:p>
      <w:pPr>
        <w:spacing w:after="100" w:before="100"/>
      </w:pPr>
    </w:p>
    <w:p>
      <w:pPr>
        <w:pBdr>
          <w:bottom w:val="single" w:color="B8C9E1" w:sz="6"/>
        </w:pBdr>
        <w:spacing w:after="200" w:before="80"/>
      </w:pPr>
    </w:p>
    <w:p>
      <w:pPr>
        <w:spacing w:after="80" w:before="360"/>
      </w:pPr>
      <w:r>
        <w:rPr>
          <w:b/>
          <w:bCs/>
          <w:caps/>
          <w:color w:val="2E5FA3"/>
          <w:sz w:val="20"/>
          <w:szCs w:val="20"/>
        </w:rPr>
        <w:t xml:space="preserve">SECTION 2  </w:t>
      </w:r>
      <w:r>
        <w:rPr>
          <w:b/>
          <w:bCs/>
          <w:color w:val="1A3A5C"/>
          <w:sz w:val="32"/>
          <w:szCs w:val="32"/>
        </w:rPr>
        <w:t xml:space="preserve">Source-Level Limitations</w:t>
      </w:r>
    </w:p>
    <w:p>
      <w:pPr>
        <w:pStyle w:val="BodyText"/>
        <w:spacing w:after="200" w:before="0"/>
      </w:pPr>
      <w:r>
        <w:rPr>
          <w:sz w:val="22"/>
          <w:szCs w:val="22"/>
        </w:rPr>
        <w:t xml:space="preserve">This section documents the inherent constraints of both evidence streams. These limitations do not invalidate the analysis but define the precision with which quantitative claims can be treated.</w:t>
      </w:r>
    </w:p>
    <w:p>
      <w:pPr>
        <w:pStyle w:val="Heading2"/>
      </w:pPr>
      <w:r>
        <w:rPr>
          <w:b/>
          <w:bCs/>
          <w:color w:val="2E5FA3"/>
          <w:sz w:val="26"/>
          <w:szCs w:val="26"/>
        </w:rPr>
        <w:t xml:space="preserve">(a) Dataset-Level Limitations</w:t>
      </w:r>
    </w:p>
    <w:p>
      <w:pPr>
        <w:spacing w:after="120" w:before="0"/>
      </w:pPr>
      <w:r>
        <w:rPr>
          <w:b/>
          <w:bCs/>
          <w:color w:val="1A3A5C"/>
          <w:sz w:val="22"/>
          <w:szCs w:val="22"/>
        </w:rPr>
        <w:t xml:space="preserve">Source: </w:t>
      </w:r>
      <w:r>
        <w:rPr>
          <w:color w:val="333333"/>
          <w:sz w:val="22"/>
          <w:szCs w:val="22"/>
        </w:rPr>
        <w:t xml:space="preserve">amazon.csv — 1,465 Amazon India Electronics &amp; Computers/Accessories listings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2E5FA3"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1A3A5C"/>
                <w:sz w:val="22"/>
                <w:szCs w:val="22"/>
              </w:rPr>
              <w:t xml:space="preserve">1. Snapshot date unknown</w:t>
            </w:r>
          </w:p>
          <w:p>
            <w:pPr>
              <w:spacing w:after="120" w:before="0"/>
            </w:pPr>
            <w:r>
              <w:rPr>
                <w:color w:val="333333"/>
                <w:sz w:val="21"/>
                <w:szCs w:val="21"/>
              </w:rPr>
              <w:t xml:space="preserve">amazon.csv contains no date column. URL query strings reference qid=1672909124 (epoch ≈ Jan 2023), suggesting the scrape is approximately 3.5 years old. All pricing, ratings, and review data reflect a single frozen moment — not current conditions. Prices, competitive rankings, and discount structures will have materially changed.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2E5FA3"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1A3A5C"/>
                <w:sz w:val="22"/>
                <w:szCs w:val="22"/>
              </w:rPr>
              <w:t xml:space="preserve">2. Sample ≠ census</w:t>
            </w:r>
          </w:p>
          <w:p>
            <w:pPr>
              <w:spacing w:after="120" w:before="0"/>
            </w:pPr>
            <w:r>
              <w:rPr>
                <w:color w:val="333333"/>
                <w:sz w:val="21"/>
                <w:szCs w:val="21"/>
              </w:rPr>
              <w:t xml:space="preserve">1,465 rows / 1,351 unique products across all categories. The focus sub-categories contain only 392 (cables/chargers), 73 (earbuds), and 76 (smartwatches) listings — far from the tens of thousands of live SKUs on Amazon India. Sub-category conclusions based on 73–76 listings carry meaningful sampling error.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2E5FA3"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1A3A5C"/>
                <w:sz w:val="22"/>
                <w:szCs w:val="22"/>
              </w:rPr>
              <w:t xml:space="preserve">3. Scraping / selection bias</w:t>
            </w:r>
          </w:p>
          <w:p>
            <w:pPr>
              <w:spacing w:after="120" w:before="0"/>
            </w:pPr>
            <w:r>
              <w:rPr>
                <w:color w:val="333333"/>
                <w:sz w:val="21"/>
                <w:szCs w:val="21"/>
              </w:rPr>
              <w:t xml:space="preserve">The dataset appears drawn from search-result pages (sr_1_1, sr_1_2, etc.), meaning it over-represents top-ranked, high-visibility products and under-represents long-tail sellers. This inflates average ratings and rating_counts relative to the true market distribution.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2E5FA3"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1A3A5C"/>
                <w:sz w:val="22"/>
                <w:szCs w:val="22"/>
              </w:rPr>
              <w:t xml:space="preserve">4. Text-formatted prices</w:t>
            </w:r>
          </w:p>
          <w:p>
            <w:pPr>
              <w:spacing w:after="120" w:before="0"/>
            </w:pPr>
            <w:r>
              <w:rPr>
                <w:color w:val="333333"/>
                <w:sz w:val="21"/>
                <w:szCs w:val="21"/>
              </w:rPr>
              <w:t xml:space="preserve">Prices are stored as strings with ₹ symbols and commas (e.g., "₹20,999"). Any analysis requires parsing; errors in parsing could silently corrupt price-band analysis. Verified during analysis but introduces a reproducibility risk.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2E5FA3"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1A3A5C"/>
                <w:sz w:val="22"/>
                <w:szCs w:val="22"/>
              </w:rPr>
              <w:t xml:space="preserve">5. Brand parsing heuristic</w:t>
            </w:r>
          </w:p>
          <w:p>
            <w:pPr>
              <w:spacing w:after="120" w:before="0"/>
            </w:pPr>
            <w:r>
              <w:rPr>
                <w:color w:val="333333"/>
                <w:sz w:val="21"/>
                <w:szCs w:val="21"/>
              </w:rPr>
              <w:t xml:space="preserve">Brand = first word of product_name. This works for "boAt", "Samsung", "JBL" but fails for multi-word brands and private-label names. "AmazonBasics" vs. "Amazon" are counted as separate brands, artificially fragmenting that brand's count.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2E5FA3"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1A3A5C"/>
                <w:sz w:val="22"/>
                <w:szCs w:val="22"/>
              </w:rPr>
              <w:t xml:space="preserve">6. rating_count is a traction proxy, not sales</w:t>
            </w:r>
          </w:p>
          <w:p>
            <w:pPr>
              <w:spacing w:after="120" w:before="0"/>
            </w:pPr>
            <w:r>
              <w:rPr>
                <w:color w:val="333333"/>
                <w:sz w:val="21"/>
                <w:szCs w:val="21"/>
              </w:rPr>
              <w:t xml:space="preserve">A product with 92,595 reviews is not proven to have sold 92,595 units. Review rates vary by category (1–5% of buyers review). rating_count cannot be used to calculate market share or revenue with any precision.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2E5FA3"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1A3A5C"/>
                <w:sz w:val="22"/>
                <w:szCs w:val="22"/>
              </w:rPr>
              <w:t xml:space="preserve">7. No temporal dimension</w:t>
            </w:r>
          </w:p>
          <w:p>
            <w:pPr>
              <w:spacing w:after="120" w:before="0"/>
            </w:pPr>
            <w:r>
              <w:rPr>
                <w:color w:val="333333"/>
                <w:sz w:val="21"/>
                <w:szCs w:val="21"/>
              </w:rPr>
              <w:t xml:space="preserve">Cannot observe trends, seasonality, or growth rates from a single snapshot. All dynamic claims (growth rates, YoY changes, emerging categories) rely entirely on external Quick Research sources, not on the dataset.</w:t>
            </w:r>
          </w:p>
        </w:tc>
      </w:tr>
    </w:tbl>
    <w:p>
      <w:pPr>
        <w:spacing w:after="80" w:before="0"/>
      </w:pPr>
    </w:p>
    <w:p>
      <w:pPr>
        <w:pStyle w:val="Heading2"/>
      </w:pPr>
      <w:r>
        <w:rPr>
          <w:b/>
          <w:bCs/>
          <w:color w:val="2E5FA3"/>
          <w:sz w:val="26"/>
          <w:szCs w:val="26"/>
        </w:rPr>
        <w:t xml:space="preserve">(b) Research-Level Limitations</w:t>
      </w:r>
    </w:p>
    <w:p>
      <w:pPr>
        <w:spacing w:after="120" w:before="0"/>
      </w:pPr>
      <w:r>
        <w:rPr>
          <w:b/>
          <w:bCs/>
          <w:color w:val="1A3A5C"/>
          <w:sz w:val="22"/>
          <w:szCs w:val="22"/>
        </w:rPr>
        <w:t xml:space="preserve">Sources: </w:t>
      </w:r>
      <w:r>
        <w:rPr>
          <w:color w:val="333333"/>
          <w:sz w:val="22"/>
          <w:szCs w:val="22"/>
        </w:rPr>
        <w:t xml:space="preserve">Quick Research reports 02a_QR_Market_Trends, 02b_QR_Competitors, 02c_QR_Risks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4A6FA5"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2E5FA3"/>
                <w:sz w:val="22"/>
                <w:szCs w:val="22"/>
              </w:rPr>
              <w:t xml:space="preserve">Source recency varies</w:t>
            </w:r>
          </w:p>
          <w:p>
            <w:pPr>
              <w:spacing w:after="120" w:before="0"/>
            </w:pPr>
            <w:r>
              <w:rPr>
                <w:color w:val="333333"/>
                <w:sz w:val="21"/>
                <w:szCs w:val="21"/>
              </w:rPr>
              <w:t xml:space="preserve">Reports cite data from 2022–2026. Some market-size figures (e.g., power bank market valued in 2023) are 3+ years old. The USB charger $2.30B figure is from Expert Market Research (a vendor report), not a government statistical agency.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4A6FA5"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2E5FA3"/>
                <w:sz w:val="22"/>
                <w:szCs w:val="22"/>
              </w:rPr>
              <w:t xml:space="preserve">Vendor-published market sizes</w:t>
            </w:r>
          </w:p>
          <w:p>
            <w:pPr>
              <w:spacing w:after="120" w:before="0"/>
            </w:pPr>
            <w:r>
              <w:rPr>
                <w:color w:val="333333"/>
                <w:sz w:val="21"/>
                <w:szCs w:val="21"/>
              </w:rPr>
              <w:t xml:space="preserve">IMARC Group, Expert Market Research, Mordor Intelligence, and NextMSC are commercial research firms that sell reports. Their methodologies are opaque, sample sizes undisclosed, and figures are often estimates or projections, not audited data.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4A6FA5"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2E5FA3"/>
                <w:sz w:val="22"/>
                <w:szCs w:val="22"/>
              </w:rPr>
              <w:t xml:space="preserve">Conflicting figures across sources</w:t>
            </w:r>
          </w:p>
          <w:p>
            <w:pPr>
              <w:spacing w:after="120" w:before="0"/>
            </w:pPr>
            <w:r>
              <w:rPr>
                <w:color w:val="333333"/>
                <w:sz w:val="21"/>
                <w:szCs w:val="21"/>
              </w:rPr>
              <w:t xml:space="preserve">The broader mobile accessories market is cited as both $6.86B (IMARC, 2025) and $9.83B (Outlook Business, 2023) depending on definition scope. These figures are not reconciled in the reports and reflect definitional inconsistency rather than analytical error.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4A6FA5"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2E5FA3"/>
                <w:sz w:val="22"/>
                <w:szCs w:val="22"/>
              </w:rPr>
              <w:t xml:space="preserve">Counterpoint Research: strongest source, but still estimated</w:t>
            </w:r>
          </w:p>
          <w:p>
            <w:pPr>
              <w:spacing w:after="120" w:before="0"/>
            </w:pPr>
            <w:r>
              <w:rPr>
                <w:color w:val="333333"/>
                <w:sz w:val="21"/>
                <w:szCs w:val="21"/>
              </w:rPr>
              <w:t xml:space="preserve">Counterpoint Research is the most credible source for TWS and smartwatch share data — it is an independent tracker with disclosed methodology. However, even Counterpoint figures are shipment-based estimates, not sell-through. Retail inventory accumulation or depletion is not captured.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4A6FA5"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2E5FA3"/>
                <w:sz w:val="22"/>
                <w:szCs w:val="22"/>
              </w:rPr>
              <w:t xml:space="preserve">Self-reported company data</w:t>
            </w:r>
          </w:p>
          <w:p>
            <w:pPr>
              <w:spacing w:after="120" w:before="0"/>
            </w:pPr>
            <w:r>
              <w:rPr>
                <w:color w:val="333333"/>
                <w:sz w:val="21"/>
                <w:szCs w:val="21"/>
              </w:rPr>
              <w:t xml:space="preserve">boAt's revenue (₹3,098 crore), Noise's revenue decline (−24%), and Amazon's "65% from tier-2/3" are company-disclosed figures that may be selectively presented. None are independently audited for the purposes of these reports.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4A6FA5" w:sz="12"/>
              <w:bottom w:val="none"/>
              <w:right w:val="none"/>
            </w:tcBorders>
            <w:shd w:fill="FFFFFF" w:val="clear"/>
          </w:tcPr>
          <w:p/>
        </w:tc>
        <w:tc>
          <w:tcPr>
            <w:tcW w:type="dxa" w:w="9160"/>
            <w:tcBorders>
              <w:top w:val="none"/>
              <w:left w:val="none"/>
              <w:bottom w:val="none"/>
              <w:right w:val="none"/>
            </w:tcBorders>
            <w:shd w:fill="F8FAFD" w:val="clear"/>
          </w:tcPr>
          <w:p>
            <w:pPr>
              <w:spacing w:after="60" w:before="100"/>
            </w:pPr>
            <w:r>
              <w:rPr>
                <w:b/>
                <w:bCs/>
                <w:color w:val="2E5FA3"/>
                <w:sz w:val="22"/>
                <w:szCs w:val="22"/>
              </w:rPr>
              <w:t xml:space="preserve">Quick Research is AI-generated</w:t>
            </w:r>
          </w:p>
          <w:p>
            <w:pPr>
              <w:spacing w:after="120" w:before="0"/>
            </w:pPr>
            <w:r>
              <w:rPr>
                <w:color w:val="333333"/>
                <w:sz w:val="21"/>
                <w:szCs w:val="21"/>
              </w:rPr>
              <w:t xml:space="preserve">Reports 02a–02c were produced by an AI research tool. While they cite real URLs, the synthesis and framing reflect algorithmic judgment, not human analyst review. Source URLs have not been independently verified for accuracy or current availability.</w:t>
            </w:r>
          </w:p>
        </w:tc>
      </w:tr>
    </w:tbl>
    <w:p>
      <w:pPr>
        <w:spacing w:after="80" w:before="0"/>
      </w:pPr>
    </w:p>
    <w:p>
      <w:pPr>
        <w:pBdr>
          <w:bottom w:val="single" w:color="B8C9E1" w:sz="6"/>
        </w:pBdr>
        <w:spacing w:after="200" w:before="80"/>
      </w:pPr>
    </w:p>
    <w:p>
      <w:pPr>
        <w:spacing w:after="80" w:before="360"/>
      </w:pPr>
      <w:r>
        <w:rPr>
          <w:b/>
          <w:bCs/>
          <w:caps/>
          <w:color w:val="2E5FA3"/>
          <w:sz w:val="20"/>
          <w:szCs w:val="20"/>
        </w:rPr>
        <w:t xml:space="preserve">SECTION 3  </w:t>
      </w:r>
      <w:r>
        <w:rPr>
          <w:b/>
          <w:bCs/>
          <w:color w:val="1A3A5C"/>
          <w:sz w:val="32"/>
          <w:szCs w:val="32"/>
        </w:rPr>
        <w:t xml:space="preserve">Risks of Acting on This Analysis — and Mitigations</w:t>
      </w:r>
    </w:p>
    <w:p>
      <w:pPr>
        <w:pStyle w:val="BodyText"/>
        <w:spacing w:after="200" w:before="0"/>
      </w:pPr>
      <w:r>
        <w:rPr>
          <w:sz w:val="22"/>
          <w:szCs w:val="22"/>
        </w:rPr>
        <w:t xml:space="preserve">The following three risks represent the most consequential failure modes when using this analysis to drive capital allocation or strategic decisions. Each is paired with a concrete mitigation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100"/>
        <w:gridCol w:w="3540"/>
        <w:gridCol w:w="4340"/>
      </w:tblGrid>
      <w:tr>
        <w:trPr>
          <w:tblHeader/>
        </w:trPr>
        <w:tc>
          <w:tcPr>
            <w:tcW w:type="dxa" w:w="380"/>
            <w:tcBorders>
              <w:top w:val="single" w:color="1A3A5C" w:sz="10"/>
              <w:left w:val="single" w:color="1A3A5C" w:sz="10"/>
              <w:bottom w:val="single" w:color="1A3A5C" w:sz="10"/>
              <w:right w:val="single" w:color="1A3A5C" w:sz="10"/>
            </w:tcBorders>
            <w:shd w:fill="1A3A5C" w:val="clear"/>
            <w:vAlign w:val="center"/>
          </w:tcPr>
          <w:p>
            <w:pPr>
              <w:spacing w:after="80" w:before="80"/>
              <w:jc w:val="center"/>
            </w:pPr>
            <w:r>
              <w:rPr>
                <w:b/>
                <w:bCs/>
                <w:color w:val="FFFFFF"/>
                <w:sz w:val="20"/>
                <w:szCs w:val="20"/>
              </w:rPr>
              <w:t xml:space="preserve">#</w:t>
            </w:r>
          </w:p>
        </w:tc>
        <w:tc>
          <w:tcPr>
            <w:tcW w:type="dxa" w:w="1100"/>
            <w:tcBorders>
              <w:top w:val="single" w:color="1A3A5C" w:sz="10"/>
              <w:left w:val="single" w:color="1A3A5C" w:sz="10"/>
              <w:bottom w:val="single" w:color="1A3A5C" w:sz="10"/>
              <w:right w:val="single" w:color="1A3A5C" w:sz="10"/>
            </w:tcBorders>
            <w:shd w:fill="1A3A5C" w:val="clear"/>
            <w:vAlign w:val="center"/>
          </w:tcPr>
          <w:p>
            <w:pPr>
              <w:spacing w:after="80" w:before="80"/>
              <w:jc w:val="center"/>
            </w:pPr>
            <w:r>
              <w:rPr>
                <w:b/>
                <w:bCs/>
                <w:color w:val="FFFFFF"/>
                <w:sz w:val="20"/>
                <w:szCs w:val="20"/>
              </w:rPr>
              <w:t xml:space="preserve">Risk</w:t>
            </w:r>
          </w:p>
        </w:tc>
        <w:tc>
          <w:tcPr>
            <w:tcW w:type="dxa" w:w="3540"/>
            <w:tcBorders>
              <w:top w:val="single" w:color="1A3A5C" w:sz="10"/>
              <w:left w:val="single" w:color="1A3A5C" w:sz="10"/>
              <w:bottom w:val="single" w:color="1A3A5C" w:sz="10"/>
              <w:right w:val="single" w:color="1A3A5C" w:sz="10"/>
            </w:tcBorders>
            <w:shd w:fill="1A3A5C" w:val="clear"/>
            <w:vAlign w:val="center"/>
          </w:tcPr>
          <w:p>
            <w:pPr>
              <w:spacing w:after="80" w:before="80"/>
              <w:jc w:val="center"/>
            </w:pPr>
            <w:r>
              <w:rPr>
                <w:b/>
                <w:bCs/>
                <w:color w:val="FFFFFF"/>
                <w:sz w:val="20"/>
                <w:szCs w:val="20"/>
              </w:rPr>
              <w:t xml:space="preserve">Description</w:t>
            </w:r>
          </w:p>
        </w:tc>
        <w:tc>
          <w:tcPr>
            <w:tcW w:type="dxa" w:w="4340"/>
            <w:tcBorders>
              <w:top w:val="single" w:color="1A3A5C" w:sz="10"/>
              <w:left w:val="single" w:color="1A3A5C" w:sz="10"/>
              <w:bottom w:val="single" w:color="1A3A5C" w:sz="10"/>
              <w:right w:val="single" w:color="1A3A5C" w:sz="10"/>
            </w:tcBorders>
            <w:shd w:fill="1A3A5C" w:val="clear"/>
            <w:vAlign w:val="center"/>
          </w:tcPr>
          <w:p>
            <w:pPr>
              <w:spacing w:after="80" w:before="80"/>
              <w:jc w:val="center"/>
            </w:pPr>
            <w:r>
              <w:rPr>
                <w:b/>
                <w:bCs/>
                <w:color w:val="FFFFFF"/>
                <w:sz w:val="20"/>
                <w:szCs w:val="20"/>
              </w:rPr>
              <w:t xml:space="preserve">Mitigation</w:t>
            </w:r>
          </w:p>
        </w:tc>
      </w:tr>
      <w:tr>
        <w:tc>
          <w:tcPr>
            <w:tcW w:type="dxa" w:w="380"/>
            <w:tcBorders>
              <w:top w:val="single" w:color="D5E3F0" w:sz="4"/>
              <w:left w:val="single" w:color="D5E3F0" w:sz="4"/>
              <w:bottom w:val="single" w:color="D5E3F0" w:sz="4"/>
              <w:right w:val="single" w:color="D5E3F0" w:sz="4"/>
            </w:tcBorders>
            <w:shd w:fill="FFF0F0" w:val="clear"/>
            <w:vAlign w:val="top"/>
          </w:tcPr>
          <w:p>
            <w:pPr>
              <w:spacing w:after="80" w:before="100"/>
              <w:jc w:val="center"/>
            </w:pPr>
            <w:r>
              <w:rPr>
                <w:sz w:val="28"/>
                <w:szCs w:val="28"/>
              </w:rPr>
              <w:t xml:space="preserve">🔴</w:t>
            </w:r>
          </w:p>
        </w:tc>
        <w:tc>
          <w:tcPr>
            <w:tcW w:type="dxa" w:w="1100"/>
            <w:tcBorders>
              <w:top w:val="single" w:color="D5E3F0" w:sz="4"/>
              <w:left w:val="single" w:color="D5E3F0" w:sz="4"/>
              <w:bottom w:val="single" w:color="D5E3F0" w:sz="4"/>
              <w:right w:val="single" w:color="D5E3F0" w:sz="4"/>
            </w:tcBorders>
            <w:shd w:fill="FFF0F0" w:val="clear"/>
            <w:vAlign w:val="top"/>
          </w:tcPr>
          <w:p>
            <w:pPr>
              <w:spacing w:after="40" w:before="100"/>
            </w:pPr>
            <w:r>
              <w:rPr>
                <w:b/>
                <w:bCs/>
                <w:color w:val="C0392B"/>
                <w:sz w:val="21"/>
                <w:szCs w:val="21"/>
              </w:rPr>
              <w:t xml:space="preserve">Stale Data Leads to Wrong Positioning</w:t>
            </w:r>
          </w:p>
          <w:p>
            <w:pPr>
              <w:spacing w:after="80" w:before="0"/>
            </w:pPr>
            <w:r>
              <w:rPr>
                <w:b/>
                <w:bCs/>
                <w:color w:val="C0392B"/>
                <w:sz w:val="19"/>
                <w:szCs w:val="19"/>
              </w:rPr>
              <w:t xml:space="preserve">Severity: HIGH</w:t>
            </w:r>
          </w:p>
        </w:tc>
        <w:tc>
          <w:tcPr>
            <w:tcW w:type="dxa" w:w="3540"/>
            <w:tcBorders>
              <w:top w:val="single" w:color="D5E3F0" w:sz="4"/>
              <w:left w:val="single" w:color="D5E3F0" w:sz="4"/>
              <w:bottom w:val="single" w:color="D5E3F0" w:sz="4"/>
              <w:right w:val="single" w:color="D5E3F0" w:sz="4"/>
            </w:tcBorders>
            <w:shd w:fill="FFFAFA" w:val="clear"/>
            <w:vAlign w:val="top"/>
          </w:tcPr>
          <w:p>
            <w:pPr>
              <w:spacing w:after="80" w:before="100"/>
            </w:pPr>
            <w:r>
              <w:rPr>
                <w:color w:val="333333"/>
                <w:sz w:val="20"/>
                <w:szCs w:val="20"/>
              </w:rPr>
              <w:t xml:space="preserve">The dataset is ~3.5 years old. Prices, ratings, brand rankings, and competitive dynamics have likely shifted materially. Launching a ₹300–₹800 USB-C cable strategy based on 2023 pricing could miss current market realities — e.g., price deflation from new Chinese entrants, changed Amazon fee structures, or new dominant brands.</w:t>
            </w:r>
          </w:p>
        </w:tc>
        <w:tc>
          <w:tcPr>
            <w:tcW w:type="dxa" w:w="4340"/>
            <w:tcBorders>
              <w:top w:val="single" w:color="D5E3F0" w:sz="4"/>
              <w:left w:val="single" w:color="D5E3F0" w:sz="4"/>
              <w:bottom w:val="single" w:color="D5E3F0" w:sz="4"/>
              <w:right w:val="single" w:color="D5E3F0" w:sz="4"/>
            </w:tcBorders>
            <w:shd w:fill="F0FBF4" w:val="clear"/>
            <w:vAlign w:val="top"/>
          </w:tcPr>
          <w:p>
            <w:pPr>
              <w:spacing w:after="60" w:before="100"/>
            </w:pPr>
            <w:r>
              <w:rPr>
                <w:color w:val="1A6B3C"/>
                <w:sz w:val="20"/>
                <w:szCs w:val="20"/>
              </w:rPr>
              <w:t xml:space="preserve">Commission a fresh Amazon India scrape (or use Helium10/Jungle Scout) within 30 days of go/no-go decision. Validate top-10 competitor prices and ratings in real time before finalizing pricing strategy.</w:t>
            </w:r>
          </w:p>
        </w:tc>
      </w:tr>
      <w:tr>
        <w:tc>
          <w:tcPr>
            <w:tcW w:type="dxa" w:w="380"/>
            <w:tcBorders>
              <w:top w:val="single" w:color="D5E3F0" w:sz="4"/>
              <w:left w:val="single" w:color="D5E3F0" w:sz="4"/>
              <w:bottom w:val="single" w:color="D5E3F0" w:sz="4"/>
              <w:right w:val="single" w:color="D5E3F0" w:sz="4"/>
            </w:tcBorders>
            <w:shd w:fill="FFF8EE" w:val="clear"/>
            <w:vAlign w:val="top"/>
          </w:tcPr>
          <w:p>
            <w:pPr>
              <w:spacing w:after="80" w:before="100"/>
              <w:jc w:val="center"/>
            </w:pPr>
            <w:r>
              <w:rPr>
                <w:sz w:val="28"/>
                <w:szCs w:val="28"/>
              </w:rPr>
              <w:t xml:space="preserve">🟠</w:t>
            </w:r>
          </w:p>
        </w:tc>
        <w:tc>
          <w:tcPr>
            <w:tcW w:type="dxa" w:w="1100"/>
            <w:tcBorders>
              <w:top w:val="single" w:color="D5E3F0" w:sz="4"/>
              <w:left w:val="single" w:color="D5E3F0" w:sz="4"/>
              <w:bottom w:val="single" w:color="D5E3F0" w:sz="4"/>
              <w:right w:val="single" w:color="D5E3F0" w:sz="4"/>
            </w:tcBorders>
            <w:shd w:fill="FFF8EE" w:val="clear"/>
            <w:vAlign w:val="top"/>
          </w:tcPr>
          <w:p>
            <w:pPr>
              <w:spacing w:after="40" w:before="100"/>
            </w:pPr>
            <w:r>
              <w:rPr>
                <w:b/>
                <w:bCs/>
                <w:color w:val="B35900"/>
                <w:sz w:val="21"/>
                <w:szCs w:val="21"/>
              </w:rPr>
              <w:t xml:space="preserve">Over-Reliance on Vendor Market-Size Figures</w:t>
            </w:r>
          </w:p>
          <w:p>
            <w:pPr>
              <w:spacing w:after="80" w:before="0"/>
            </w:pPr>
            <w:r>
              <w:rPr>
                <w:b/>
                <w:bCs/>
                <w:color w:val="B35900"/>
                <w:sz w:val="19"/>
                <w:szCs w:val="19"/>
              </w:rPr>
              <w:t xml:space="preserve">Severity: MEDIUM</w:t>
            </w:r>
          </w:p>
        </w:tc>
        <w:tc>
          <w:tcPr>
            <w:tcW w:type="dxa" w:w="3540"/>
            <w:tcBorders>
              <w:top w:val="single" w:color="D5E3F0" w:sz="4"/>
              <w:left w:val="single" w:color="D5E3F0" w:sz="4"/>
              <w:bottom w:val="single" w:color="D5E3F0" w:sz="4"/>
              <w:right w:val="single" w:color="D5E3F0" w:sz="4"/>
            </w:tcBorders>
            <w:shd w:fill="FFFDF8" w:val="clear"/>
            <w:vAlign w:val="top"/>
          </w:tcPr>
          <w:p>
            <w:pPr>
              <w:spacing w:after="80" w:before="100"/>
            </w:pPr>
            <w:r>
              <w:rPr>
                <w:color w:val="333333"/>
                <w:sz w:val="20"/>
                <w:szCs w:val="20"/>
              </w:rPr>
              <w:t xml:space="preserve">The $2.30B USB charger market and 8.9% CAGR come from a single commercial research firm (Expert Market Research). If the actual addressable market is smaller — e.g., online-only, Amazon-only, VoltEdge's specific price band — the opportunity could be 5–10× smaller than headline figures suggest. Inflated TAM estimates lead to over-investment.</w:t>
            </w:r>
          </w:p>
        </w:tc>
        <w:tc>
          <w:tcPr>
            <w:tcW w:type="dxa" w:w="4340"/>
            <w:tcBorders>
              <w:top w:val="single" w:color="D5E3F0" w:sz="4"/>
              <w:left w:val="single" w:color="D5E3F0" w:sz="4"/>
              <w:bottom w:val="single" w:color="D5E3F0" w:sz="4"/>
              <w:right w:val="single" w:color="D5E3F0" w:sz="4"/>
            </w:tcBorders>
            <w:shd w:fill="F0FBF4" w:val="clear"/>
            <w:vAlign w:val="top"/>
          </w:tcPr>
          <w:p>
            <w:pPr>
              <w:spacing w:after="60" w:before="100"/>
            </w:pPr>
            <w:r>
              <w:rPr>
                <w:color w:val="1A6B3C"/>
                <w:sz w:val="20"/>
                <w:szCs w:val="20"/>
              </w:rPr>
              <w:t xml:space="preserve">Build a bottom-up TAM model: (Amazon India share of online) × (online share of total) × (VoltEdge's target price band) × (realistic capture rate). Cross-reference with Amazon Best Seller Rank data for volume proxies.</w:t>
            </w:r>
          </w:p>
        </w:tc>
      </w:tr>
      <w:tr>
        <w:tc>
          <w:tcPr>
            <w:tcW w:type="dxa" w:w="380"/>
            <w:tcBorders>
              <w:top w:val="single" w:color="D5E3F0" w:sz="4"/>
              <w:left w:val="single" w:color="D5E3F0" w:sz="4"/>
              <w:bottom w:val="single" w:color="D5E3F0" w:sz="4"/>
              <w:right w:val="single" w:color="D5E3F0" w:sz="4"/>
            </w:tcBorders>
            <w:shd w:fill="FFFDE8" w:val="clear"/>
            <w:vAlign w:val="top"/>
          </w:tcPr>
          <w:p>
            <w:pPr>
              <w:spacing w:after="80" w:before="100"/>
              <w:jc w:val="center"/>
            </w:pPr>
            <w:r>
              <w:rPr>
                <w:sz w:val="28"/>
                <w:szCs w:val="28"/>
              </w:rPr>
              <w:t xml:space="preserve">🟡</w:t>
            </w:r>
          </w:p>
        </w:tc>
        <w:tc>
          <w:tcPr>
            <w:tcW w:type="dxa" w:w="1100"/>
            <w:tcBorders>
              <w:top w:val="single" w:color="D5E3F0" w:sz="4"/>
              <w:left w:val="single" w:color="D5E3F0" w:sz="4"/>
              <w:bottom w:val="single" w:color="D5E3F0" w:sz="4"/>
              <w:right w:val="single" w:color="D5E3F0" w:sz="4"/>
            </w:tcBorders>
            <w:shd w:fill="FFFDE8" w:val="clear"/>
            <w:vAlign w:val="top"/>
          </w:tcPr>
          <w:p>
            <w:pPr>
              <w:spacing w:after="40" w:before="100"/>
            </w:pPr>
            <w:r>
              <w:rPr>
                <w:b/>
                <w:bCs/>
                <w:color w:val="8B6914"/>
                <w:sz w:val="21"/>
                <w:szCs w:val="21"/>
              </w:rPr>
              <w:t xml:space="preserve">Regulatory Timeline Underestimated</w:t>
            </w:r>
          </w:p>
          <w:p>
            <w:pPr>
              <w:spacing w:after="80" w:before="0"/>
            </w:pPr>
            <w:r>
              <w:rPr>
                <w:b/>
                <w:bCs/>
                <w:color w:val="8B6914"/>
                <w:sz w:val="19"/>
                <w:szCs w:val="19"/>
              </w:rPr>
              <w:t xml:space="preserve">Severity: MEDIUM</w:t>
            </w:r>
          </w:p>
        </w:tc>
        <w:tc>
          <w:tcPr>
            <w:tcW w:type="dxa" w:w="3540"/>
            <w:tcBorders>
              <w:top w:val="single" w:color="D5E3F0" w:sz="4"/>
              <w:left w:val="single" w:color="D5E3F0" w:sz="4"/>
              <w:bottom w:val="single" w:color="D5E3F0" w:sz="4"/>
              <w:right w:val="single" w:color="D5E3F0" w:sz="4"/>
            </w:tcBorders>
            <w:shd w:fill="FFFEF8" w:val="clear"/>
            <w:vAlign w:val="top"/>
          </w:tcPr>
          <w:p>
            <w:pPr>
              <w:spacing w:after="80" w:before="100"/>
            </w:pPr>
            <w:r>
              <w:rPr>
                <w:color w:val="333333"/>
                <w:sz w:val="20"/>
                <w:szCs w:val="20"/>
              </w:rPr>
              <w:t xml:space="preserve">The analysis estimates 3–4 months to first sale (BIS + FDI setup). In practice, BIS query resolution can extend to 60+ working days, Indian subsidiary incorporation can face RBI delays, and USB-C compliance verification adds further lead time. A 6–9 month timeline is more realistic. Missing the festive window by even 4–6 weeks could forfeit 48% of annual GMV in its first week.</w:t>
            </w:r>
          </w:p>
        </w:tc>
        <w:tc>
          <w:tcPr>
            <w:tcW w:type="dxa" w:w="4340"/>
            <w:tcBorders>
              <w:top w:val="single" w:color="D5E3F0" w:sz="4"/>
              <w:left w:val="single" w:color="D5E3F0" w:sz="4"/>
              <w:bottom w:val="single" w:color="D5E3F0" w:sz="4"/>
              <w:right w:val="single" w:color="D5E3F0" w:sz="4"/>
            </w:tcBorders>
            <w:shd w:fill="F0FBF4" w:val="clear"/>
            <w:vAlign w:val="top"/>
          </w:tcPr>
          <w:p>
            <w:pPr>
              <w:spacing w:after="60" w:before="100"/>
            </w:pPr>
            <w:r>
              <w:rPr>
                <w:color w:val="1A6B3C"/>
                <w:sz w:val="20"/>
                <w:szCs w:val="20"/>
              </w:rPr>
              <w:t xml:space="preserve">Begin entity setup and BIS applications immediately upon board approval — do not wait for final product selection. Engage a local regulatory consultant with a proven BIS track record. Budget for 6–9 months, not 3–4. Plan inventory arrival for July at the latest to ensure September readiness.</w:t>
            </w:r>
          </w:p>
        </w:tc>
      </w:tr>
    </w:tbl>
    <w:p>
      <w:pPr>
        <w:spacing w:after="100" w:before="100"/>
      </w:pPr>
    </w:p>
    <w:p>
      <w:pPr>
        <w:spacing w:after="200" w:before="80"/>
      </w:pPr>
      <w:r>
        <w:rPr>
          <w:b/>
          <w:bCs/>
          <w:color w:val="1A3A5C"/>
          <w:sz w:val="20"/>
          <w:szCs w:val="20"/>
        </w:rPr>
        <w:t xml:space="preserve">Severity Legend:   </w:t>
      </w:r>
      <w:r>
        <w:rPr>
          <w:sz w:val="20"/>
          <w:szCs w:val="20"/>
        </w:rPr>
        <w:t xml:space="preserve">🔴  High — Requires immediate action before capital commitment   </w:t>
      </w:r>
      <w:r>
        <w:rPr>
          <w:sz w:val="20"/>
          <w:szCs w:val="20"/>
        </w:rPr>
        <w:t xml:space="preserve">🟠  Medium — Mitigate within 30 days of decision   </w:t>
      </w:r>
      <w:r>
        <w:rPr>
          <w:sz w:val="20"/>
          <w:szCs w:val="20"/>
        </w:rPr>
        <w:t xml:space="preserve">🟡  Medium — Monitor and plan contingency</w:t>
      </w:r>
    </w:p>
    <w:p>
      <w:pPr>
        <w:pBdr>
          <w:bottom w:val="single" w:color="B8C9E1" w:sz="6"/>
        </w:pBdr>
        <w:spacing w:after="200" w:before="80"/>
      </w:pPr>
    </w:p>
    <w:p>
      <w:pPr>
        <w:spacing w:after="80" w:before="200"/>
      </w:pPr>
      <w:r>
        <w:rPr>
          <w:b/>
          <w:bCs/>
          <w:caps/>
          <w:color w:val="1A3A5C"/>
          <w:sz w:val="28"/>
          <w:szCs w:val="28"/>
        </w:rPr>
        <w:t xml:space="preserve">BOTTOM-LINE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2"/>
              <w:left w:val="single" w:color="2E5FA3" w:sz="20"/>
              <w:bottom w:val="single" w:color="1A3A5C" w:sz="12"/>
              <w:right w:val="single" w:color="1A3A5C" w:sz="6"/>
            </w:tcBorders>
            <w:shd w:fill="EEF4FF" w:val="clear"/>
          </w:tcPr>
          <w:p>
            <w:pPr>
              <w:spacing w:after="100" w:before="160"/>
            </w:pPr>
            <w:r>
              <w:rPr>
                <w:b/>
                <w:bCs/>
                <w:color w:val="1A3A5C"/>
                <w:sz w:val="24"/>
                <w:szCs w:val="24"/>
              </w:rPr>
              <w:t xml:space="preserve">Overall Confidence: </w:t>
            </w:r>
            <w:r>
              <w:rPr>
                <w:b/>
                <w:bCs/>
                <w:color w:val="2E5FA3"/>
                <w:sz w:val="24"/>
                <w:szCs w:val="24"/>
              </w:rPr>
              <w:t xml:space="preserve">MEDIUM-HIGH</w:t>
            </w:r>
          </w:p>
          <w:p>
            <w:pPr>
              <w:spacing w:after="120" w:before="0"/>
            </w:pPr>
            <w:r>
              <w:rPr>
                <w:color w:val="222222"/>
                <w:sz w:val="22"/>
                <w:szCs w:val="22"/>
              </w:rPr>
              <w:t xml:space="preserve">The analysis directionally supports USB cables/chargers as the safest entry point, and this conclusion holds at Medium-High confidence because both the dataset and external research agree. However, every quantitative claim should be treated as an order-of-magnitude guide, not a precise forecast.</w:t>
            </w:r>
          </w:p>
          <w:p>
            <w:pPr>
              <w:spacing w:after="60" w:before="80"/>
            </w:pPr>
            <w:r>
              <w:rPr>
                <w:b/>
                <w:bCs/>
                <w:color w:val="1A3A5C"/>
                <w:sz w:val="22"/>
                <w:szCs w:val="22"/>
              </w:rPr>
              <w:t xml:space="preserve">The Two Highest-Priority Actions Before Committing Capital:</w:t>
            </w:r>
          </w:p>
          <w:p>
            <w:pPr>
              <w:pStyle w:val="ListParagraph"/>
              <w:numPr>
                <w:ilvl w:val="0"/>
                <w:numId w:val="2"/>
              </w:numPr>
              <w:spacing w:after="60" w:before="40"/>
            </w:pPr>
            <w:r>
              <w:rPr>
                <w:b/>
                <w:bCs/>
                <w:color w:val="1A3A5C"/>
                <w:sz w:val="22"/>
                <w:szCs w:val="22"/>
              </w:rPr>
              <w:t xml:space="preserve">Refresh the competitive dataset</w:t>
            </w:r>
            <w:r>
              <w:rPr>
                <w:color w:val="333333"/>
                <w:sz w:val="22"/>
                <w:szCs w:val="22"/>
              </w:rPr>
              <w:t xml:space="preserve"> — Commission a current Amazon India data pull using Helium10, Jungle Scout, or a direct scrape. Validate pricing, ratings, and brand landscape against 2023 assumptions.</w:t>
            </w:r>
          </w:p>
          <w:p>
            <w:pPr>
              <w:pStyle w:val="ListParagraph"/>
              <w:numPr>
                <w:ilvl w:val="0"/>
                <w:numId w:val="2"/>
              </w:numPr>
              <w:spacing w:after="120" w:before="40"/>
            </w:pPr>
            <w:r>
              <w:rPr>
                <w:b/>
                <w:bCs/>
                <w:color w:val="1A3A5C"/>
                <w:sz w:val="22"/>
                <w:szCs w:val="22"/>
              </w:rPr>
              <w:t xml:space="preserve">Build a VoltEdge-specific landed-cost model</w:t>
            </w:r>
            <w:r>
              <w:rPr>
                <w:color w:val="333333"/>
                <w:sz w:val="22"/>
                <w:szCs w:val="22"/>
              </w:rPr>
              <w:t xml:space="preserve"> — Using actual COGS and the full duty-plus-fee stack from report 02c, model contribution margin at ₹300, ₹500, and ₹800 price points to confirm viability before any inventory commitment.</w:t>
            </w:r>
          </w:p>
          <w:p>
            <w:pPr>
              <w:spacing w:after="160" w:before="60"/>
            </w:pPr>
            <w:r>
              <w:rPr>
                <w:b/>
                <w:bCs/>
                <w:color w:val="1A3A5C"/>
                <w:sz w:val="22"/>
                <w:szCs w:val="22"/>
              </w:rPr>
              <w:t xml:space="preserve">Entry Recommendation: </w:t>
            </w:r>
            <w:r>
              <w:rPr>
                <w:color w:val="222222"/>
                <w:sz w:val="22"/>
                <w:szCs w:val="22"/>
              </w:rPr>
              <w:t xml:space="preserve">USB-C cables and chargers first (₹300–₹800 band) — largest addressable category ($2.30B, 8.9% CAGR), zero Amazon referral fee under ₹1,000, most fragmented competitive landscape, exploitable quality gaps. Budget ₹5–15 lakh for BIS certification (10–15 SKUs), $10K–$50K for entity setup, 6–9 months realistic runway. Target inventory arrival by July for September–October festive window.</w:t>
            </w:r>
          </w:p>
          <w:p>
            <w:pPr>
              <w:spacing w:after="160" w:before="0"/>
            </w:pPr>
            <w:r>
              <w:rPr>
                <w:b/>
                <w:bCs/>
                <w:color w:val="C0392B"/>
                <w:sz w:val="22"/>
                <w:szCs w:val="22"/>
              </w:rPr>
              <w:t xml:space="preserve">Category to Avoid: </w:t>
            </w:r>
            <w:r>
              <w:rPr>
                <w:color w:val="333333"/>
                <w:sz w:val="22"/>
                <w:szCs w:val="22"/>
              </w:rPr>
              <w:t xml:space="preserve">Smartwatches — contracting category (−43.9% revenue from 2023 peak), trust-eroded (79.5% average discount off MRP), dominated by aggressive discounters.</w:t>
            </w:r>
          </w:p>
        </w:tc>
      </w:tr>
    </w:tbl>
    <w:p>
      <w:pPr>
        <w:spacing w:after="100" w:before="10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9E1" w:sz="4"/>
      </w:pBdr>
      <w:spacing w:after="0" w:before="80"/>
      <w:jc w:val="center"/>
    </w:pPr>
    <w:r>
      <w:rPr>
        <w:color w:val="888888"/>
        <w:sz w:val="17"/>
        <w:szCs w:val="17"/>
      </w:rPr>
      <w:t xml:space="preserve">Confidential — VoltEdge Accessories  |  Page </w:t>
    </w:r>
    <w:r>
      <w:rPr>
        <w:color w:val="888888"/>
        <w:sz w:val="17"/>
        <w:szCs w:val="17"/>
      </w:rPr>
      <w:fldChar w:fldCharType="begin"/>
      <w:instrText xml:space="preserve">PAGE</w:instrText>
      <w:fldChar w:fldCharType="separate"/>
      <w:fldChar w:fldCharType="end"/>
    </w:r>
    <w:r>
      <w:rPr>
        <w:color w:val="888888"/>
        <w:sz w:val="17"/>
        <w:szCs w:val="17"/>
      </w:rPr>
      <w:t xml:space="preserve"> of </w:t>
    </w:r>
    <w:r>
      <w:rPr>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9E1" w:sz="6"/>
      </w:pBdr>
      <w:spacing w:after="120" w:before="0"/>
    </w:pPr>
    <w:r>
      <w:rPr>
        <w:b/>
        <w:bCs/>
        <w:color w:val="2E5FA3"/>
        <w:sz w:val="18"/>
        <w:szCs w:val="18"/>
      </w:rPr>
      <w:t xml:space="preserve">VoltEdge Accessories — Amazon India Market Entry</w:t>
    </w:r>
    <w:r>
      <w:rPr>
        <w:color w:val="666666"/>
        <w:sz w:val="18"/>
        <w:szCs w:val="18"/>
      </w:rPr>
      <w:t xml:space="preserve">   —   Reliability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300"/>
      </w:pPr>
    </w:lvl>
  </w:abstractNum>
  <w:abstractNum w:abstractNumId="3" w15:restartNumberingAfterBreak="0">
    <w:multiLevelType w:val="hybridMultilevel"/>
    <w:lvl w:ilvl="0" w15:tentative="1">
      <w:start w:val="1"/>
      <w:numFmt w:val="bullet"/>
      <w:lvlText w:val="◦"/>
      <w:lvlJc w:val="left"/>
      <w:pPr>
        <w:spacing w:after="60"/>
        <w:ind w:left="900" w:hanging="300"/>
      </w:pPr>
    </w:lvl>
  </w:abstractNum>
  <w:abstractNum w:abstractNumId="4" w15:restartNumberingAfterBreak="0">
    <w:multiLevelType w:val="hybridMultilevel"/>
    <w:lvl w:ilvl="0" w15:tentative="1">
      <w:start w:val="1"/>
      <w:numFmt w:val="decimal"/>
      <w:lvlText w:val="%1."/>
      <w:lvlJc w:val="left"/>
      <w:pPr>
        <w:spacing w:after="80"/>
        <w:ind w:left="540" w:hanging="30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120" w:before="0"/>
      <w:jc w:val="left"/>
    </w:pPr>
    <w:rPr>
      <w:rFonts w:ascii="Arial" w:cs="Arial" w:eastAsia="Arial" w:hAnsi="Arial"/>
      <w:b/>
      <w:bCs/>
      <w:color w:val="1A3A5C"/>
      <w:sz w:val="52"/>
      <w:szCs w:val="52"/>
    </w:rPr>
  </w:style>
  <w:style w:type="paragraph" w:styleId="DocSubtitle">
    <w:name w:val="Doc Subtitle"/>
    <w:basedOn w:val="Normal"/>
    <w:qFormat/>
    <w:pPr>
      <w:spacing w:after="80" w:before="0"/>
      <w:jc w:val="left"/>
    </w:pPr>
    <w:rPr>
      <w:rFonts w:ascii="Arial" w:cs="Arial" w:eastAsia="Arial" w:hAnsi="Arial"/>
      <w:color w:val="4A6FA5"/>
      <w:sz w:val="24"/>
      <w:szCs w:val="24"/>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A3A5C"/>
      <w:sz w:val="24"/>
      <w:szCs w:val="24"/>
    </w:rPr>
  </w:style>
  <w:style w:type="paragraph" w:styleId="BodyText">
    <w:name w:val="Body Text"/>
    <w:basedOn w:val="Normal"/>
    <w:pPr>
      <w:spacing w:after="140" w:line="276"/>
    </w:pPr>
    <w:rPr>
      <w:rFonts w:ascii="Arial" w:cs="Arial" w:eastAsia="Arial" w:hAnsi="Arial"/>
      <w:color w:val="222222"/>
      <w:sz w:val="22"/>
      <w:szCs w:val="22"/>
    </w:rPr>
  </w:style>
  <w:style w:type="paragraph" w:styleId="Caption">
    <w:name w:val="Caption"/>
    <w:basedOn w:val="Normal"/>
    <w:pPr>
      <w:spacing w:after="200" w:before="80"/>
    </w:pPr>
    <w:rPr>
      <w:rFonts w:ascii="Arial" w:cs="Arial" w:eastAsia="Arial" w:hAnsi="Arial"/>
      <w:i/>
      <w:iCs/>
      <w:color w:val="666666"/>
      <w:sz w:val="18"/>
      <w:szCs w:val="18"/>
    </w:rPr>
  </w:style>
  <w:style w:type="paragraph" w:styleId="BottomLine">
    <w:name w:val="Bottom Line"/>
    <w:basedOn w:val="Normal"/>
    <w:pPr>
      <w:spacing w:after="140" w:line="276"/>
      <w:ind w:left="360"/>
    </w:pPr>
    <w:rPr>
      <w:rFonts w:ascii="Arial" w:cs="Arial" w:eastAsia="Arial" w:hAnsi="Arial"/>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22A9FE-E2F5-48D1-A402-D5F092094FD8}">
  <we:reference id="WA200010615" version="1.0.10036.0" store="en-us" storeType="OMEX"/>
  <we:alternateReferences/>
  <we:properties>
    <we:property name="Office.AutoShowTaskpaneWithDocument" value="true"/>
    <we:property name="conversationId" value="&quot;392d6400-b640-4165-bd24-f9afae8ab35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2026-10-09T17:55:33.511Z</dcterms:created>
  <dcterms:modified xsi:type="dcterms:W3CDTF">2026-10-09T17:55:33.512Z</dcterms:modified>
</cp:coreProperties>
</file>

<file path=docProps/custom.xml><?xml version="1.0" encoding="utf-8"?>
<Properties xmlns="http://schemas.openxmlformats.org/officeDocument/2006/custom-properties" xmlns:vt="http://schemas.openxmlformats.org/officeDocument/2006/docPropsVTypes"/>
</file>