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A6FA5" w:sz="16"/>
              <w:left w:val="none" w:color="FFFFFF" w:sz="0"/>
              <w:bottom w:val="single" w:color="4A6FA5" w:sz="4"/>
              <w:right w:val="none" w:color="FFFFFF" w:sz="0"/>
            </w:tcBorders>
            <w:shd w:fill="F0F4F8" w:val="clear"/>
          </w:tcPr>
          <w:p>
            <w:pPr>
              <w:spacing w:after="60" w:before="160"/>
            </w:pPr>
            <w:r>
              <w:rPr>
                <w:rFonts w:ascii="Arial" w:cs="Arial" w:eastAsia="Arial" w:hAnsi="Arial"/>
                <w:b/>
                <w:bCs/>
                <w:color w:val="1A2E44"/>
                <w:sz w:val="52"/>
                <w:szCs w:val="52"/>
              </w:rPr>
              <w:t xml:space="preserve">Market Intelligence Research Brief</w:t>
            </w:r>
          </w:p>
          <w:p>
            <w:pPr>
              <w:spacing w:after="60" w:before="0"/>
            </w:pPr>
            <w:r>
              <w:rPr>
                <w:rFonts w:ascii="Arial" w:cs="Arial" w:eastAsia="Arial" w:hAnsi="Arial"/>
                <w:color w:val="4A6FA5"/>
                <w:sz w:val="28"/>
                <w:szCs w:val="28"/>
              </w:rPr>
              <w:t xml:space="preserve">VoltEdge Accessories — Amazon India Entry Decision</w:t>
            </w:r>
          </w:p>
          <w:p>
            <w:pPr>
              <w:spacing w:after="160" w:before="0"/>
            </w:pPr>
            <w:r>
              <w:rPr>
                <w:rFonts w:ascii="Arial" w:cs="Arial" w:eastAsia="Arial" w:hAnsi="Arial"/>
                <w:i/>
                <w:iCs/>
                <w:color w:val="718096"/>
                <w:sz w:val="20"/>
                <w:szCs w:val="20"/>
              </w:rPr>
              <w:t xml:space="preserve">Sources: amazon.csv dataset · Quick Research 02a/02b/02c · Reliability Assessment</w:t>
            </w:r>
          </w:p>
        </w:tc>
      </w:tr>
    </w:tbl>
    <w:p>
      <w:pPr>
        <w:spacing w:after="160" w:before="160"/>
      </w:pPr>
      <w:r>
        <w:t xml:space="preserve"/>
      </w:r>
    </w:p>
    <w:p>
      <w:pPr>
        <w:pStyle w:val="Heading1"/>
      </w:pPr>
      <w:r>
        <w:rPr>
          <w:rFonts w:ascii="Arial" w:cs="Arial" w:eastAsia="Arial" w:hAnsi="Arial"/>
          <w:b/>
          <w:bCs/>
          <w:color w:val="1A2E44"/>
          <w:sz w:val="32"/>
          <w:szCs w:val="32"/>
        </w:rPr>
        <w:t xml:space="preserve">1. Research Objective</w:t>
      </w:r>
    </w:p>
    <w:p>
      <w:pPr>
        <w:pStyle w:val="BodyText"/>
      </w:pPr>
      <w:r>
        <w:rPr>
          <w:rFonts w:ascii="Arial" w:cs="Arial" w:eastAsia="Arial" w:hAnsi="Arial"/>
        </w:rPr>
        <w:t xml:space="preserve">Determine whether VoltEdge Accessories should enter Amazon India’s electronics accessories market within 12 months, which sub-category to lead with (cables/chargers, earbuds/headphones, or smartwatches), and at what price and rating position — to support a board-level Go / No-go / Go-with-conditions decision.</w:t>
      </w:r>
    </w:p>
    <w:p>
      <w:pPr>
        <w:pStyle w:val="Heading1"/>
      </w:pPr>
      <w:r>
        <w:rPr>
          <w:rFonts w:ascii="Arial" w:cs="Arial" w:eastAsia="Arial" w:hAnsi="Arial"/>
          <w:b/>
          <w:bCs/>
          <w:color w:val="1A2E44"/>
          <w:sz w:val="32"/>
          <w:szCs w:val="32"/>
        </w:rPr>
        <w:t xml:space="preserve">2. Scope of Research</w:t>
      </w:r>
    </w:p>
    <w:p>
      <w:pPr>
        <w:pStyle w:val="Heading3"/>
      </w:pPr>
      <w:r>
        <w:rPr>
          <w:rFonts w:ascii="Arial" w:cs="Arial" w:eastAsia="Arial" w:hAnsi="Arial"/>
          <w:b/>
          <w:bCs/>
          <w:color w:val="2D3748"/>
          <w:sz w:val="24"/>
          <w:szCs w:val="24"/>
        </w:rPr>
        <w:t xml:space="preserve">Markets or Industries Covered</w:t>
      </w:r>
    </w:p>
    <w:p>
      <w:pPr>
        <w:pStyle w:val="BodyText"/>
      </w:pPr>
      <w:r>
        <w:rPr>
          <w:rFonts w:ascii="Arial" w:cs="Arial" w:eastAsia="Arial" w:hAnsi="Arial"/>
        </w:rPr>
        <w:t xml:space="preserve">Amazon India marketplace — consumer electronics accessories, specifically USB cables/chargers, earbuds/headphones, and smartwatches. Broader India e-commerce context (Flipkart, quick commerce) referenced for competitive framing.</w:t>
      </w:r>
    </w:p>
    <w:p>
      <w:pPr>
        <w:pStyle w:val="Heading3"/>
      </w:pPr>
      <w:r>
        <w:rPr>
          <w:rFonts w:ascii="Arial" w:cs="Arial" w:eastAsia="Arial" w:hAnsi="Arial"/>
          <w:b/>
          <w:bCs/>
          <w:color w:val="2D3748"/>
          <w:sz w:val="24"/>
          <w:szCs w:val="24"/>
        </w:rPr>
        <w:t xml:space="preserve">Competitor Types Included</w:t>
      </w:r>
    </w:p>
    <w:p>
      <w:pPr>
        <w:pStyle w:val="BodyText"/>
      </w:pPr>
      <w:r>
        <w:rPr>
          <w:rFonts w:ascii="Arial" w:cs="Arial" w:eastAsia="Arial" w:hAnsi="Arial"/>
        </w:rPr>
        <w:t xml:space="preserve">Indian-origin brands (boAt, Noise, Fire-Boltt, Portronics, Ambrane), Chinese ecosystem brands (OnePlus, Realme, Xiaomi), global brands (JBL, Samsung), and Amazon private label (AmazonBasics). 97 brands in cables/chargers, 22 in earbuds, 13 in smartwatches.</w:t>
      </w:r>
    </w:p>
    <w:p>
      <w:pPr>
        <w:pStyle w:val="Heading3"/>
      </w:pPr>
      <w:r>
        <w:rPr>
          <w:rFonts w:ascii="Arial" w:cs="Arial" w:eastAsia="Arial" w:hAnsi="Arial"/>
          <w:b/>
          <w:bCs/>
          <w:color w:val="2D3748"/>
          <w:sz w:val="24"/>
          <w:szCs w:val="24"/>
        </w:rPr>
        <w:t xml:space="preserve">Timeframe Considered</w:t>
      </w:r>
    </w:p>
    <w:p>
      <w:pPr>
        <w:pStyle w:val="BodyText"/>
      </w:pPr>
      <w:r>
        <w:rPr>
          <w:rFonts w:ascii="Arial" w:cs="Arial" w:eastAsia="Arial" w:hAnsi="Arial"/>
        </w:rPr>
        <w:t xml:space="preserve">Dataset snapshot estimated January 2023 (based on URL query-string epoch). Quick Research reports cite data from 2022–2026. Market projections extend to 2035.</w:t>
      </w:r>
    </w:p>
    <w:p>
      <w:pPr>
        <w:pStyle w:val="Heading3"/>
      </w:pPr>
      <w:r>
        <w:rPr>
          <w:rFonts w:ascii="Arial" w:cs="Arial" w:eastAsia="Arial" w:hAnsi="Arial"/>
          <w:b/>
          <w:bCs/>
          <w:color w:val="2D3748"/>
          <w:sz w:val="24"/>
          <w:szCs w:val="24"/>
        </w:rPr>
        <w:t xml:space="preserve">Key Constraints</w:t>
      </w:r>
    </w:p>
    <w:p>
      <w:pPr>
        <w:pStyle w:val="ListParagraph"/>
        <w:numPr>
          <w:ilvl w:val="0"/>
          <w:numId w:val="2"/>
        </w:numPr>
        <w:spacing w:after="80"/>
      </w:pPr>
      <w:r>
        <w:rPr>
          <w:rFonts w:ascii="Arial" w:cs="Arial" w:eastAsia="Arial" w:hAnsi="Arial"/>
          <w:b w:val="false"/>
          <w:bCs w:val="false"/>
          <w:color w:val="2D3748"/>
          <w:sz w:val="22"/>
          <w:szCs w:val="22"/>
        </w:rPr>
        <w:t xml:space="preserve">Dataset is a single undated snapshot of ~1,465 listings, not a census of all Amazon India SKUs.</w:t>
      </w:r>
    </w:p>
    <w:p>
      <w:pPr>
        <w:pStyle w:val="ListParagraph"/>
        <w:numPr>
          <w:ilvl w:val="0"/>
          <w:numId w:val="2"/>
        </w:numPr>
        <w:spacing w:after="80"/>
      </w:pPr>
      <w:r>
        <w:rPr>
          <w:rFonts w:ascii="Arial" w:cs="Arial" w:eastAsia="Arial" w:hAnsi="Arial"/>
          <w:b w:val="false"/>
          <w:bCs w:val="false"/>
          <w:color w:val="2D3748"/>
          <w:sz w:val="22"/>
          <w:szCs w:val="22"/>
        </w:rPr>
        <w:t xml:space="preserve">No sales velocity, conversion rate, or geographic data available.</w:t>
      </w:r>
    </w:p>
    <w:p>
      <w:pPr>
        <w:pStyle w:val="ListParagraph"/>
        <w:numPr>
          <w:ilvl w:val="0"/>
          <w:numId w:val="2"/>
        </w:numPr>
        <w:spacing w:after="80"/>
      </w:pPr>
      <w:r>
        <w:rPr>
          <w:rFonts w:ascii="Arial" w:cs="Arial" w:eastAsia="Arial" w:hAnsi="Arial"/>
          <w:b w:val="false"/>
          <w:bCs w:val="false"/>
          <w:color w:val="2D3748"/>
          <w:sz w:val="22"/>
          <w:szCs w:val="22"/>
        </w:rPr>
        <w:t xml:space="preserve">Market-size figures sourced from commercial research vendors with opaque methodologies.</w:t>
      </w:r>
    </w:p>
    <w:p>
      <w:pPr>
        <w:pStyle w:val="ListParagraph"/>
        <w:numPr>
          <w:ilvl w:val="0"/>
          <w:numId w:val="2"/>
        </w:numPr>
        <w:spacing w:after="80"/>
      </w:pPr>
      <w:r>
        <w:rPr>
          <w:rFonts w:ascii="Arial" w:cs="Arial" w:eastAsia="Arial" w:hAnsi="Arial"/>
          <w:b w:val="false"/>
          <w:bCs w:val="false"/>
          <w:color w:val="2D3748"/>
          <w:sz w:val="22"/>
          <w:szCs w:val="22"/>
        </w:rPr>
        <w:t xml:space="preserve">Research conducted within a single session using available Space data — no primary interviews, no fresh scrape.</w:t>
      </w:r>
    </w:p>
    <w:p>
      <w:pPr>
        <w:pStyle w:val="Heading3"/>
      </w:pPr>
      <w:r>
        <w:rPr>
          <w:rFonts w:ascii="Arial" w:cs="Arial" w:eastAsia="Arial" w:hAnsi="Arial"/>
          <w:b/>
          <w:bCs/>
          <w:color w:val="2D3748"/>
          <w:sz w:val="24"/>
          <w:szCs w:val="24"/>
        </w:rPr>
        <w:t xml:space="preserve">What Was Excluded</w:t>
      </w:r>
    </w:p>
    <w:p>
      <w:pPr>
        <w:pStyle w:val="BodyText"/>
      </w:pPr>
      <w:r>
        <w:rPr>
          <w:rFonts w:ascii="Arial" w:cs="Arial" w:eastAsia="Arial" w:hAnsi="Arial"/>
        </w:rPr>
        <w:t xml:space="preserve">Flipkart, Meesho, and offline retail channels; B2B/institutional sales; product categories outside VoltEdge’s portfolio (speakers, storage, networking); detailed landed-cost modelling (flagged as a required next step).</w:t>
      </w:r>
    </w:p>
    <w:p>
      <w:pPr>
        <w:pStyle w:val="Heading1"/>
      </w:pPr>
      <w:r>
        <w:rPr>
          <w:rFonts w:ascii="Arial" w:cs="Arial" w:eastAsia="Arial" w:hAnsi="Arial"/>
          <w:b/>
          <w:bCs/>
          <w:color w:val="1A2E44"/>
          <w:sz w:val="32"/>
          <w:szCs w:val="32"/>
        </w:rPr>
        <w:t xml:space="preserve">3. Research Approach</w:t>
      </w:r>
    </w:p>
    <w:p>
      <w:pPr>
        <w:pStyle w:val="Heading3"/>
      </w:pPr>
      <w:r>
        <w:rPr>
          <w:rFonts w:ascii="Arial" w:cs="Arial" w:eastAsia="Arial" w:hAnsi="Arial"/>
          <w:b/>
          <w:bCs/>
          <w:color w:val="2D3748"/>
          <w:sz w:val="24"/>
          <w:szCs w:val="24"/>
        </w:rPr>
        <w:t xml:space="preserve">Types of Questions Asked</w:t>
      </w:r>
    </w:p>
    <w:p>
      <w:pPr>
        <w:pStyle w:val="ListParagraph"/>
        <w:numPr>
          <w:ilvl w:val="0"/>
          <w:numId w:val="2"/>
        </w:numPr>
        <w:spacing w:after="80"/>
      </w:pPr>
      <w:r>
        <w:rPr>
          <w:rFonts w:ascii="Arial" w:cs="Arial" w:eastAsia="Arial" w:hAnsi="Arial"/>
          <w:b w:val="false"/>
          <w:bCs w:val="false"/>
          <w:color w:val="2D3748"/>
          <w:sz w:val="22"/>
          <w:szCs w:val="22"/>
        </w:rPr>
        <w:t xml:space="preserve">Competitive landscape — who dominates each sub-category by listings and traction?</w:t>
      </w:r>
    </w:p>
    <w:p>
      <w:pPr>
        <w:pStyle w:val="ListParagraph"/>
        <w:numPr>
          <w:ilvl w:val="0"/>
          <w:numId w:val="2"/>
        </w:numPr>
        <w:spacing w:after="80"/>
      </w:pPr>
      <w:r>
        <w:rPr>
          <w:rFonts w:ascii="Arial" w:cs="Arial" w:eastAsia="Arial" w:hAnsi="Arial"/>
          <w:b w:val="false"/>
          <w:bCs w:val="false"/>
          <w:color w:val="2D3748"/>
          <w:sz w:val="22"/>
          <w:szCs w:val="22"/>
        </w:rPr>
        <w:t xml:space="preserve">Pricing and discount patterns — what are the price bands, discount depths, and rating distributions?</w:t>
      </w:r>
    </w:p>
    <w:p>
      <w:pPr>
        <w:pStyle w:val="ListParagraph"/>
        <w:numPr>
          <w:ilvl w:val="0"/>
          <w:numId w:val="2"/>
        </w:numPr>
        <w:spacing w:after="80"/>
      </w:pPr>
      <w:r>
        <w:rPr>
          <w:rFonts w:ascii="Arial" w:cs="Arial" w:eastAsia="Arial" w:hAnsi="Arial"/>
          <w:b w:val="false"/>
          <w:bCs w:val="false"/>
          <w:color w:val="2D3748"/>
          <w:sz w:val="22"/>
          <w:szCs w:val="22"/>
        </w:rPr>
        <w:t xml:space="preserve">Customer sentiment — what do reviews praise and complain about?</w:t>
      </w:r>
    </w:p>
    <w:p>
      <w:pPr>
        <w:pStyle w:val="ListParagraph"/>
        <w:numPr>
          <w:ilvl w:val="0"/>
          <w:numId w:val="2"/>
        </w:numPr>
        <w:spacing w:after="80"/>
      </w:pPr>
      <w:r>
        <w:rPr>
          <w:rFonts w:ascii="Arial" w:cs="Arial" w:eastAsia="Arial" w:hAnsi="Arial"/>
          <w:b w:val="false"/>
          <w:bCs w:val="false"/>
          <w:color w:val="2D3748"/>
          <w:sz w:val="22"/>
          <w:szCs w:val="22"/>
        </w:rPr>
        <w:t xml:space="preserve">Market sizing and trends — how large and fast-growing is each segment?</w:t>
      </w:r>
    </w:p>
    <w:p>
      <w:pPr>
        <w:pStyle w:val="ListParagraph"/>
        <w:numPr>
          <w:ilvl w:val="0"/>
          <w:numId w:val="2"/>
        </w:numPr>
        <w:spacing w:after="80"/>
      </w:pPr>
      <w:r>
        <w:rPr>
          <w:rFonts w:ascii="Arial" w:cs="Arial" w:eastAsia="Arial" w:hAnsi="Arial"/>
          <w:b w:val="false"/>
          <w:bCs w:val="false"/>
          <w:color w:val="2D3748"/>
          <w:sz w:val="22"/>
          <w:szCs w:val="22"/>
        </w:rPr>
        <w:t xml:space="preserve">Regulatory and cost risks — what is the all-in cost to sell on Amazon India as a foreign brand?</w:t>
      </w:r>
    </w:p>
    <w:p>
      <w:pPr>
        <w:pStyle w:val="Heading3"/>
      </w:pPr>
      <w:r>
        <w:rPr>
          <w:rFonts w:ascii="Arial" w:cs="Arial" w:eastAsia="Arial" w:hAnsi="Arial"/>
          <w:b/>
          <w:bCs/>
          <w:color w:val="2D3748"/>
          <w:sz w:val="24"/>
          <w:szCs w:val="24"/>
        </w:rPr>
        <w:t xml:space="preserve">How Research Effort Was Prioritized</w:t>
      </w:r>
    </w:p>
    <w:p>
      <w:pPr>
        <w:pStyle w:val="BodyText"/>
      </w:pPr>
      <w:r>
        <w:rPr>
          <w:rFonts w:ascii="Arial" w:cs="Arial" w:eastAsia="Arial" w:hAnsi="Arial"/>
        </w:rPr>
        <w:t xml:space="preserve">Started with the dataset to establish a factual baseline (brand counts, price distributions, rating patterns, review themes). Then layered Quick Research reports for market sizing, competitive dynamics, and regulatory context. Finally, cross-validated dataset findings against external research to assign confidence levels.</w:t>
      </w:r>
    </w:p>
    <w:p>
      <w:pPr>
        <w:pStyle w:val="Heading3"/>
      </w:pPr>
      <w:r>
        <w:rPr>
          <w:rFonts w:ascii="Arial" w:cs="Arial" w:eastAsia="Arial" w:hAnsi="Arial"/>
          <w:b/>
          <w:bCs/>
          <w:color w:val="2D3748"/>
          <w:sz w:val="24"/>
          <w:szCs w:val="24"/>
        </w:rPr>
        <w:t xml:space="preserve">Tools Used Within Amazon Quick Suite</w:t>
      </w:r>
    </w:p>
    <w:p>
      <w:pPr>
        <w:pStyle w:val="ListParagraph"/>
        <w:numPr>
          <w:ilvl w:val="0"/>
          <w:numId w:val="2"/>
        </w:numPr>
        <w:spacing w:after="80"/>
      </w:pPr>
      <w:r>
        <w:rPr>
          <w:rFonts w:ascii="Arial" w:cs="Arial" w:eastAsia="Arial" w:hAnsi="Arial"/>
          <w:b/>
          <w:bCs/>
          <w:sz w:val="22"/>
          <w:szCs w:val="22"/>
        </w:rPr>
        <w:t xml:space="preserve">Spaces — </w:t>
      </w:r>
      <w:r>
        <w:rPr>
          <w:rFonts w:ascii="Arial" w:cs="Arial" w:eastAsia="Arial" w:hAnsi="Arial"/>
          <w:sz w:val="22"/>
          <w:szCs w:val="22"/>
        </w:rPr>
        <w:t xml:space="preserve">Organized all data sources (amazon.csv, Quick Research reports 02a–02c) in the “Market Intelligence – Amazon India Electronics” Space for centralized access.</w:t>
      </w:r>
    </w:p>
    <w:p>
      <w:pPr>
        <w:pStyle w:val="ListParagraph"/>
        <w:numPr>
          <w:ilvl w:val="0"/>
          <w:numId w:val="2"/>
        </w:numPr>
        <w:spacing w:after="80"/>
      </w:pPr>
      <w:r>
        <w:rPr>
          <w:rFonts w:ascii="Arial" w:cs="Arial" w:eastAsia="Arial" w:hAnsi="Arial"/>
          <w:b/>
          <w:bCs/>
          <w:sz w:val="22"/>
          <w:szCs w:val="22"/>
        </w:rPr>
        <w:t xml:space="preserve">Chat Agent (Market Intelligence Agent) — </w:t>
      </w:r>
      <w:r>
        <w:rPr>
          <w:rFonts w:ascii="Arial" w:cs="Arial" w:eastAsia="Arial" w:hAnsi="Arial"/>
          <w:sz w:val="22"/>
          <w:szCs w:val="22"/>
        </w:rPr>
        <w:t xml:space="preserve">Custom-configured agent with instructions to separate evidence by source, apply confidence rules, and follow the research brief template. Used for all analysis, table generation, and narrative synthesis.</w:t>
      </w:r>
    </w:p>
    <w:p>
      <w:pPr>
        <w:pStyle w:val="ListParagraph"/>
        <w:numPr>
          <w:ilvl w:val="0"/>
          <w:numId w:val="2"/>
        </w:numPr>
        <w:spacing w:after="80"/>
      </w:pPr>
      <w:r>
        <w:rPr>
          <w:rFonts w:ascii="Arial" w:cs="Arial" w:eastAsia="Arial" w:hAnsi="Arial"/>
          <w:b/>
          <w:bCs/>
          <w:sz w:val="22"/>
          <w:szCs w:val="22"/>
        </w:rPr>
        <w:t xml:space="preserve">Quick Research — </w:t>
      </w:r>
      <w:r>
        <w:rPr>
          <w:rFonts w:ascii="Arial" w:cs="Arial" w:eastAsia="Arial" w:hAnsi="Arial"/>
          <w:sz w:val="22"/>
          <w:szCs w:val="22"/>
        </w:rPr>
        <w:t xml:space="preserve">Generated three deep-dive reports: 02a (Market Trends), 02b (Competitors), 02c (Risks). Each report synthesized multiple external sources (Counterpoint, IDC, Expert Market Research, government tariff schedules, Amazon seller documentation).</w:t>
      </w:r>
    </w:p>
    <w:p>
      <w:pPr>
        <w:pStyle w:val="ListParagraph"/>
        <w:numPr>
          <w:ilvl w:val="0"/>
          <w:numId w:val="2"/>
        </w:numPr>
        <w:spacing w:after="80"/>
      </w:pPr>
      <w:r>
        <w:rPr>
          <w:rFonts w:ascii="Arial" w:cs="Arial" w:eastAsia="Arial" w:hAnsi="Arial"/>
          <w:b/>
          <w:bCs/>
          <w:sz w:val="22"/>
          <w:szCs w:val="22"/>
        </w:rPr>
        <w:t xml:space="preserve">Quick Chat (Code Interpreter) — </w:t>
      </w:r>
      <w:r>
        <w:rPr>
          <w:rFonts w:ascii="Arial" w:cs="Arial" w:eastAsia="Arial" w:hAnsi="Arial"/>
          <w:sz w:val="22"/>
          <w:szCs w:val="22"/>
        </w:rPr>
        <w:t xml:space="preserve">Parsed and analyzed amazon.csv programmatically: cleaned ₹-formatted prices, classified 1,465 listings into sub-categories, computed brand-level statistics (listing counts, rating_count totals, median prices, mean ratings), and extracted review themes.</w:t>
      </w:r>
    </w:p>
    <w:p>
      <w:pPr>
        <w:pStyle w:val="Heading1"/>
      </w:pPr>
      <w:r>
        <w:rPr>
          <w:rFonts w:ascii="Arial" w:cs="Arial" w:eastAsia="Arial" w:hAnsi="Arial"/>
          <w:b/>
          <w:bCs/>
          <w:color w:val="1A2E44"/>
          <w:sz w:val="32"/>
          <w:szCs w:val="32"/>
        </w:rPr>
        <w:t xml:space="preserve">4. Key Market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A6FA5" w:sz="8"/>
              <w:left w:val="single" w:color="4A6FA5" w:sz="8"/>
              <w:bottom w:val="none" w:color="FFFFFF" w:sz="0"/>
              <w:right w:val="none" w:color="FFFFFF" w:sz="0"/>
            </w:tcBorders>
            <w:shd w:fill="EBF4FF" w:val="clear"/>
          </w:tcPr>
          <w:p>
            <w:pPr>
              <w:spacing w:after="100" w:before="100"/>
            </w:pPr>
            <w:r>
              <w:rPr>
                <w:rFonts w:ascii="Arial" w:cs="Arial" w:eastAsia="Arial" w:hAnsi="Arial"/>
                <w:b/>
                <w:bCs/>
                <w:color w:val="2C5282"/>
                <w:sz w:val="26"/>
                <w:szCs w:val="26"/>
              </w:rPr>
              <w:t xml:space="preserve">Insight 1: </w:t>
            </w:r>
            <w:r>
              <w:rPr>
                <w:rFonts w:ascii="Arial" w:cs="Arial" w:eastAsia="Arial" w:hAnsi="Arial"/>
                <w:b/>
                <w:bCs/>
                <w:color w:val="1A2E44"/>
                <w:sz w:val="26"/>
                <w:szCs w:val="26"/>
              </w:rPr>
              <w:t xml:space="preserve">USB Cables/Chargers Is the Safest Entry Category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Insight Summary</w:t>
            </w:r>
          </w:p>
        </w:tc>
        <w:tc>
          <w:tcPr>
            <w:tcW w:type="dxa" w:w="7560"/>
            <w:tcBorders>
              <w:top w:val="single" w:color="C4D2E0" w:sz="4"/>
              <w:left w:val="single" w:color="C4D2E0" w:sz="4"/>
              <w:bottom w:val="single" w:color="C4D2E0" w:sz="4"/>
              <w:right w:val="single" w:color="C4D2E0" w:sz="4"/>
            </w:tcBorders>
            <w:shd w:fill="F7FAFC" w:val="clear"/>
          </w:tcPr>
          <w:p>
            <w:pPr>
              <w:spacing w:after="60" w:before="60"/>
            </w:pPr>
            <w:r>
              <w:rPr>
                <w:rFonts w:ascii="Arial" w:cs="Arial" w:eastAsia="Arial" w:hAnsi="Arial"/>
                <w:sz w:val="20"/>
                <w:szCs w:val="20"/>
              </w:rPr>
              <w:t xml:space="preserve">The cables/chargers sub-category is the largest ($2.30B, 8.9% CAGR), has the highest average ratings (4.17 mean), the most fragmented brand landscape (97 brands across 392 listings), and benefits from Amazon’s zero referral fee for products under ₹1,000.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Supporting Evidence</w:t>
            </w:r>
          </w:p>
        </w:tc>
        <w:tc>
          <w:tcPr>
            <w:tcW w:type="dxa" w:w="7560"/>
            <w:tcBorders>
              <w:top w:val="single" w:color="C4D2E0" w:sz="4"/>
              <w:left w:val="single" w:color="C4D2E0" w:sz="4"/>
              <w:bottom w:val="single" w:color="C4D2E0" w:sz="4"/>
              <w:right w:val="single" w:color="C4D2E0" w:sz="4"/>
            </w:tcBorders>
            <w:shd w:fill="FFFFFF" w:val="clear"/>
          </w:tcPr>
          <w:p>
            <w:pPr>
              <w:spacing w:after="60" w:before="60"/>
            </w:pPr>
            <w:r>
              <w:rPr>
                <w:rFonts w:ascii="Arial" w:cs="Arial" w:eastAsia="Arial" w:hAnsi="Arial"/>
                <w:sz w:val="20"/>
                <w:szCs w:val="20"/>
              </w:rPr>
              <w:t xml:space="preserve">[Dataset] 392 listings, 97 brands, mean rating 4.17, median discounted price ₹326, median discount 60.0%. No single brand exceeds 7.4% of listings.</w:t>
            </w:r>
          </w:p>
          <w:p>
            <w:pPr>
              <w:spacing w:after="60" w:before="60"/>
            </w:pPr>
            <w:r>
              <w:rPr>
                <w:rFonts w:ascii="Arial" w:cs="Arial" w:eastAsia="Arial" w:hAnsi="Arial"/>
                <w:sz w:val="20"/>
                <w:szCs w:val="20"/>
              </w:rPr>
              <w:t xml:space="preserve">[Quick Research: 02a] USB charger market valued at $2.30B in 2025 with 8.9% CAGR through 2035 (Expert Market Research).</w:t>
            </w:r>
          </w:p>
          <w:p>
            <w:pPr>
              <w:spacing w:after="60" w:before="60"/>
            </w:pPr>
            <w:r>
              <w:rPr>
                <w:rFonts w:ascii="Arial" w:cs="Arial" w:eastAsia="Arial" w:hAnsi="Arial"/>
                <w:sz w:val="20"/>
                <w:szCs w:val="20"/>
              </w:rPr>
              <w:t xml:space="preserve">[Quick Research: 02c] Zero referral fee for products priced under ₹1,000 on Amazon India.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Why It Matters</w:t>
            </w:r>
          </w:p>
        </w:tc>
        <w:tc>
          <w:tcPr>
            <w:tcW w:type="dxa" w:w="7560"/>
            <w:tcBorders>
              <w:top w:val="single" w:color="C4D2E0" w:sz="4"/>
              <w:left w:val="single" w:color="C4D2E0" w:sz="4"/>
              <w:bottom w:val="single" w:color="C4D2E0" w:sz="4"/>
              <w:right w:val="single" w:color="C4D2E0" w:sz="4"/>
            </w:tcBorders>
            <w:shd w:fill="FFF8E7" w:val="clear"/>
          </w:tcPr>
          <w:p>
            <w:pPr>
              <w:spacing w:after="60" w:before="60"/>
            </w:pPr>
            <w:r>
              <w:rPr>
                <w:rFonts w:ascii="Arial" w:cs="Arial" w:eastAsia="Arial" w:hAnsi="Arial"/>
                <w:sz w:val="20"/>
                <w:szCs w:val="20"/>
              </w:rPr>
              <w:t xml:space="preserve">Fragmentation means no entrenched gatekeeper. High ratings signal a quality-conscious buyer base that rewards good products. The zero-fee threshold at ₹1,000 creates a margin-friendly entry window at ₹300–₹800.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A6FA5" w:sz="8"/>
              <w:left w:val="single" w:color="4A6FA5" w:sz="8"/>
              <w:bottom w:val="none" w:color="FFFFFF" w:sz="0"/>
              <w:right w:val="none" w:color="FFFFFF" w:sz="0"/>
            </w:tcBorders>
            <w:shd w:fill="EBF4FF" w:val="clear"/>
          </w:tcPr>
          <w:p>
            <w:pPr>
              <w:spacing w:after="100" w:before="100"/>
            </w:pPr>
            <w:r>
              <w:rPr>
                <w:rFonts w:ascii="Arial" w:cs="Arial" w:eastAsia="Arial" w:hAnsi="Arial"/>
                <w:b/>
                <w:bCs/>
                <w:color w:val="2C5282"/>
                <w:sz w:val="26"/>
                <w:szCs w:val="26"/>
              </w:rPr>
              <w:t xml:space="preserve">Insight 2: </w:t>
            </w:r>
            <w:r>
              <w:rPr>
                <w:rFonts w:ascii="Arial" w:cs="Arial" w:eastAsia="Arial" w:hAnsi="Arial"/>
                <w:b/>
                <w:bCs/>
                <w:color w:val="1A2E44"/>
                <w:sz w:val="26"/>
                <w:szCs w:val="26"/>
              </w:rPr>
              <w:t xml:space="preserve">Earbuds Quality Gap Exists but Requires Brand Investment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Insight Summary</w:t>
            </w:r>
          </w:p>
        </w:tc>
        <w:tc>
          <w:tcPr>
            <w:tcW w:type="dxa" w:w="7560"/>
            <w:tcBorders>
              <w:top w:val="single" w:color="C4D2E0" w:sz="4"/>
              <w:left w:val="single" w:color="C4D2E0" w:sz="4"/>
              <w:bottom w:val="single" w:color="C4D2E0" w:sz="4"/>
              <w:right w:val="single" w:color="C4D2E0" w:sz="4"/>
            </w:tcBorders>
            <w:shd w:fill="F7FAFC" w:val="clear"/>
          </w:tcPr>
          <w:p>
            <w:pPr>
              <w:spacing w:after="60" w:before="60"/>
            </w:pPr>
            <w:r>
              <w:rPr>
                <w:rFonts w:ascii="Arial" w:cs="Arial" w:eastAsia="Arial" w:hAnsi="Arial"/>
                <w:sz w:val="20"/>
                <w:szCs w:val="20"/>
              </w:rPr>
              <w:t xml:space="preserve">The ₹1,500–₹2,000 TWS price band grew 52% YoY, yet average ratings in earbuds (3.92 mean) are the lowest of the three sub-categories. Consumers consistently complain about mic quality, connectivity drops, and poor after-sales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Supporting Evidence</w:t>
            </w:r>
          </w:p>
        </w:tc>
        <w:tc>
          <w:tcPr>
            <w:tcW w:type="dxa" w:w="7560"/>
            <w:tcBorders>
              <w:top w:val="single" w:color="C4D2E0" w:sz="4"/>
              <w:left w:val="single" w:color="C4D2E0" w:sz="4"/>
              <w:bottom w:val="single" w:color="C4D2E0" w:sz="4"/>
              <w:right w:val="single" w:color="C4D2E0" w:sz="4"/>
            </w:tcBorders>
            <w:shd w:fill="FFFFFF" w:val="clear"/>
          </w:tcPr>
          <w:p>
            <w:pPr>
              <w:spacing w:after="60" w:before="60"/>
            </w:pPr>
            <w:r>
              <w:rPr>
                <w:rFonts w:ascii="Arial" w:cs="Arial" w:eastAsia="Arial" w:hAnsi="Arial"/>
                <w:sz w:val="20"/>
                <w:szCs w:val="20"/>
              </w:rPr>
              <w:t xml:space="preserve">[Dataset] 73 listings, 22 brands, mean rating 3.92. boAt dominates with 23 listings and 2.98M total rating_count. Rating range 3.4–4.3.</w:t>
            </w:r>
          </w:p>
          <w:p>
            <w:pPr>
              <w:spacing w:after="60" w:before="60"/>
            </w:pPr>
            <w:r>
              <w:rPr>
                <w:rFonts w:ascii="Arial" w:cs="Arial" w:eastAsia="Arial" w:hAnsi="Arial"/>
                <w:sz w:val="20"/>
                <w:szCs w:val="20"/>
              </w:rPr>
              <w:t xml:space="preserve">[Quick Research: 02b] ₹1,500–₹2,000 band grew 52% YoY. boAt holds 32.9% TWS share but eroding. Portronics rated 1.6/5 on Trustpilot for after-sales.</w:t>
            </w:r>
          </w:p>
          <w:p>
            <w:pPr>
              <w:spacing w:after="60" w:before="60"/>
            </w:pPr>
            <w:r>
              <w:rPr>
                <w:rFonts w:ascii="Arial" w:cs="Arial" w:eastAsia="Arial" w:hAnsi="Arial"/>
                <w:sz w:val="20"/>
                <w:szCs w:val="20"/>
              </w:rPr>
              <w:t xml:space="preserve">[Dataset] Review complaints: poor mic quality, bass distortion, Bluetooth connectivity drops, durability failures within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Why It Matters</w:t>
            </w:r>
          </w:p>
        </w:tc>
        <w:tc>
          <w:tcPr>
            <w:tcW w:type="dxa" w:w="7560"/>
            <w:tcBorders>
              <w:top w:val="single" w:color="C4D2E0" w:sz="4"/>
              <w:left w:val="single" w:color="C4D2E0" w:sz="4"/>
              <w:bottom w:val="single" w:color="C4D2E0" w:sz="4"/>
              <w:right w:val="single" w:color="C4D2E0" w:sz="4"/>
            </w:tcBorders>
            <w:shd w:fill="FFF8E7" w:val="clear"/>
          </w:tcPr>
          <w:p>
            <w:pPr>
              <w:spacing w:after="60" w:before="60"/>
            </w:pPr>
            <w:r>
              <w:rPr>
                <w:rFonts w:ascii="Arial" w:cs="Arial" w:eastAsia="Arial" w:hAnsi="Arial"/>
                <w:sz w:val="20"/>
                <w:szCs w:val="20"/>
              </w:rPr>
              <w:t xml:space="preserve">The quality gap is real but exploiting it requires brand trust that VoltEdge does not yet have in India. Cables can build that trust first; earbuds should be a second-wave launch.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A6FA5" w:sz="8"/>
              <w:left w:val="single" w:color="4A6FA5" w:sz="8"/>
              <w:bottom w:val="none" w:color="FFFFFF" w:sz="0"/>
              <w:right w:val="none" w:color="FFFFFF" w:sz="0"/>
            </w:tcBorders>
            <w:shd w:fill="EBF4FF" w:val="clear"/>
          </w:tcPr>
          <w:p>
            <w:pPr>
              <w:spacing w:after="100" w:before="100"/>
            </w:pPr>
            <w:r>
              <w:rPr>
                <w:rFonts w:ascii="Arial" w:cs="Arial" w:eastAsia="Arial" w:hAnsi="Arial"/>
                <w:b/>
                <w:bCs/>
                <w:color w:val="2C5282"/>
                <w:sz w:val="26"/>
                <w:szCs w:val="26"/>
              </w:rPr>
              <w:t xml:space="preserve">Insight 3: </w:t>
            </w:r>
            <w:r>
              <w:rPr>
                <w:rFonts w:ascii="Arial" w:cs="Arial" w:eastAsia="Arial" w:hAnsi="Arial"/>
                <w:b/>
                <w:bCs/>
                <w:color w:val="1A2E44"/>
                <w:sz w:val="26"/>
                <w:szCs w:val="26"/>
              </w:rPr>
              <w:t xml:space="preserve">Smartwatches Are a Value Trap — Avoid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Insight Summary</w:t>
            </w:r>
          </w:p>
        </w:tc>
        <w:tc>
          <w:tcPr>
            <w:tcW w:type="dxa" w:w="7560"/>
            <w:tcBorders>
              <w:top w:val="single" w:color="C4D2E0" w:sz="4"/>
              <w:left w:val="single" w:color="C4D2E0" w:sz="4"/>
              <w:bottom w:val="single" w:color="C4D2E0" w:sz="4"/>
              <w:right w:val="single" w:color="C4D2E0" w:sz="4"/>
            </w:tcBorders>
            <w:shd w:fill="F7FAFC" w:val="clear"/>
          </w:tcPr>
          <w:p>
            <w:pPr>
              <w:spacing w:after="60" w:before="60"/>
            </w:pPr>
            <w:r>
              <w:rPr>
                <w:rFonts w:ascii="Arial" w:cs="Arial" w:eastAsia="Arial" w:hAnsi="Arial"/>
                <w:sz w:val="20"/>
                <w:szCs w:val="20"/>
              </w:rPr>
              <w:t xml:space="preserve">The smartwatch category is contracting (−43.9% revenue decline from 2023 peak), dominated by three brands running extreme discounts (median 74.5%, Fire-Boltt at 79.5%), with eroded consumer trust in sensor accuracy and software quality.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Supporting Evidence</w:t>
            </w:r>
          </w:p>
        </w:tc>
        <w:tc>
          <w:tcPr>
            <w:tcW w:type="dxa" w:w="7560"/>
            <w:tcBorders>
              <w:top w:val="single" w:color="C4D2E0" w:sz="4"/>
              <w:left w:val="single" w:color="C4D2E0" w:sz="4"/>
              <w:bottom w:val="single" w:color="C4D2E0" w:sz="4"/>
              <w:right w:val="single" w:color="C4D2E0" w:sz="4"/>
            </w:tcBorders>
            <w:shd w:fill="FFFFFF" w:val="clear"/>
          </w:tcPr>
          <w:p>
            <w:pPr>
              <w:spacing w:after="60" w:before="60"/>
            </w:pPr>
            <w:r>
              <w:rPr>
                <w:rFonts w:ascii="Arial" w:cs="Arial" w:eastAsia="Arial" w:hAnsi="Arial"/>
                <w:sz w:val="20"/>
                <w:szCs w:val="20"/>
              </w:rPr>
              <w:t xml:space="preserve">[Dataset] 76 listings, only 13 brands. Fire-Boltt (26 listings), Noise (21), boAt (17) control 84.2% of sample. Median discount 74.5%.</w:t>
            </w:r>
          </w:p>
          <w:p>
            <w:pPr>
              <w:spacing w:after="60" w:before="60"/>
            </w:pPr>
            <w:r>
              <w:rPr>
                <w:rFonts w:ascii="Arial" w:cs="Arial" w:eastAsia="Arial" w:hAnsi="Arial"/>
                <w:sz w:val="20"/>
                <w:szCs w:val="20"/>
              </w:rPr>
              <w:t xml:space="preserve">[Quick Research: 02b] Revenue fell from $1.39B (2023) to $780M (2025). Fire-Boltt share collapsed from 30% to 9.7%. Shipments down 30% in 2024, 18% in 2025.</w:t>
            </w:r>
          </w:p>
          <w:p>
            <w:pPr>
              <w:spacing w:after="60" w:before="60"/>
            </w:pPr>
            <w:r>
              <w:rPr>
                <w:rFonts w:ascii="Arial" w:cs="Arial" w:eastAsia="Arial" w:hAnsi="Arial"/>
                <w:sz w:val="20"/>
                <w:szCs w:val="20"/>
              </w:rPr>
              <w:t xml:space="preserve">[Dataset] Review complaints: inaccurate SpO2/heart-rate sensors, clunky UI, poor after-sales warranty, white-label feel.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Why It Matters</w:t>
            </w:r>
          </w:p>
        </w:tc>
        <w:tc>
          <w:tcPr>
            <w:tcW w:type="dxa" w:w="7560"/>
            <w:tcBorders>
              <w:top w:val="single" w:color="C4D2E0" w:sz="4"/>
              <w:left w:val="single" w:color="C4D2E0" w:sz="4"/>
              <w:bottom w:val="single" w:color="C4D2E0" w:sz="4"/>
              <w:right w:val="single" w:color="C4D2E0" w:sz="4"/>
            </w:tcBorders>
            <w:shd w:fill="FFF8E7" w:val="clear"/>
          </w:tcPr>
          <w:p>
            <w:pPr>
              <w:spacing w:after="60" w:before="60"/>
            </w:pPr>
            <w:r>
              <w:rPr>
                <w:rFonts w:ascii="Arial" w:cs="Arial" w:eastAsia="Arial" w:hAnsi="Arial"/>
                <w:sz w:val="20"/>
                <w:szCs w:val="20"/>
              </w:rPr>
              <w:t xml:space="preserve">Entering a contracting, trust-eroded category with entrenched discounters would force VoltEdge into a margin-destroying price war with no path to differentiation.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A6FA5" w:sz="8"/>
              <w:left w:val="single" w:color="4A6FA5" w:sz="8"/>
              <w:bottom w:val="none" w:color="FFFFFF" w:sz="0"/>
              <w:right w:val="none" w:color="FFFFFF" w:sz="0"/>
            </w:tcBorders>
            <w:shd w:fill="EBF4FF" w:val="clear"/>
          </w:tcPr>
          <w:p>
            <w:pPr>
              <w:spacing w:after="100" w:before="100"/>
            </w:pPr>
            <w:r>
              <w:rPr>
                <w:rFonts w:ascii="Arial" w:cs="Arial" w:eastAsia="Arial" w:hAnsi="Arial"/>
                <w:b/>
                <w:bCs/>
                <w:color w:val="2C5282"/>
                <w:sz w:val="26"/>
                <w:szCs w:val="26"/>
              </w:rPr>
              <w:t xml:space="preserve">Insight 4: </w:t>
            </w:r>
            <w:r>
              <w:rPr>
                <w:rFonts w:ascii="Arial" w:cs="Arial" w:eastAsia="Arial" w:hAnsi="Arial"/>
                <w:b/>
                <w:bCs/>
                <w:color w:val="1A2E44"/>
                <w:sz w:val="26"/>
                <w:szCs w:val="26"/>
              </w:rPr>
              <w:t xml:space="preserve">Tier-2/3 Cities Are the Growth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Insight Summary</w:t>
            </w:r>
          </w:p>
        </w:tc>
        <w:tc>
          <w:tcPr>
            <w:tcW w:type="dxa" w:w="7560"/>
            <w:tcBorders>
              <w:top w:val="single" w:color="C4D2E0" w:sz="4"/>
              <w:left w:val="single" w:color="C4D2E0" w:sz="4"/>
              <w:bottom w:val="single" w:color="C4D2E0" w:sz="4"/>
              <w:right w:val="single" w:color="C4D2E0" w:sz="4"/>
            </w:tcBorders>
            <w:shd w:fill="F7FAFC" w:val="clear"/>
          </w:tcPr>
          <w:p>
            <w:pPr>
              <w:spacing w:after="60" w:before="60"/>
            </w:pPr>
            <w:r>
              <w:rPr>
                <w:rFonts w:ascii="Arial" w:cs="Arial" w:eastAsia="Arial" w:hAnsi="Arial"/>
                <w:sz w:val="20"/>
                <w:szCs w:val="20"/>
              </w:rPr>
              <w:t xml:space="preserve">Over 65% of Amazon India’s consumer electronics orders come from tier-2/3 cities, yet online penetration is only ~4%. The festive season (September–October) captures 48% of annual festive GMV in its first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Supporting Evidence</w:t>
            </w:r>
          </w:p>
        </w:tc>
        <w:tc>
          <w:tcPr>
            <w:tcW w:type="dxa" w:w="7560"/>
            <w:tcBorders>
              <w:top w:val="single" w:color="C4D2E0" w:sz="4"/>
              <w:left w:val="single" w:color="C4D2E0" w:sz="4"/>
              <w:bottom w:val="single" w:color="C4D2E0" w:sz="4"/>
              <w:right w:val="single" w:color="C4D2E0" w:sz="4"/>
            </w:tcBorders>
            <w:shd w:fill="FFFFFF" w:val="clear"/>
          </w:tcPr>
          <w:p>
            <w:pPr>
              <w:spacing w:after="60" w:before="60"/>
            </w:pPr>
            <w:r>
              <w:rPr>
                <w:rFonts w:ascii="Arial" w:cs="Arial" w:eastAsia="Arial" w:hAnsi="Arial"/>
                <w:sz w:val="20"/>
                <w:szCs w:val="20"/>
              </w:rPr>
              <w:t xml:space="preserve">[Quick Research: 02a] 65% of orders from tier-2/3 cities (Amazon India VP, Moneycontrol). Online penetration ~4% in non-metro (ET Retail). Festive season 2025: ₹1.24 lakh crore GMV, +31% YoY, first week = 48% of total.</w:t>
            </w:r>
          </w:p>
          <w:p>
            <w:pPr>
              <w:spacing w:after="60" w:before="60"/>
            </w:pPr>
            <w:r>
              <w:rPr>
                <w:rFonts w:ascii="Arial" w:cs="Arial" w:eastAsia="Arial" w:hAnsi="Arial"/>
                <w:sz w:val="20"/>
                <w:szCs w:val="20"/>
              </w:rPr>
              <w:t xml:space="preserve">[Dataset] No geographic data available to corroborate — this insight relies entirely on external research.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Why It Matters</w:t>
            </w:r>
          </w:p>
        </w:tc>
        <w:tc>
          <w:tcPr>
            <w:tcW w:type="dxa" w:w="7560"/>
            <w:tcBorders>
              <w:top w:val="single" w:color="C4D2E0" w:sz="4"/>
              <w:left w:val="single" w:color="C4D2E0" w:sz="4"/>
              <w:bottom w:val="single" w:color="C4D2E0" w:sz="4"/>
              <w:right w:val="single" w:color="C4D2E0" w:sz="4"/>
            </w:tcBorders>
            <w:shd w:fill="FFF8E7" w:val="clear"/>
          </w:tcPr>
          <w:p>
            <w:pPr>
              <w:spacing w:after="60" w:before="60"/>
            </w:pPr>
            <w:r>
              <w:rPr>
                <w:rFonts w:ascii="Arial" w:cs="Arial" w:eastAsia="Arial" w:hAnsi="Arial"/>
                <w:sz w:val="20"/>
                <w:szCs w:val="20"/>
              </w:rPr>
              <w:t xml:space="preserve">VoltEdge’s launch timing and inventory planning must be anchored to the September–October festive window. Marketing spend should target tier-2/3 audiences where competition for attention is lower.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A6FA5" w:sz="8"/>
              <w:left w:val="single" w:color="4A6FA5" w:sz="8"/>
              <w:bottom w:val="none" w:color="FFFFFF" w:sz="0"/>
              <w:right w:val="none" w:color="FFFFFF" w:sz="0"/>
            </w:tcBorders>
            <w:shd w:fill="EBF4FF" w:val="clear"/>
          </w:tcPr>
          <w:p>
            <w:pPr>
              <w:spacing w:after="100" w:before="100"/>
            </w:pPr>
            <w:r>
              <w:rPr>
                <w:rFonts w:ascii="Arial" w:cs="Arial" w:eastAsia="Arial" w:hAnsi="Arial"/>
                <w:b/>
                <w:bCs/>
                <w:color w:val="2C5282"/>
                <w:sz w:val="26"/>
                <w:szCs w:val="26"/>
              </w:rPr>
              <w:t xml:space="preserve">Insight 5: </w:t>
            </w:r>
            <w:r>
              <w:rPr>
                <w:rFonts w:ascii="Arial" w:cs="Arial" w:eastAsia="Arial" w:hAnsi="Arial"/>
                <w:b/>
                <w:bCs/>
                <w:color w:val="1A2E44"/>
                <w:sz w:val="26"/>
                <w:szCs w:val="26"/>
              </w:rPr>
              <w:t xml:space="preserve">Regulatory and Fee Stack Consumes 30–40% of Selling Price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Insight Summary</w:t>
            </w:r>
          </w:p>
        </w:tc>
        <w:tc>
          <w:tcPr>
            <w:tcW w:type="dxa" w:w="7560"/>
            <w:tcBorders>
              <w:top w:val="single" w:color="C4D2E0" w:sz="4"/>
              <w:left w:val="single" w:color="C4D2E0" w:sz="4"/>
              <w:bottom w:val="single" w:color="C4D2E0" w:sz="4"/>
              <w:right w:val="single" w:color="C4D2E0" w:sz="4"/>
            </w:tcBorders>
            <w:shd w:fill="F7FAFC" w:val="clear"/>
          </w:tcPr>
          <w:p>
            <w:pPr>
              <w:spacing w:after="60" w:before="60"/>
            </w:pPr>
            <w:r>
              <w:rPr>
                <w:rFonts w:ascii="Arial" w:cs="Arial" w:eastAsia="Arial" w:hAnsi="Arial"/>
                <w:sz w:val="20"/>
                <w:szCs w:val="20"/>
              </w:rPr>
              <w:t xml:space="preserve">Import duties (16.5–22%), BIS certification (₹28K–65K per SKU), FDI entity setup ($10K–$50K), and Amazon platform fees (10–20%) combine to consume 30–40% of the consumer selling price before product cost or marketing.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Supporting Evidence</w:t>
            </w:r>
          </w:p>
        </w:tc>
        <w:tc>
          <w:tcPr>
            <w:tcW w:type="dxa" w:w="7560"/>
            <w:tcBorders>
              <w:top w:val="single" w:color="C4D2E0" w:sz="4"/>
              <w:left w:val="single" w:color="C4D2E0" w:sz="4"/>
              <w:bottom w:val="single" w:color="C4D2E0" w:sz="4"/>
              <w:right w:val="single" w:color="C4D2E0" w:sz="4"/>
            </w:tcBorders>
            <w:shd w:fill="FFFFFF" w:val="clear"/>
          </w:tcPr>
          <w:p>
            <w:pPr>
              <w:spacing w:after="60" w:before="60"/>
            </w:pPr>
            <w:r>
              <w:rPr>
                <w:rFonts w:ascii="Arial" w:cs="Arial" w:eastAsia="Arial" w:hAnsi="Arial"/>
                <w:sz w:val="20"/>
                <w:szCs w:val="20"/>
              </w:rPr>
              <w:t xml:space="preserve">[Quick Research: 02c] BCD 15–20% + SWS 10% of BCD + IGST 18% (reclaimable). BIS CRS mandatory for chargers, power banks, earphones: ₹28K–65K per model, 20–40 working days. FDI entity: $10K–$50K, 2–4 months. Amazon closing + weight handling + logistics surcharge = 10–20%.</w:t>
            </w:r>
          </w:p>
          <w:p>
            <w:pPr>
              <w:spacing w:after="60" w:before="60"/>
            </w:pPr>
            <w:r>
              <w:rPr>
                <w:rFonts w:ascii="Arial" w:cs="Arial" w:eastAsia="Arial" w:hAnsi="Arial"/>
                <w:sz w:val="20"/>
                <w:szCs w:val="20"/>
              </w:rPr>
              <w:t xml:space="preserve">[Dataset] Not observable — no cost or fee data in the dataset.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4D2E0" w:sz="4"/>
              <w:left w:val="single" w:color="C4D2E0" w:sz="4"/>
              <w:bottom w:val="single" w:color="C4D2E0" w:sz="4"/>
              <w:right w:val="single" w:color="C4D2E0" w:sz="4"/>
            </w:tcBorders>
            <w:shd w:fill="2C5282" w:val="clear"/>
            <w:vAlign w:val="top"/>
          </w:tcPr>
          <w:p>
            <w:pPr>
              <w:spacing w:after="80" w:before="80"/>
            </w:pPr>
            <w:r>
              <w:rPr>
                <w:rFonts w:ascii="Arial" w:cs="Arial" w:eastAsia="Arial" w:hAnsi="Arial"/>
                <w:b/>
                <w:bCs/>
                <w:color w:val="FFFFFF"/>
                <w:sz w:val="20"/>
                <w:szCs w:val="20"/>
              </w:rPr>
              <w:t xml:space="preserve">Why It Matters</w:t>
            </w:r>
          </w:p>
        </w:tc>
        <w:tc>
          <w:tcPr>
            <w:tcW w:type="dxa" w:w="7560"/>
            <w:tcBorders>
              <w:top w:val="single" w:color="C4D2E0" w:sz="4"/>
              <w:left w:val="single" w:color="C4D2E0" w:sz="4"/>
              <w:bottom w:val="single" w:color="C4D2E0" w:sz="4"/>
              <w:right w:val="single" w:color="C4D2E0" w:sz="4"/>
            </w:tcBorders>
            <w:shd w:fill="FFF8E7" w:val="clear"/>
          </w:tcPr>
          <w:p>
            <w:pPr>
              <w:spacing w:after="60" w:before="60"/>
            </w:pPr>
            <w:r>
              <w:rPr>
                <w:rFonts w:ascii="Arial" w:cs="Arial" w:eastAsia="Arial" w:hAnsi="Arial"/>
                <w:sz w:val="20"/>
                <w:szCs w:val="20"/>
              </w:rPr>
              <w:t xml:space="preserve">This cost stack is the single biggest threat to unit economics. VoltEdge must build a detailed landed-cost model before committing to pricing. The ₹300–₹800 cable entry point must still yield positive margin after the full 30–40% erosion.</w:t>
            </w:r>
          </w:p>
        </w:tc>
      </w:tr>
    </w:tbl>
    <w:p>
      <w:pPr>
        <w:spacing w:after="80" w:before="80"/>
      </w:pPr>
      <w:r>
        <w:t xml:space="preserve"/>
      </w:r>
    </w:p>
    <w:p>
      <w:pPr>
        <w:pStyle w:val="Heading1"/>
      </w:pPr>
      <w:r>
        <w:rPr>
          <w:rFonts w:ascii="Arial" w:cs="Arial" w:eastAsia="Arial" w:hAnsi="Arial"/>
          <w:b/>
          <w:bCs/>
          <w:color w:val="1A2E44"/>
          <w:sz w:val="32"/>
          <w:szCs w:val="32"/>
        </w:rPr>
        <w:t xml:space="preserve">5. Visual Evidence</w:t>
      </w:r>
    </w:p>
    <w:p>
      <w:pPr>
        <w:pStyle w:val="Heading3"/>
      </w:pPr>
      <w:r>
        <w:rPr>
          <w:rFonts w:ascii="Arial" w:cs="Arial" w:eastAsia="Arial" w:hAnsi="Arial"/>
          <w:b/>
          <w:bCs/>
          <w:color w:val="2D3748"/>
          <w:sz w:val="24"/>
          <w:szCs w:val="24"/>
        </w:rPr>
        <w:t xml:space="preserve">Chart 1: Competitive Landscape Comparison Table</w:t>
      </w:r>
    </w:p>
    <w:p>
      <w:pPr>
        <w:pStyle w:val="BodyText"/>
      </w:pPr>
      <w:r>
        <w:rPr>
          <w:rFonts w:ascii="Arial" w:cs="Arial" w:eastAsia="Arial" w:hAnsi="Arial"/>
        </w:rPr>
        <w:t xml:space="preserve">Top brands by listing count and total rating_count across three sub-categories, with median discounted price, median discount %, average rating, and key positioning for each sub-category.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35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Sub-Category</w:t>
            </w:r>
          </w:p>
        </w:tc>
        <w:tc>
          <w:tcPr>
            <w:tcW w:type="dxa" w:w="156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Top Brands</w:t>
            </w:r>
          </w:p>
        </w:tc>
        <w:tc>
          <w:tcPr>
            <w:tcW w:type="dxa" w:w="160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Price Range</w:t>
            </w:r>
          </w:p>
        </w:tc>
        <w:tc>
          <w:tcPr>
            <w:tcW w:type="dxa" w:w="90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Avg Rating</w:t>
            </w:r>
          </w:p>
        </w:tc>
        <w:tc>
          <w:tcPr>
            <w:tcW w:type="dxa" w:w="100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Avg Disc %</w:t>
            </w:r>
          </w:p>
        </w:tc>
        <w:tc>
          <w:tcPr>
            <w:tcW w:type="dxa" w:w="295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Key Positioning</w:t>
            </w:r>
          </w:p>
        </w:tc>
      </w:tr>
      <w:tr>
        <w:tc>
          <w:tcPr>
            <w:tcW w:type="dxa" w:w="135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bCs/>
                <w:color w:val="2D3748"/>
                <w:sz w:val="20"/>
                <w:szCs w:val="20"/>
              </w:rPr>
              <w:t xml:space="preserve">Cables / Chargers</w:t>
            </w:r>
          </w:p>
        </w:tc>
        <w:tc>
          <w:tcPr>
            <w:tcW w:type="dxa" w:w="156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2D3748"/>
                <w:sz w:val="20"/>
                <w:szCs w:val="20"/>
              </w:rPr>
              <w:t xml:space="preserve">boAt, Portronics, Ambrane, OnePlus, AmazonBasics</w:t>
            </w:r>
          </w:p>
        </w:tc>
        <w:tc>
          <w:tcPr>
            <w:tcW w:type="dxa" w:w="160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2D3748"/>
                <w:sz w:val="20"/>
                <w:szCs w:val="20"/>
              </w:rPr>
              <w:t xml:space="preserve">₹149–₹2,499</w:t>
            </w:r>
          </w:p>
        </w:tc>
        <w:tc>
          <w:tcPr>
            <w:tcW w:type="dxa" w:w="900"/>
            <w:tcBorders>
              <w:top w:val="single" w:color="C4D2E0" w:sz="4"/>
              <w:left w:val="single" w:color="C4D2E0" w:sz="4"/>
              <w:bottom w:val="single" w:color="C4D2E0" w:sz="4"/>
              <w:right w:val="single" w:color="C4D2E0" w:sz="4"/>
            </w:tcBorders>
            <w:shd w:fill="F0F4F8" w:val="clear"/>
            <w:vAlign w:val="top"/>
          </w:tcPr>
          <w:p>
            <w:pPr>
              <w:spacing w:after="80" w:before="80"/>
              <w:jc w:val="center"/>
            </w:pPr>
            <w:r>
              <w:rPr>
                <w:rFonts w:ascii="Arial" w:cs="Arial" w:eastAsia="Arial" w:hAnsi="Arial"/>
                <w:b w:val="false"/>
                <w:bCs w:val="false"/>
                <w:color w:val="2F855A"/>
                <w:sz w:val="20"/>
                <w:szCs w:val="20"/>
              </w:rPr>
              <w:t xml:space="preserve">4.0–4.5</w:t>
            </w:r>
          </w:p>
        </w:tc>
        <w:tc>
          <w:tcPr>
            <w:tcW w:type="dxa" w:w="1000"/>
            <w:tcBorders>
              <w:top w:val="single" w:color="C4D2E0" w:sz="4"/>
              <w:left w:val="single" w:color="C4D2E0" w:sz="4"/>
              <w:bottom w:val="single" w:color="C4D2E0" w:sz="4"/>
              <w:right w:val="single" w:color="C4D2E0" w:sz="4"/>
            </w:tcBorders>
            <w:shd w:fill="F0F4F8" w:val="clear"/>
            <w:vAlign w:val="top"/>
          </w:tcPr>
          <w:p>
            <w:pPr>
              <w:spacing w:after="80" w:before="80"/>
              <w:jc w:val="center"/>
            </w:pPr>
            <w:r>
              <w:rPr>
                <w:rFonts w:ascii="Arial" w:cs="Arial" w:eastAsia="Arial" w:hAnsi="Arial"/>
                <w:b w:val="false"/>
                <w:bCs w:val="false"/>
                <w:color w:val="2D3748"/>
                <w:sz w:val="20"/>
                <w:szCs w:val="20"/>
              </w:rPr>
              <w:t xml:space="preserve">44–64%</w:t>
            </w:r>
          </w:p>
        </w:tc>
        <w:tc>
          <w:tcPr>
            <w:tcW w:type="dxa" w:w="295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2D3748"/>
                <w:sz w:val="20"/>
                <w:szCs w:val="20"/>
              </w:rPr>
              <w:t xml:space="preserve">Value + durability; boAt leads review volume (4.38M total reviews across 65 products)</w:t>
            </w:r>
          </w:p>
        </w:tc>
      </w:tr>
      <w:tr>
        <w:tc>
          <w:tcPr>
            <w:tcW w:type="dxa" w:w="135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bCs/>
                <w:color w:val="2D3748"/>
                <w:sz w:val="20"/>
                <w:szCs w:val="20"/>
              </w:rPr>
              <w:t xml:space="preserve">Earbuds / Headphones</w:t>
            </w:r>
          </w:p>
        </w:tc>
        <w:tc>
          <w:tcPr>
            <w:tcW w:type="dxa" w:w="156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boAt, Boult Audio, Noise, JBL, OnePlus, Realme</w:t>
            </w:r>
          </w:p>
        </w:tc>
        <w:tc>
          <w:tcPr>
            <w:tcW w:type="dxa" w:w="160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₹349–₹1,799 (budget); ₹1,500–₹2,000 (fastest-growing)</w:t>
            </w:r>
          </w:p>
        </w:tc>
        <w:tc>
          <w:tcPr>
            <w:tcW w:type="dxa" w:w="900"/>
            <w:tcBorders>
              <w:top w:val="single" w:color="C4D2E0" w:sz="4"/>
              <w:left w:val="single" w:color="C4D2E0" w:sz="4"/>
              <w:bottom w:val="single" w:color="C4D2E0" w:sz="4"/>
              <w:right w:val="single" w:color="C4D2E0" w:sz="4"/>
            </w:tcBorders>
            <w:shd w:fill="FFFFFF" w:val="clear"/>
            <w:vAlign w:val="top"/>
          </w:tcPr>
          <w:p>
            <w:pPr>
              <w:spacing w:after="80" w:before="80"/>
              <w:jc w:val="center"/>
            </w:pPr>
            <w:r>
              <w:rPr>
                <w:rFonts w:ascii="Arial" w:cs="Arial" w:eastAsia="Arial" w:hAnsi="Arial"/>
                <w:b w:val="false"/>
                <w:bCs w:val="false"/>
                <w:color w:val="C05621"/>
                <w:sz w:val="20"/>
                <w:szCs w:val="20"/>
              </w:rPr>
              <w:t xml:space="preserve">3.87–4.05</w:t>
            </w:r>
          </w:p>
        </w:tc>
        <w:tc>
          <w:tcPr>
            <w:tcW w:type="dxa" w:w="1000"/>
            <w:tcBorders>
              <w:top w:val="single" w:color="C4D2E0" w:sz="4"/>
              <w:left w:val="single" w:color="C4D2E0" w:sz="4"/>
              <w:bottom w:val="single" w:color="C4D2E0" w:sz="4"/>
              <w:right w:val="single" w:color="C4D2E0" w:sz="4"/>
            </w:tcBorders>
            <w:shd w:fill="FFFFFF" w:val="clear"/>
            <w:vAlign w:val="top"/>
          </w:tcPr>
          <w:p>
            <w:pPr>
              <w:spacing w:after="80" w:before="80"/>
              <w:jc w:val="center"/>
            </w:pPr>
            <w:r>
              <w:rPr>
                <w:rFonts w:ascii="Arial" w:cs="Arial" w:eastAsia="Arial" w:hAnsi="Arial"/>
                <w:b w:val="false"/>
                <w:bCs w:val="false"/>
                <w:color w:val="2D3748"/>
                <w:sz w:val="20"/>
                <w:szCs w:val="20"/>
              </w:rPr>
              <w:t xml:space="preserve">46–61%</w:t>
            </w:r>
          </w:p>
        </w:tc>
        <w:tc>
          <w:tcPr>
            <w:tcW w:type="dxa" w:w="295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boAt holds 32.9% TWS share (2024) but eroding; Boult surging at 17%</w:t>
            </w:r>
          </w:p>
        </w:tc>
      </w:tr>
      <w:tr>
        <w:tc>
          <w:tcPr>
            <w:tcW w:type="dxa" w:w="135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bCs/>
                <w:color w:val="2D3748"/>
                <w:sz w:val="20"/>
                <w:szCs w:val="20"/>
              </w:rPr>
              <w:t xml:space="preserve">Smartwatches</w:t>
            </w:r>
          </w:p>
        </w:tc>
        <w:tc>
          <w:tcPr>
            <w:tcW w:type="dxa" w:w="156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val="false"/>
                <w:bCs w:val="false"/>
                <w:color w:val="2D3748"/>
                <w:sz w:val="20"/>
                <w:szCs w:val="20"/>
              </w:rPr>
              <w:t xml:space="preserve">Noise, Fire-Boltt, boAt, Titan/Fastrack</w:t>
            </w:r>
          </w:p>
        </w:tc>
        <w:tc>
          <w:tcPr>
            <w:tcW w:type="dxa" w:w="160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val="false"/>
                <w:bCs w:val="false"/>
                <w:color w:val="2D3748"/>
                <w:sz w:val="20"/>
                <w:szCs w:val="20"/>
              </w:rPr>
              <w:t xml:space="preserve">₹249–₹4,499 (budget); ₹1,499–₹3,999 (Fire-Boltt)</w:t>
            </w:r>
          </w:p>
        </w:tc>
        <w:tc>
          <w:tcPr>
            <w:tcW w:type="dxa" w:w="900"/>
            <w:tcBorders>
              <w:top w:val="single" w:color="C4D2E0" w:sz="4"/>
              <w:left w:val="single" w:color="C4D2E0" w:sz="4"/>
              <w:bottom w:val="single" w:color="C4D2E0" w:sz="4"/>
              <w:right w:val="single" w:color="C4D2E0" w:sz="4"/>
            </w:tcBorders>
            <w:shd w:fill="FFF5F5" w:val="clear"/>
            <w:vAlign w:val="top"/>
          </w:tcPr>
          <w:p>
            <w:pPr>
              <w:spacing w:after="80" w:before="80"/>
              <w:jc w:val="center"/>
            </w:pPr>
            <w:r>
              <w:rPr>
                <w:rFonts w:ascii="Arial" w:cs="Arial" w:eastAsia="Arial" w:hAnsi="Arial"/>
                <w:b w:val="false"/>
                <w:bCs w:val="false"/>
                <w:color w:val="2D3748"/>
                <w:sz w:val="20"/>
                <w:szCs w:val="20"/>
              </w:rPr>
              <w:t xml:space="preserve">3.96–4.23</w:t>
            </w:r>
          </w:p>
        </w:tc>
        <w:tc>
          <w:tcPr>
            <w:tcW w:type="dxa" w:w="1000"/>
            <w:tcBorders>
              <w:top w:val="single" w:color="C4D2E0" w:sz="4"/>
              <w:left w:val="single" w:color="C4D2E0" w:sz="4"/>
              <w:bottom w:val="single" w:color="C4D2E0" w:sz="4"/>
              <w:right w:val="single" w:color="C4D2E0" w:sz="4"/>
            </w:tcBorders>
            <w:shd w:fill="FFF5F5" w:val="clear"/>
            <w:vAlign w:val="top"/>
          </w:tcPr>
          <w:p>
            <w:pPr>
              <w:spacing w:after="80" w:before="80"/>
              <w:jc w:val="center"/>
            </w:pPr>
            <w:r>
              <w:rPr>
                <w:rFonts w:ascii="Arial" w:cs="Arial" w:eastAsia="Arial" w:hAnsi="Arial"/>
                <w:b w:val="false"/>
                <w:bCs w:val="false"/>
                <w:color w:val="C05621"/>
                <w:sz w:val="20"/>
                <w:szCs w:val="20"/>
              </w:rPr>
              <w:t xml:space="preserve">57–80%</w:t>
            </w:r>
          </w:p>
        </w:tc>
        <w:tc>
          <w:tcPr>
            <w:tcW w:type="dxa" w:w="295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val="false"/>
                <w:bCs w:val="false"/>
                <w:color w:val="2D3748"/>
                <w:sz w:val="20"/>
                <w:szCs w:val="20"/>
              </w:rPr>
              <w:t xml:space="preserve">Category contracting (−43.9% revenue from 2023 peak); Noise leads at 26.6% share</w:t>
            </w:r>
          </w:p>
        </w:tc>
      </w:tr>
    </w:tbl>
    <w:p>
      <w:pPr>
        <w:pStyle w:val="SourceLabel"/>
      </w:pPr>
      <w:r>
        <w:rPr>
          <w:rFonts w:ascii="Arial" w:cs="Arial" w:eastAsia="Arial" w:hAnsi="Arial"/>
        </w:rPr>
        <w:t xml:space="preserve">How this supports the insight: The table makes immediately visible that cables/chargers has 97 brands (vs. 22 for earbuds, 13 for smartwatches), confirming fragmentation. It also shows cables/chargers has the highest mean rating (4.17) and the widest price range, reinforcing the opportunity for a quality-differentiated entrant.</w:t>
      </w:r>
    </w:p>
    <w:p>
      <w:pPr>
        <w:spacing w:after="120" w:before="120"/>
      </w:pPr>
      <w:r>
        <w:t xml:space="preserve"/>
      </w:r>
    </w:p>
    <w:p>
      <w:pPr>
        <w:pStyle w:val="Heading3"/>
      </w:pPr>
      <w:r>
        <w:rPr>
          <w:rFonts w:ascii="Arial" w:cs="Arial" w:eastAsia="Arial" w:hAnsi="Arial"/>
          <w:b/>
          <w:bCs/>
          <w:color w:val="2D3748"/>
          <w:sz w:val="24"/>
          <w:szCs w:val="24"/>
        </w:rPr>
        <w:t xml:space="preserve">Chart 2: Risk Severity Matrix</w:t>
      </w:r>
    </w:p>
    <w:p>
      <w:pPr>
        <w:pStyle w:val="BodyText"/>
      </w:pPr>
      <w:r>
        <w:rPr>
          <w:rFonts w:ascii="Arial" w:cs="Arial" w:eastAsia="Arial" w:hAnsi="Arial"/>
        </w:rPr>
        <w:t xml:space="preserve">Seven risks rated by severity (🔴 High, 🟡 Medium, 🟠 Low-Med) with descriptions and source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70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Risk</w:t>
            </w:r>
          </w:p>
        </w:tc>
        <w:tc>
          <w:tcPr>
            <w:tcW w:type="dxa" w:w="70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Severity</w:t>
            </w:r>
          </w:p>
        </w:tc>
        <w:tc>
          <w:tcPr>
            <w:tcW w:type="dxa" w:w="456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Detail</w:t>
            </w:r>
          </w:p>
        </w:tc>
        <w:tc>
          <w:tcPr>
            <w:tcW w:type="dxa" w:w="240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Source</w:t>
            </w:r>
          </w:p>
        </w:tc>
      </w:tr>
      <w:tr>
        <w:tc>
          <w:tcPr>
            <w:tcW w:type="dxa" w:w="170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bCs/>
                <w:color w:val="2D3748"/>
                <w:sz w:val="20"/>
                <w:szCs w:val="20"/>
              </w:rPr>
              <w:t xml:space="preserve">Import Duties</w:t>
            </w:r>
          </w:p>
        </w:tc>
        <w:tc>
          <w:tcPr>
            <w:tcW w:type="dxa" w:w="700"/>
            <w:tcBorders>
              <w:top w:val="single" w:color="C4D2E0" w:sz="4"/>
              <w:left w:val="single" w:color="C4D2E0" w:sz="4"/>
              <w:bottom w:val="single" w:color="C4D2E0" w:sz="4"/>
              <w:right w:val="single" w:color="C4D2E0" w:sz="4"/>
            </w:tcBorders>
            <w:shd w:fill="FFF5F5" w:val="clear"/>
            <w:vAlign w:val="top"/>
          </w:tcPr>
          <w:p>
            <w:pPr>
              <w:spacing w:after="80" w:before="80"/>
              <w:jc w:val="center"/>
            </w:pPr>
            <w:r>
              <w:rPr>
                <w:rFonts w:ascii="Arial" w:cs="Arial" w:eastAsia="Arial" w:hAnsi="Arial"/>
                <w:b w:val="false"/>
                <w:bCs w:val="false"/>
                <w:color w:val="C53030"/>
                <w:sz w:val="20"/>
                <w:szCs w:val="20"/>
              </w:rPr>
              <w:t xml:space="preserve">🔴 High</w:t>
            </w:r>
          </w:p>
        </w:tc>
        <w:tc>
          <w:tcPr>
            <w:tcW w:type="dxa" w:w="456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val="false"/>
                <w:bCs w:val="false"/>
                <w:color w:val="2D3748"/>
                <w:sz w:val="20"/>
                <w:szCs w:val="20"/>
              </w:rPr>
              <w:t xml:space="preserve">16.5–22% of CIF value in irrecoverable duties (BCD + SWS), creating structural cost disadvantage vs. domestic manufacturers</w:t>
            </w:r>
          </w:p>
        </w:tc>
        <w:tc>
          <w:tcPr>
            <w:tcW w:type="dxa" w:w="240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val="false"/>
                <w:bCs w:val="false"/>
                <w:color w:val="4A6FA5"/>
                <w:sz w:val="20"/>
                <w:szCs w:val="20"/>
              </w:rPr>
              <w:t xml:space="preserve">[Quick Research: 02c_QR_Risks] [197][202]</w:t>
            </w:r>
          </w:p>
        </w:tc>
      </w:tr>
      <w:tr>
        <w:tc>
          <w:tcPr>
            <w:tcW w:type="dxa" w:w="170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bCs/>
                <w:color w:val="2D3748"/>
                <w:sz w:val="20"/>
                <w:szCs w:val="20"/>
              </w:rPr>
              <w:t xml:space="preserve">BIS Certification</w:t>
            </w:r>
          </w:p>
        </w:tc>
        <w:tc>
          <w:tcPr>
            <w:tcW w:type="dxa" w:w="700"/>
            <w:tcBorders>
              <w:top w:val="single" w:color="C4D2E0" w:sz="4"/>
              <w:left w:val="single" w:color="C4D2E0" w:sz="4"/>
              <w:bottom w:val="single" w:color="C4D2E0" w:sz="4"/>
              <w:right w:val="single" w:color="C4D2E0" w:sz="4"/>
            </w:tcBorders>
            <w:shd w:fill="FFFFFF" w:val="clear"/>
            <w:vAlign w:val="top"/>
          </w:tcPr>
          <w:p>
            <w:pPr>
              <w:spacing w:after="80" w:before="80"/>
              <w:jc w:val="center"/>
            </w:pPr>
            <w:r>
              <w:rPr>
                <w:rFonts w:ascii="Arial" w:cs="Arial" w:eastAsia="Arial" w:hAnsi="Arial"/>
                <w:b w:val="false"/>
                <w:bCs w:val="false"/>
                <w:color w:val="C53030"/>
                <w:sz w:val="20"/>
                <w:szCs w:val="20"/>
              </w:rPr>
              <w:t xml:space="preserve">🔴 High</w:t>
            </w:r>
          </w:p>
        </w:tc>
        <w:tc>
          <w:tcPr>
            <w:tcW w:type="dxa" w:w="456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Mandatory for chargers, power banks, earphones. ₹28K–65K per SKU, 20–40 working days. Raids on Amazon warehouses are active enforcement</w:t>
            </w:r>
          </w:p>
        </w:tc>
        <w:tc>
          <w:tcPr>
            <w:tcW w:type="dxa" w:w="240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4A6FA5"/>
                <w:sz w:val="20"/>
                <w:szCs w:val="20"/>
              </w:rPr>
              <w:t xml:space="preserve">[Quick Research: 02c_QR_Risks] [197]</w:t>
            </w:r>
          </w:p>
        </w:tc>
      </w:tr>
      <w:tr>
        <w:tc>
          <w:tcPr>
            <w:tcW w:type="dxa" w:w="1700"/>
            <w:tcBorders>
              <w:top w:val="single" w:color="C4D2E0" w:sz="4"/>
              <w:left w:val="single" w:color="C4D2E0" w:sz="4"/>
              <w:bottom w:val="single" w:color="C4D2E0" w:sz="4"/>
              <w:right w:val="single" w:color="C4D2E0" w:sz="4"/>
            </w:tcBorders>
            <w:shd w:fill="FFFBF0" w:val="clear"/>
            <w:vAlign w:val="top"/>
          </w:tcPr>
          <w:p>
            <w:pPr>
              <w:spacing w:after="80" w:before="80"/>
              <w:jc w:val="left"/>
            </w:pPr>
            <w:r>
              <w:rPr>
                <w:rFonts w:ascii="Arial" w:cs="Arial" w:eastAsia="Arial" w:hAnsi="Arial"/>
                <w:b/>
                <w:bCs/>
                <w:color w:val="2D3748"/>
                <w:sz w:val="20"/>
                <w:szCs w:val="20"/>
              </w:rPr>
              <w:t xml:space="preserve">FDI Entity Setup</w:t>
            </w:r>
          </w:p>
        </w:tc>
        <w:tc>
          <w:tcPr>
            <w:tcW w:type="dxa" w:w="700"/>
            <w:tcBorders>
              <w:top w:val="single" w:color="C4D2E0" w:sz="4"/>
              <w:left w:val="single" w:color="C4D2E0" w:sz="4"/>
              <w:bottom w:val="single" w:color="C4D2E0" w:sz="4"/>
              <w:right w:val="single" w:color="C4D2E0" w:sz="4"/>
            </w:tcBorders>
            <w:shd w:fill="FFFBF0" w:val="clear"/>
            <w:vAlign w:val="top"/>
          </w:tcPr>
          <w:p>
            <w:pPr>
              <w:spacing w:after="80" w:before="80"/>
              <w:jc w:val="center"/>
            </w:pPr>
            <w:r>
              <w:rPr>
                <w:rFonts w:ascii="Arial" w:cs="Arial" w:eastAsia="Arial" w:hAnsi="Arial"/>
                <w:b w:val="false"/>
                <w:bCs w:val="false"/>
                <w:color w:val="B7791F"/>
                <w:sz w:val="20"/>
                <w:szCs w:val="20"/>
              </w:rPr>
              <w:t xml:space="preserve">🟡 Med</w:t>
            </w:r>
          </w:p>
        </w:tc>
        <w:tc>
          <w:tcPr>
            <w:tcW w:type="dxa" w:w="4560"/>
            <w:tcBorders>
              <w:top w:val="single" w:color="C4D2E0" w:sz="4"/>
              <w:left w:val="single" w:color="C4D2E0" w:sz="4"/>
              <w:bottom w:val="single" w:color="C4D2E0" w:sz="4"/>
              <w:right w:val="single" w:color="C4D2E0" w:sz="4"/>
            </w:tcBorders>
            <w:shd w:fill="FFFBF0" w:val="clear"/>
            <w:vAlign w:val="top"/>
          </w:tcPr>
          <w:p>
            <w:pPr>
              <w:spacing w:after="80" w:before="80"/>
              <w:jc w:val="left"/>
            </w:pPr>
            <w:r>
              <w:rPr>
                <w:rFonts w:ascii="Arial" w:cs="Arial" w:eastAsia="Arial" w:hAnsi="Arial"/>
                <w:b w:val="false"/>
                <w:bCs w:val="false"/>
                <w:color w:val="2D3748"/>
                <w:sz w:val="20"/>
                <w:szCs w:val="20"/>
              </w:rPr>
              <w:t xml:space="preserve">Foreign entities cannot sell directly; must incorporate Indian subsidiary or appoint distributor. $10K–$50K, 2–4 months</w:t>
            </w:r>
          </w:p>
        </w:tc>
        <w:tc>
          <w:tcPr>
            <w:tcW w:type="dxa" w:w="2400"/>
            <w:tcBorders>
              <w:top w:val="single" w:color="C4D2E0" w:sz="4"/>
              <w:left w:val="single" w:color="C4D2E0" w:sz="4"/>
              <w:bottom w:val="single" w:color="C4D2E0" w:sz="4"/>
              <w:right w:val="single" w:color="C4D2E0" w:sz="4"/>
            </w:tcBorders>
            <w:shd w:fill="FFFBF0" w:val="clear"/>
            <w:vAlign w:val="top"/>
          </w:tcPr>
          <w:p>
            <w:pPr>
              <w:spacing w:after="80" w:before="80"/>
              <w:jc w:val="left"/>
            </w:pPr>
            <w:r>
              <w:rPr>
                <w:rFonts w:ascii="Arial" w:cs="Arial" w:eastAsia="Arial" w:hAnsi="Arial"/>
                <w:b w:val="false"/>
                <w:bCs w:val="false"/>
                <w:color w:val="4A6FA5"/>
                <w:sz w:val="20"/>
                <w:szCs w:val="20"/>
              </w:rPr>
              <w:t xml:space="preserve">[Quick Research: 02c_QR_Risks] [199]</w:t>
            </w:r>
          </w:p>
        </w:tc>
      </w:tr>
      <w:tr>
        <w:tc>
          <w:tcPr>
            <w:tcW w:type="dxa" w:w="170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bCs/>
                <w:color w:val="2D3748"/>
                <w:sz w:val="20"/>
                <w:szCs w:val="20"/>
              </w:rPr>
              <w:t xml:space="preserve">USB-C Mandate</w:t>
            </w:r>
          </w:p>
        </w:tc>
        <w:tc>
          <w:tcPr>
            <w:tcW w:type="dxa" w:w="700"/>
            <w:tcBorders>
              <w:top w:val="single" w:color="C4D2E0" w:sz="4"/>
              <w:left w:val="single" w:color="C4D2E0" w:sz="4"/>
              <w:bottom w:val="single" w:color="C4D2E0" w:sz="4"/>
              <w:right w:val="single" w:color="C4D2E0" w:sz="4"/>
            </w:tcBorders>
            <w:shd w:fill="FFFFFF" w:val="clear"/>
            <w:vAlign w:val="top"/>
          </w:tcPr>
          <w:p>
            <w:pPr>
              <w:spacing w:after="80" w:before="80"/>
              <w:jc w:val="center"/>
            </w:pPr>
            <w:r>
              <w:rPr>
                <w:rFonts w:ascii="Arial" w:cs="Arial" w:eastAsia="Arial" w:hAnsi="Arial"/>
                <w:b w:val="false"/>
                <w:bCs w:val="false"/>
                <w:color w:val="B7791F"/>
                <w:sz w:val="20"/>
                <w:szCs w:val="20"/>
              </w:rPr>
              <w:t xml:space="preserve">🟡 Med</w:t>
            </w:r>
          </w:p>
        </w:tc>
        <w:tc>
          <w:tcPr>
            <w:tcW w:type="dxa" w:w="456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All smartphones/tablets must use USB-C from June 2025; non-compliant inventory risks write-off. Chargers &gt;15W must support USB Power Delivery</w:t>
            </w:r>
          </w:p>
        </w:tc>
        <w:tc>
          <w:tcPr>
            <w:tcW w:type="dxa" w:w="240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4A6FA5"/>
                <w:sz w:val="20"/>
                <w:szCs w:val="20"/>
              </w:rPr>
              <w:t xml:space="preserve">[Quick Research: 02c_QR_Risks] [197]</w:t>
            </w:r>
          </w:p>
        </w:tc>
      </w:tr>
      <w:tr>
        <w:tc>
          <w:tcPr>
            <w:tcW w:type="dxa" w:w="1700"/>
            <w:tcBorders>
              <w:top w:val="single" w:color="C4D2E0" w:sz="4"/>
              <w:left w:val="single" w:color="C4D2E0" w:sz="4"/>
              <w:bottom w:val="single" w:color="C4D2E0" w:sz="4"/>
              <w:right w:val="single" w:color="C4D2E0" w:sz="4"/>
            </w:tcBorders>
            <w:shd w:fill="FFFBF0" w:val="clear"/>
            <w:vAlign w:val="top"/>
          </w:tcPr>
          <w:p>
            <w:pPr>
              <w:spacing w:after="80" w:before="80"/>
              <w:jc w:val="left"/>
            </w:pPr>
            <w:r>
              <w:rPr>
                <w:rFonts w:ascii="Arial" w:cs="Arial" w:eastAsia="Arial" w:hAnsi="Arial"/>
                <w:b/>
                <w:bCs/>
                <w:color w:val="2D3748"/>
                <w:sz w:val="20"/>
                <w:szCs w:val="20"/>
              </w:rPr>
              <w:t xml:space="preserve">Platform Fee Erosion</w:t>
            </w:r>
          </w:p>
        </w:tc>
        <w:tc>
          <w:tcPr>
            <w:tcW w:type="dxa" w:w="700"/>
            <w:tcBorders>
              <w:top w:val="single" w:color="C4D2E0" w:sz="4"/>
              <w:left w:val="single" w:color="C4D2E0" w:sz="4"/>
              <w:bottom w:val="single" w:color="C4D2E0" w:sz="4"/>
              <w:right w:val="single" w:color="C4D2E0" w:sz="4"/>
            </w:tcBorders>
            <w:shd w:fill="FFFBF0" w:val="clear"/>
            <w:vAlign w:val="top"/>
          </w:tcPr>
          <w:p>
            <w:pPr>
              <w:spacing w:after="80" w:before="80"/>
              <w:jc w:val="center"/>
            </w:pPr>
            <w:r>
              <w:rPr>
                <w:rFonts w:ascii="Arial" w:cs="Arial" w:eastAsia="Arial" w:hAnsi="Arial"/>
                <w:b w:val="false"/>
                <w:bCs w:val="false"/>
                <w:color w:val="B7791F"/>
                <w:sz w:val="20"/>
                <w:szCs w:val="20"/>
              </w:rPr>
              <w:t xml:space="preserve">🟡 Med</w:t>
            </w:r>
          </w:p>
        </w:tc>
        <w:tc>
          <w:tcPr>
            <w:tcW w:type="dxa" w:w="4560"/>
            <w:tcBorders>
              <w:top w:val="single" w:color="C4D2E0" w:sz="4"/>
              <w:left w:val="single" w:color="C4D2E0" w:sz="4"/>
              <w:bottom w:val="single" w:color="C4D2E0" w:sz="4"/>
              <w:right w:val="single" w:color="C4D2E0" w:sz="4"/>
            </w:tcBorders>
            <w:shd w:fill="FFFBF0" w:val="clear"/>
            <w:vAlign w:val="top"/>
          </w:tcPr>
          <w:p>
            <w:pPr>
              <w:spacing w:after="80" w:before="80"/>
              <w:jc w:val="left"/>
            </w:pPr>
            <w:r>
              <w:rPr>
                <w:rFonts w:ascii="Arial" w:cs="Arial" w:eastAsia="Arial" w:hAnsi="Arial"/>
                <w:b w:val="false"/>
                <w:bCs w:val="false"/>
                <w:color w:val="2D3748"/>
                <w:sz w:val="20"/>
                <w:szCs w:val="20"/>
              </w:rPr>
              <w:t xml:space="preserve">Amazon seller fees (closing, weight handling, logistics surcharge) consume 10–20% of selling price even after zero referral fee. Non-refundable closing fees on returns</w:t>
            </w:r>
          </w:p>
        </w:tc>
        <w:tc>
          <w:tcPr>
            <w:tcW w:type="dxa" w:w="2400"/>
            <w:tcBorders>
              <w:top w:val="single" w:color="C4D2E0" w:sz="4"/>
              <w:left w:val="single" w:color="C4D2E0" w:sz="4"/>
              <w:bottom w:val="single" w:color="C4D2E0" w:sz="4"/>
              <w:right w:val="single" w:color="C4D2E0" w:sz="4"/>
            </w:tcBorders>
            <w:shd w:fill="FFFBF0" w:val="clear"/>
            <w:vAlign w:val="top"/>
          </w:tcPr>
          <w:p>
            <w:pPr>
              <w:spacing w:after="80" w:before="80"/>
              <w:jc w:val="left"/>
            </w:pPr>
            <w:r>
              <w:rPr>
                <w:rFonts w:ascii="Arial" w:cs="Arial" w:eastAsia="Arial" w:hAnsi="Arial"/>
                <w:b w:val="false"/>
                <w:bCs w:val="false"/>
                <w:color w:val="4A6FA5"/>
                <w:sz w:val="20"/>
                <w:szCs w:val="20"/>
              </w:rPr>
              <w:t xml:space="preserve">[Quick Research: 02c_QR_Risks] [198][200][201]</w:t>
            </w:r>
          </w:p>
        </w:tc>
      </w:tr>
      <w:tr>
        <w:tc>
          <w:tcPr>
            <w:tcW w:type="dxa" w:w="170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bCs/>
                <w:color w:val="2D3748"/>
                <w:sz w:val="20"/>
                <w:szCs w:val="20"/>
              </w:rPr>
              <w:t xml:space="preserve">Competitive Intensity</w:t>
            </w:r>
          </w:p>
        </w:tc>
        <w:tc>
          <w:tcPr>
            <w:tcW w:type="dxa" w:w="700"/>
            <w:tcBorders>
              <w:top w:val="single" w:color="C4D2E0" w:sz="4"/>
              <w:left w:val="single" w:color="C4D2E0" w:sz="4"/>
              <w:bottom w:val="single" w:color="C4D2E0" w:sz="4"/>
              <w:right w:val="single" w:color="C4D2E0" w:sz="4"/>
            </w:tcBorders>
            <w:shd w:fill="FFFFFF" w:val="clear"/>
            <w:vAlign w:val="top"/>
          </w:tcPr>
          <w:p>
            <w:pPr>
              <w:spacing w:after="80" w:before="80"/>
              <w:jc w:val="center"/>
            </w:pPr>
            <w:r>
              <w:rPr>
                <w:rFonts w:ascii="Arial" w:cs="Arial" w:eastAsia="Arial" w:hAnsi="Arial"/>
                <w:b w:val="false"/>
                <w:bCs w:val="false"/>
                <w:color w:val="B7791F"/>
                <w:sz w:val="20"/>
                <w:szCs w:val="20"/>
              </w:rPr>
              <w:t xml:space="preserve">🟡 Med</w:t>
            </w:r>
          </w:p>
        </w:tc>
        <w:tc>
          <w:tcPr>
            <w:tcW w:type="dxa" w:w="456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boAt (65 products, 4.38M reviews), Ambrane, Portronics are entrenched. Chinese brands growing 33% YoY. Price war dynamic with 44–80% discounts off MRP</w:t>
            </w:r>
          </w:p>
        </w:tc>
        <w:tc>
          <w:tcPr>
            <w:tcW w:type="dxa" w:w="240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4A6FA5"/>
                <w:sz w:val="20"/>
                <w:szCs w:val="20"/>
              </w:rPr>
              <w:t xml:space="preserve">[Quick Research: 02b_QR_Competitors] [192][214]</w:t>
            </w:r>
          </w:p>
        </w:tc>
      </w:tr>
      <w:tr>
        <w:tc>
          <w:tcPr>
            <w:tcW w:type="dxa" w:w="1700"/>
            <w:tcBorders>
              <w:top w:val="single" w:color="C4D2E0" w:sz="4"/>
              <w:left w:val="single" w:color="C4D2E0" w:sz="4"/>
              <w:bottom w:val="single" w:color="C4D2E0" w:sz="4"/>
              <w:right w:val="single" w:color="C4D2E0" w:sz="4"/>
            </w:tcBorders>
            <w:shd w:fill="F0FFF4" w:val="clear"/>
            <w:vAlign w:val="top"/>
          </w:tcPr>
          <w:p>
            <w:pPr>
              <w:spacing w:after="80" w:before="80"/>
              <w:jc w:val="left"/>
            </w:pPr>
            <w:r>
              <w:rPr>
                <w:rFonts w:ascii="Arial" w:cs="Arial" w:eastAsia="Arial" w:hAnsi="Arial"/>
                <w:b/>
                <w:bCs/>
                <w:color w:val="2D3748"/>
                <w:sz w:val="20"/>
                <w:szCs w:val="20"/>
              </w:rPr>
              <w:t xml:space="preserve">Amazon MAU Decline</w:t>
            </w:r>
          </w:p>
        </w:tc>
        <w:tc>
          <w:tcPr>
            <w:tcW w:type="dxa" w:w="700"/>
            <w:tcBorders>
              <w:top w:val="single" w:color="C4D2E0" w:sz="4"/>
              <w:left w:val="single" w:color="C4D2E0" w:sz="4"/>
              <w:bottom w:val="single" w:color="C4D2E0" w:sz="4"/>
              <w:right w:val="single" w:color="C4D2E0" w:sz="4"/>
            </w:tcBorders>
            <w:shd w:fill="F0FFF4" w:val="clear"/>
            <w:vAlign w:val="top"/>
          </w:tcPr>
          <w:p>
            <w:pPr>
              <w:spacing w:after="80" w:before="80"/>
              <w:jc w:val="center"/>
            </w:pPr>
            <w:r>
              <w:rPr>
                <w:rFonts w:ascii="Arial" w:cs="Arial" w:eastAsia="Arial" w:hAnsi="Arial"/>
                <w:b w:val="false"/>
                <w:bCs w:val="false"/>
                <w:color w:val="276749"/>
                <w:sz w:val="20"/>
                <w:szCs w:val="20"/>
              </w:rPr>
              <w:t xml:space="preserve">🟠 Low-Med</w:t>
            </w:r>
          </w:p>
        </w:tc>
        <w:tc>
          <w:tcPr>
            <w:tcW w:type="dxa" w:w="4560"/>
            <w:tcBorders>
              <w:top w:val="single" w:color="C4D2E0" w:sz="4"/>
              <w:left w:val="single" w:color="C4D2E0" w:sz="4"/>
              <w:bottom w:val="single" w:color="C4D2E0" w:sz="4"/>
              <w:right w:val="single" w:color="C4D2E0" w:sz="4"/>
            </w:tcBorders>
            <w:shd w:fill="F0FFF4" w:val="clear"/>
            <w:vAlign w:val="top"/>
          </w:tcPr>
          <w:p>
            <w:pPr>
              <w:spacing w:after="80" w:before="80"/>
              <w:jc w:val="left"/>
            </w:pPr>
            <w:r>
              <w:rPr>
                <w:rFonts w:ascii="Arial" w:cs="Arial" w:eastAsia="Arial" w:hAnsi="Arial"/>
                <w:b w:val="false"/>
                <w:bCs w:val="false"/>
                <w:color w:val="2D3748"/>
                <w:sz w:val="20"/>
                <w:szCs w:val="20"/>
              </w:rPr>
              <w:t xml:space="preserve">Amazon India’s MAU declining YoY while Flipkart grew 15%; Flipkart’s MAU lead doubled to 17 percentage points by mid-2026</w:t>
            </w:r>
          </w:p>
        </w:tc>
        <w:tc>
          <w:tcPr>
            <w:tcW w:type="dxa" w:w="2400"/>
            <w:tcBorders>
              <w:top w:val="single" w:color="C4D2E0" w:sz="4"/>
              <w:left w:val="single" w:color="C4D2E0" w:sz="4"/>
              <w:bottom w:val="single" w:color="C4D2E0" w:sz="4"/>
              <w:right w:val="single" w:color="C4D2E0" w:sz="4"/>
            </w:tcBorders>
            <w:shd w:fill="F0FFF4" w:val="clear"/>
            <w:vAlign w:val="top"/>
          </w:tcPr>
          <w:p>
            <w:pPr>
              <w:spacing w:after="80" w:before="80"/>
              <w:jc w:val="left"/>
            </w:pPr>
            <w:r>
              <w:rPr>
                <w:rFonts w:ascii="Arial" w:cs="Arial" w:eastAsia="Arial" w:hAnsi="Arial"/>
                <w:b w:val="false"/>
                <w:bCs w:val="false"/>
                <w:color w:val="4A6FA5"/>
                <w:sz w:val="20"/>
                <w:szCs w:val="20"/>
              </w:rPr>
              <w:t xml:space="preserve">[Quick Research: 02a_QR_Market_Trends] [190][195]</w:t>
            </w:r>
          </w:p>
        </w:tc>
      </w:tr>
    </w:tbl>
    <w:p>
      <w:pPr>
        <w:pStyle w:val="SourceLabel"/>
      </w:pPr>
      <w:r>
        <w:rPr>
          <w:rFonts w:ascii="Arial" w:cs="Arial" w:eastAsia="Arial" w:hAnsi="Arial"/>
        </w:rPr>
        <w:t xml:space="preserve">How this supports the insight: Provides leadership with a single-glance view of the risk landscape, making clear that import duties and BIS certification are the highest-severity barriers, while Amazon’s declining MAU is a lower-priority concern.</w:t>
      </w:r>
    </w:p>
    <w:p>
      <w:pPr>
        <w:spacing w:after="80" w:before="80"/>
      </w:pPr>
      <w:r>
        <w:t xml:space="preserve"/>
      </w:r>
    </w:p>
    <w:p>
      <w:pPr>
        <w:spacing w:after="120"/>
      </w:pPr>
      <w:r>
        <w:rPr>
          <w:rFonts w:ascii="Arial" w:cs="Arial" w:eastAsia="Arial" w:hAnsi="Arial"/>
          <w:b/>
          <w:bCs/>
          <w:color w:val="C53030"/>
          <w:sz w:val="22"/>
          <w:szCs w:val="22"/>
        </w:rPr>
        <w:t xml:space="preserve">Cumulative cost impact: </w:t>
      </w:r>
      <w:r>
        <w:rPr>
          <w:rFonts w:ascii="Arial" w:cs="Arial" w:eastAsia="Arial" w:hAnsi="Arial"/>
          <w:sz w:val="22"/>
          <w:szCs w:val="22"/>
        </w:rPr>
        <w:t xml:space="preserve">~30–40% of consumer selling price consumed by duties + platform fees before product cost, marketing, or margin [204].</w:t>
      </w:r>
    </w:p>
    <w:p>
      <w:pPr>
        <w:pStyle w:val="Heading1"/>
      </w:pPr>
      <w:r>
        <w:rPr>
          <w:rFonts w:ascii="Arial" w:cs="Arial" w:eastAsia="Arial" w:hAnsi="Arial"/>
          <w:b/>
          <w:bCs/>
          <w:color w:val="1A2E44"/>
          <w:sz w:val="32"/>
          <w:szCs w:val="32"/>
        </w:rPr>
        <w:t xml:space="preserve">6. Confidence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6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Insight</w:t>
            </w:r>
          </w:p>
        </w:tc>
        <w:tc>
          <w:tcPr>
            <w:tcW w:type="dxa" w:w="160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Evidence — Dataset</w:t>
            </w:r>
          </w:p>
        </w:tc>
        <w:tc>
          <w:tcPr>
            <w:tcW w:type="dxa" w:w="160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Evidence — Quick Research</w:t>
            </w:r>
          </w:p>
        </w:tc>
        <w:tc>
          <w:tcPr>
            <w:tcW w:type="dxa" w:w="146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Gaps / Missing Context</w:t>
            </w:r>
          </w:p>
        </w:tc>
        <w:tc>
          <w:tcPr>
            <w:tcW w:type="dxa" w:w="128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Confidence</w:t>
            </w:r>
          </w:p>
        </w:tc>
        <w:tc>
          <w:tcPr>
            <w:tcW w:type="dxa" w:w="186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What Cannot Be Concluded</w:t>
            </w:r>
          </w:p>
        </w:tc>
      </w:tr>
      <w:tr>
        <w:tc>
          <w:tcPr>
            <w:tcW w:type="dxa" w:w="156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bCs/>
                <w:color w:val="2D3748"/>
                <w:sz w:val="20"/>
                <w:szCs w:val="20"/>
              </w:rPr>
              <w:t xml:space="preserve">1. USB Cables/Chargers is best entry category</w:t>
            </w:r>
          </w:p>
        </w:tc>
        <w:tc>
          <w:tcPr>
            <w:tcW w:type="dxa" w:w="160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2D3748"/>
                <w:sz w:val="20"/>
                <w:szCs w:val="20"/>
              </w:rPr>
              <w:t xml:space="preserve">392 listings, 97 brands, mean rating 4.17, median price ₹326, median discount 60.0%. Most fragmented sub-category by brand count.</w:t>
            </w:r>
          </w:p>
        </w:tc>
        <w:tc>
          <w:tcPr>
            <w:tcW w:type="dxa" w:w="160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2D3748"/>
                <w:sz w:val="20"/>
                <w:szCs w:val="20"/>
              </w:rPr>
              <w:t xml:space="preserve">02a: USB charger market $2.30B in 2025, 8.9% CAGR 2026–2035. 02c: 15% BCD + zero referral fee under ₹1,000.</w:t>
            </w:r>
          </w:p>
        </w:tc>
        <w:tc>
          <w:tcPr>
            <w:tcW w:type="dxa" w:w="146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2D3748"/>
                <w:sz w:val="20"/>
                <w:szCs w:val="20"/>
              </w:rPr>
              <w:t xml:space="preserve">Market size from single vendor report; no cross-validation. 97 brands in sample ≠ total market fragmentation.</w:t>
            </w:r>
          </w:p>
        </w:tc>
        <w:tc>
          <w:tcPr>
            <w:tcW w:type="dxa" w:w="1280"/>
            <w:tcBorders>
              <w:top w:val="single" w:color="C4D2E0" w:sz="4"/>
              <w:left w:val="single" w:color="C4D2E0" w:sz="4"/>
              <w:bottom w:val="single" w:color="C4D2E0" w:sz="4"/>
              <w:right w:val="single" w:color="C4D2E0" w:sz="4"/>
            </w:tcBorders>
            <w:shd w:fill="E6FFED" w:val="clear"/>
            <w:vAlign w:val="top"/>
          </w:tcPr>
          <w:p>
            <w:pPr>
              <w:spacing w:after="80" w:before="80"/>
              <w:jc w:val="left"/>
            </w:pPr>
            <w:r>
              <w:rPr>
                <w:rFonts w:ascii="Arial" w:cs="Arial" w:eastAsia="Arial" w:hAnsi="Arial"/>
                <w:b w:val="false"/>
                <w:bCs w:val="false"/>
                <w:color w:val="276749"/>
                <w:sz w:val="20"/>
                <w:szCs w:val="20"/>
              </w:rPr>
              <w:t xml:space="preserve">✅ High — Dataset and external research agree; largest sub-category (392 listings).</w:t>
            </w:r>
          </w:p>
        </w:tc>
        <w:tc>
          <w:tcPr>
            <w:tcW w:type="dxa" w:w="186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2D3748"/>
                <w:sz w:val="20"/>
                <w:szCs w:val="20"/>
              </w:rPr>
              <w:t xml:space="preserve">Cannot conclude VoltEdge’s capture rate, nor that fragmentation = easy entry. No sales velocity data.</w:t>
            </w:r>
          </w:p>
        </w:tc>
      </w:tr>
      <w:tr>
        <w:tc>
          <w:tcPr>
            <w:tcW w:type="dxa" w:w="156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bCs/>
                <w:color w:val="2D3748"/>
                <w:sz w:val="20"/>
                <w:szCs w:val="20"/>
              </w:rPr>
              <w:t xml:space="preserve">2. Earbuds: growing but highly competitive</w:t>
            </w:r>
          </w:p>
        </w:tc>
        <w:tc>
          <w:tcPr>
            <w:tcW w:type="dxa" w:w="160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73 listings, 22 brands, mean rating 3.92. boAt dominates (23 listings, 2.98M rating_count). Median price ₹899, median discount 62.0%.</w:t>
            </w:r>
          </w:p>
        </w:tc>
        <w:tc>
          <w:tcPr>
            <w:tcW w:type="dxa" w:w="160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02b: boAt 32.9% TWS share; ₹1,500–₹2,000 band grew 52% YoY; Chinese brands at 16% share, growing 33% YoY.</w:t>
            </w:r>
          </w:p>
        </w:tc>
        <w:tc>
          <w:tcPr>
            <w:tcW w:type="dxa" w:w="146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52% growth is for a specific band only. 73 listings is a thin sample. No mic or connectivity metrics in structured fields.</w:t>
            </w:r>
          </w:p>
        </w:tc>
        <w:tc>
          <w:tcPr>
            <w:tcW w:type="dxa" w:w="1280"/>
            <w:tcBorders>
              <w:top w:val="single" w:color="C4D2E0" w:sz="4"/>
              <w:left w:val="single" w:color="C4D2E0" w:sz="4"/>
              <w:bottom w:val="single" w:color="C4D2E0" w:sz="4"/>
              <w:right w:val="single" w:color="C4D2E0" w:sz="4"/>
            </w:tcBorders>
            <w:shd w:fill="FFFBF0" w:val="clear"/>
            <w:vAlign w:val="top"/>
          </w:tcPr>
          <w:p>
            <w:pPr>
              <w:spacing w:after="80" w:before="80"/>
              <w:jc w:val="left"/>
            </w:pPr>
            <w:r>
              <w:rPr>
                <w:rFonts w:ascii="Arial" w:cs="Arial" w:eastAsia="Arial" w:hAnsi="Arial"/>
                <w:b w:val="false"/>
                <w:bCs w:val="false"/>
                <w:color w:val="B7791F"/>
                <w:sz w:val="20"/>
                <w:szCs w:val="20"/>
              </w:rPr>
              <w:t xml:space="preserve">⚠️ Medium — External research (Counterpoint) is strong but dataset sample is thin (73 listings).</w:t>
            </w:r>
          </w:p>
        </w:tc>
        <w:tc>
          <w:tcPr>
            <w:tcW w:type="dxa" w:w="186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Cannot conclude quality gaps are exploitable without brand equity. Cannot size the ₹1,500–₹2,000 band from dataset alone.</w:t>
            </w:r>
          </w:p>
        </w:tc>
      </w:tr>
      <w:tr>
        <w:tc>
          <w:tcPr>
            <w:tcW w:type="dxa" w:w="156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bCs/>
                <w:color w:val="2D3748"/>
                <w:sz w:val="20"/>
                <w:szCs w:val="20"/>
              </w:rPr>
              <w:t xml:space="preserve">3. Smartwatches: avoid — contracting</w:t>
            </w:r>
          </w:p>
        </w:tc>
        <w:tc>
          <w:tcPr>
            <w:tcW w:type="dxa" w:w="160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val="false"/>
                <w:bCs w:val="false"/>
                <w:color w:val="2D3748"/>
                <w:sz w:val="20"/>
                <w:szCs w:val="20"/>
              </w:rPr>
              <w:t xml:space="preserve">76 listings, 13 brands. Median discount 74.5%. Fire-Boltt avg discount 79.5%. boAt/Noise/Fire-Boltt = 84.2% of sample.</w:t>
            </w:r>
          </w:p>
        </w:tc>
        <w:tc>
          <w:tcPr>
            <w:tcW w:type="dxa" w:w="160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val="false"/>
                <w:bCs w:val="false"/>
                <w:color w:val="2D3748"/>
                <w:sz w:val="20"/>
                <w:szCs w:val="20"/>
              </w:rPr>
              <w:t xml:space="preserve">02b: Revenue fell $1.39B → $780M (2023–2025). Shipments −30% in 2024, −18% in 2025 (Counterpoint).</w:t>
            </w:r>
          </w:p>
        </w:tc>
        <w:tc>
          <w:tcPr>
            <w:tcW w:type="dxa" w:w="146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val="false"/>
                <w:bCs w:val="false"/>
                <w:color w:val="2D3748"/>
                <w:sz w:val="20"/>
                <w:szCs w:val="20"/>
              </w:rPr>
              <w:t xml:space="preserve">Recommendation assumes budget segment entry. Premium segment (+147%) tells a different story. Mean rating (4.03) is decent.</w:t>
            </w:r>
          </w:p>
        </w:tc>
        <w:tc>
          <w:tcPr>
            <w:tcW w:type="dxa" w:w="1280"/>
            <w:tcBorders>
              <w:top w:val="single" w:color="C4D2E0" w:sz="4"/>
              <w:left w:val="single" w:color="C4D2E0" w:sz="4"/>
              <w:bottom w:val="single" w:color="C4D2E0" w:sz="4"/>
              <w:right w:val="single" w:color="C4D2E0" w:sz="4"/>
            </w:tcBorders>
            <w:shd w:fill="E6FFED" w:val="clear"/>
            <w:vAlign w:val="top"/>
          </w:tcPr>
          <w:p>
            <w:pPr>
              <w:spacing w:after="80" w:before="80"/>
              <w:jc w:val="left"/>
            </w:pPr>
            <w:r>
              <w:rPr>
                <w:rFonts w:ascii="Arial" w:cs="Arial" w:eastAsia="Arial" w:hAnsi="Arial"/>
                <w:b w:val="false"/>
                <w:bCs w:val="false"/>
                <w:color w:val="276749"/>
                <w:sz w:val="20"/>
                <w:szCs w:val="20"/>
              </w:rPr>
              <w:t xml:space="preserve">✅ High — Dataset (extreme discounts) and multiple external sources agree on contraction.</w:t>
            </w:r>
          </w:p>
        </w:tc>
        <w:tc>
          <w:tcPr>
            <w:tcW w:type="dxa" w:w="186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val="false"/>
                <w:bCs w:val="false"/>
                <w:color w:val="2D3748"/>
                <w:sz w:val="20"/>
                <w:szCs w:val="20"/>
              </w:rPr>
              <w:t xml:space="preserve">Cannot conclude premium smartwatches are unattractive. Cannot conclude category won’t recover — ASPs rising for first time since 2019.</w:t>
            </w:r>
          </w:p>
        </w:tc>
      </w:tr>
      <w:tr>
        <w:tc>
          <w:tcPr>
            <w:tcW w:type="dxa" w:w="156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bCs/>
                <w:color w:val="2D3748"/>
                <w:sz w:val="20"/>
                <w:szCs w:val="20"/>
              </w:rPr>
              <w:t xml:space="preserve">4. Tier-2/3 cities drive 65% of orders</w:t>
            </w:r>
          </w:p>
        </w:tc>
        <w:tc>
          <w:tcPr>
            <w:tcW w:type="dxa" w:w="160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Not observable — no geographic data in amazon.csv.</w:t>
            </w:r>
          </w:p>
        </w:tc>
        <w:tc>
          <w:tcPr>
            <w:tcW w:type="dxa" w:w="160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02a: &gt;65% of Amazon India CE orders from tier-2/3 (Moneycontrol). Online penetration ~4% in non-metro. 64% of online shoppers by FY2030.</w:t>
            </w:r>
          </w:p>
        </w:tc>
        <w:tc>
          <w:tcPr>
            <w:tcW w:type="dxa" w:w="146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Insight entirely from Quick Research. 65% is Amazon’s self-reported claim (potential PR bias). Penetration definition unclear.</w:t>
            </w:r>
          </w:p>
        </w:tc>
        <w:tc>
          <w:tcPr>
            <w:tcW w:type="dxa" w:w="1280"/>
            <w:tcBorders>
              <w:top w:val="single" w:color="C4D2E0" w:sz="4"/>
              <w:left w:val="single" w:color="C4D2E0" w:sz="4"/>
              <w:bottom w:val="single" w:color="C4D2E0" w:sz="4"/>
              <w:right w:val="single" w:color="C4D2E0" w:sz="4"/>
            </w:tcBorders>
            <w:shd w:fill="FFFBF0" w:val="clear"/>
            <w:vAlign w:val="top"/>
          </w:tcPr>
          <w:p>
            <w:pPr>
              <w:spacing w:after="80" w:before="80"/>
              <w:jc w:val="left"/>
            </w:pPr>
            <w:r>
              <w:rPr>
                <w:rFonts w:ascii="Arial" w:cs="Arial" w:eastAsia="Arial" w:hAnsi="Arial"/>
                <w:b w:val="false"/>
                <w:bCs w:val="false"/>
                <w:color w:val="B7791F"/>
                <w:sz w:val="20"/>
                <w:szCs w:val="20"/>
              </w:rPr>
              <w:t xml:space="preserve">⚠️ Medium — Single strong external source; no dataset corroboration; potential self-serving bias.</w:t>
            </w:r>
          </w:p>
        </w:tc>
        <w:tc>
          <w:tcPr>
            <w:tcW w:type="dxa" w:w="186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Cannot conclude tier-2/3 demand translates to VoltEdge’s categories. Cannot validate the 4% penetration figure independently.</w:t>
            </w:r>
          </w:p>
        </w:tc>
      </w:tr>
      <w:tr>
        <w:tc>
          <w:tcPr>
            <w:tcW w:type="dxa" w:w="156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bCs/>
                <w:color w:val="2D3748"/>
                <w:sz w:val="20"/>
                <w:szCs w:val="20"/>
              </w:rPr>
              <w:t xml:space="preserve">5. Cost stack consumes 30–40% of selling price</w:t>
            </w:r>
          </w:p>
        </w:tc>
        <w:tc>
          <w:tcPr>
            <w:tcW w:type="dxa" w:w="160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2D3748"/>
                <w:sz w:val="20"/>
                <w:szCs w:val="20"/>
              </w:rPr>
              <w:t xml:space="preserve">Not in dataset.</w:t>
            </w:r>
          </w:p>
        </w:tc>
        <w:tc>
          <w:tcPr>
            <w:tcW w:type="dxa" w:w="160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2D3748"/>
                <w:sz w:val="20"/>
                <w:szCs w:val="20"/>
              </w:rPr>
              <w:t xml:space="preserve">02c: BCD 15–20% + SWS + IGST 18% (reclaimable). BIS ₹28K–65K/model. FDI $10K–$50K. Amazon fees 10–20%. Sources: govt tariff schedules, BIS Act, Amazon seller docs.</w:t>
            </w:r>
          </w:p>
        </w:tc>
        <w:tc>
          <w:tcPr>
            <w:tcW w:type="dxa" w:w="146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2D3748"/>
                <w:sz w:val="20"/>
                <w:szCs w:val="20"/>
              </w:rPr>
              <w:t xml:space="preserve">30–40% is compounded across fee layers — depends on price, weight, return rate, entity structure. Tariff rates change annually via Union Budget.</w:t>
            </w:r>
          </w:p>
        </w:tc>
        <w:tc>
          <w:tcPr>
            <w:tcW w:type="dxa" w:w="1280"/>
            <w:tcBorders>
              <w:top w:val="single" w:color="C4D2E0" w:sz="4"/>
              <w:left w:val="single" w:color="C4D2E0" w:sz="4"/>
              <w:bottom w:val="single" w:color="C4D2E0" w:sz="4"/>
              <w:right w:val="single" w:color="C4D2E0" w:sz="4"/>
            </w:tcBorders>
            <w:shd w:fill="FFFBF0" w:val="clear"/>
            <w:vAlign w:val="top"/>
          </w:tcPr>
          <w:p>
            <w:pPr>
              <w:spacing w:after="80" w:before="80"/>
              <w:jc w:val="left"/>
            </w:pPr>
            <w:r>
              <w:rPr>
                <w:rFonts w:ascii="Arial" w:cs="Arial" w:eastAsia="Arial" w:hAnsi="Arial"/>
                <w:b w:val="false"/>
                <w:bCs w:val="false"/>
                <w:color w:val="B7791F"/>
                <w:sz w:val="20"/>
                <w:szCs w:val="20"/>
              </w:rPr>
              <w:t xml:space="preserve">⚠️ Med-High — Govt sources are reliable; but range is wide and scenario-dependent.</w:t>
            </w:r>
          </w:p>
        </w:tc>
        <w:tc>
          <w:tcPr>
            <w:tcW w:type="dxa" w:w="186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2D3748"/>
                <w:sz w:val="20"/>
                <w:szCs w:val="20"/>
              </w:rPr>
              <w:t xml:space="preserve">Cannot conclude exact margin erosion without VoltEdge’s actual COGS, shipping costs, and return rates.</w:t>
            </w:r>
          </w:p>
        </w:tc>
      </w:tr>
    </w:tbl>
    <w:p>
      <w:pPr>
        <w:spacing w:after="120" w:before="120"/>
      </w:pPr>
      <w:r>
        <w:t xml:space="preserve"/>
      </w:r>
    </w:p>
    <w:p>
      <w:pPr>
        <w:pStyle w:val="Heading3"/>
      </w:pPr>
      <w:r>
        <w:rPr>
          <w:rFonts w:ascii="Arial" w:cs="Arial" w:eastAsia="Arial" w:hAnsi="Arial"/>
          <w:b/>
          <w:bCs/>
          <w:color w:val="2D3748"/>
          <w:sz w:val="24"/>
          <w:szCs w:val="24"/>
        </w:rPr>
        <w:t xml:space="preserve">Source Quality</w:t>
      </w:r>
    </w:p>
    <w:p>
      <w:pPr>
        <w:pStyle w:val="BodyText"/>
      </w:pPr>
      <w:r>
        <w:rPr>
          <w:rFonts w:ascii="Arial" w:cs="Arial" w:eastAsia="Arial" w:hAnsi="Arial"/>
        </w:rPr>
        <w:t xml:space="preserve">The dataset is a web-scraped Amazon India snapshot — useful for competitive structure and review sentiment, but not audited or official. Quick Research reports cite reputable trackers (Counterpoint, IDC) alongside commercial vendors (Expert Market Research, IMARC) with opaque methodologies.</w:t>
      </w:r>
    </w:p>
    <w:p>
      <w:pPr>
        <w:pStyle w:val="Heading3"/>
      </w:pPr>
      <w:r>
        <w:rPr>
          <w:rFonts w:ascii="Arial" w:cs="Arial" w:eastAsia="Arial" w:hAnsi="Arial"/>
          <w:b/>
          <w:bCs/>
          <w:color w:val="2D3748"/>
          <w:sz w:val="24"/>
          <w:szCs w:val="24"/>
        </w:rPr>
        <w:t xml:space="preserve">Consistency Across Sources</w:t>
      </w:r>
    </w:p>
    <w:p>
      <w:pPr>
        <w:pStyle w:val="BodyText"/>
      </w:pPr>
      <w:r>
        <w:rPr>
          <w:rFonts w:ascii="Arial" w:cs="Arial" w:eastAsia="Arial" w:hAnsi="Arial"/>
        </w:rPr>
        <w:t xml:space="preserve">Dataset and external research agree on the key structural conclusions: cables/chargers is the most fragmented and highest-rated sub-category; smartwatches are contracting with extreme discounts; earbuds are competitive with quality gaps. Minor conflicts exist in market-size figures ($6.86B vs. $9.83B for broader mobile accessories, depending on scope definition).</w:t>
      </w:r>
    </w:p>
    <w:p>
      <w:pPr>
        <w:pStyle w:val="Heading3"/>
      </w:pPr>
      <w:r>
        <w:rPr>
          <w:rFonts w:ascii="Arial" w:cs="Arial" w:eastAsia="Arial" w:hAnsi="Arial"/>
          <w:b/>
          <w:bCs/>
          <w:color w:val="2D3748"/>
          <w:sz w:val="24"/>
          <w:szCs w:val="24"/>
        </w:rPr>
        <w:t xml:space="preserve">Timeliness of Information</w:t>
      </w:r>
    </w:p>
    <w:p>
      <w:pPr>
        <w:pStyle w:val="BodyText"/>
      </w:pPr>
      <w:r>
        <w:rPr>
          <w:rFonts w:ascii="Arial" w:cs="Arial" w:eastAsia="Arial" w:hAnsi="Arial"/>
        </w:rPr>
        <w:t xml:space="preserve">The dataset is estimated to be ~3.5 years old (January 2023 scrape). Quick Research reports cite data ranging from 2022 to mid-2026. Pricing, brand rankings, and competitive dynamics have likely shifted since the dataset was captured.</w:t>
      </w:r>
    </w:p>
    <w:p>
      <w:pPr>
        <w:pStyle w:val="Heading3"/>
      </w:pPr>
      <w:r>
        <w:rPr>
          <w:rFonts w:ascii="Arial" w:cs="Arial" w:eastAsia="Arial" w:hAnsi="Arial"/>
          <w:b/>
          <w:bCs/>
          <w:color w:val="2D3748"/>
          <w:sz w:val="24"/>
          <w:szCs w:val="24"/>
        </w:rPr>
        <w:t xml:space="preserve">Overall Confidence Level</w:t>
      </w:r>
    </w:p>
    <w:p>
      <w:pPr>
        <w:spacing w:after="120"/>
      </w:pPr>
      <w:r>
        <w:rPr>
          <w:rFonts w:ascii="Arial" w:cs="Arial" w:eastAsia="Arial" w:hAnsi="Arial"/>
          <w:b/>
          <w:bCs/>
          <w:color w:val="B7791F"/>
          <w:sz w:val="24"/>
          <w:szCs w:val="24"/>
        </w:rPr>
        <w:t xml:space="preserve">⚠️ Medium </w:t>
      </w:r>
      <w:r>
        <w:rPr>
          <w:rFonts w:ascii="Arial" w:cs="Arial" w:eastAsia="Arial" w:hAnsi="Arial"/>
          <w:sz w:val="22"/>
          <w:szCs w:val="22"/>
        </w:rPr>
        <w:t xml:space="preserve">— The directional conclusions (lead with cables, avoid smartwatches) are robust and supported by multiple sources. However, all quantitative claims (prices, ratings, market sizes) should be treated as order-of-magnitude guides, not precise forecasts, due to dataset staleness and vendor-sourced market figures.</w:t>
      </w:r>
    </w:p>
    <w:p>
      <w:pPr>
        <w:pStyle w:val="Heading1"/>
      </w:pPr>
      <w:r>
        <w:rPr>
          <w:rFonts w:ascii="Arial" w:cs="Arial" w:eastAsia="Arial" w:hAnsi="Arial"/>
          <w:b/>
          <w:bCs/>
          <w:color w:val="1A2E44"/>
          <w:sz w:val="32"/>
          <w:szCs w:val="32"/>
        </w:rPr>
        <w:t xml:space="preserve">7. Limitations and Risks</w:t>
      </w:r>
    </w:p>
    <w:p>
      <w:pPr>
        <w:pStyle w:val="Heading2"/>
      </w:pPr>
      <w:r>
        <w:rPr>
          <w:rFonts w:ascii="Arial" w:cs="Arial" w:eastAsia="Arial" w:hAnsi="Arial"/>
          <w:b/>
          <w:bCs/>
          <w:color w:val="2C5282"/>
          <w:sz w:val="26"/>
          <w:szCs w:val="26"/>
        </w:rPr>
        <w:t xml:space="preserve">(a) Dataset-Level Limitations</w:t>
      </w:r>
    </w:p>
    <w:p>
      <w:pPr>
        <w:pStyle w:val="ListParagraph"/>
        <w:numPr>
          <w:ilvl w:val="0"/>
          <w:numId w:val="2"/>
        </w:numPr>
        <w:spacing w:after="100"/>
      </w:pPr>
      <w:r>
        <w:rPr>
          <w:rFonts w:ascii="Arial" w:cs="Arial" w:eastAsia="Arial" w:hAnsi="Arial"/>
          <w:b/>
          <w:bCs/>
          <w:sz w:val="22"/>
          <w:szCs w:val="22"/>
        </w:rPr>
        <w:t xml:space="preserve">Snapshot date unknown: </w:t>
      </w:r>
      <w:r>
        <w:rPr>
          <w:rFonts w:ascii="Arial" w:cs="Arial" w:eastAsia="Arial" w:hAnsi="Arial"/>
          <w:sz w:val="22"/>
          <w:szCs w:val="22"/>
        </w:rPr>
        <w:t xml:space="preserve">amazon.csv contains no date column. URL query strings reference qid=1672909124 (epoch ≈ Jan 2023), suggesting the scrape is ~3.5 years old. All pricing, ratings, and review data reflect a single frozen moment — not current conditions.</w:t>
      </w:r>
    </w:p>
    <w:p>
      <w:pPr>
        <w:pStyle w:val="ListParagraph"/>
        <w:numPr>
          <w:ilvl w:val="0"/>
          <w:numId w:val="2"/>
        </w:numPr>
        <w:spacing w:after="100"/>
      </w:pPr>
      <w:r>
        <w:rPr>
          <w:rFonts w:ascii="Arial" w:cs="Arial" w:eastAsia="Arial" w:hAnsi="Arial"/>
          <w:b/>
          <w:bCs/>
          <w:sz w:val="22"/>
          <w:szCs w:val="22"/>
        </w:rPr>
        <w:t xml:space="preserve">Sample ≠ census: </w:t>
      </w:r>
      <w:r>
        <w:rPr>
          <w:rFonts w:ascii="Arial" w:cs="Arial" w:eastAsia="Arial" w:hAnsi="Arial"/>
          <w:sz w:val="22"/>
          <w:szCs w:val="22"/>
        </w:rPr>
        <w:t xml:space="preserve">1,465 rows / 1,351 unique products across all categories. The focus sub-categories contain only 392 (cables/chargers), 73 (earbuds), and 76 (smartwatches) listings — far from the tens of thousands of live SKUs on Amazon India.</w:t>
      </w:r>
    </w:p>
    <w:p>
      <w:pPr>
        <w:pStyle w:val="ListParagraph"/>
        <w:numPr>
          <w:ilvl w:val="0"/>
          <w:numId w:val="2"/>
        </w:numPr>
        <w:spacing w:after="100"/>
      </w:pPr>
      <w:r>
        <w:rPr>
          <w:rFonts w:ascii="Arial" w:cs="Arial" w:eastAsia="Arial" w:hAnsi="Arial"/>
          <w:b/>
          <w:bCs/>
          <w:sz w:val="22"/>
          <w:szCs w:val="22"/>
        </w:rPr>
        <w:t xml:space="preserve">Scraping / selection bias: </w:t>
      </w:r>
      <w:r>
        <w:rPr>
          <w:rFonts w:ascii="Arial" w:cs="Arial" w:eastAsia="Arial" w:hAnsi="Arial"/>
          <w:sz w:val="22"/>
          <w:szCs w:val="22"/>
        </w:rPr>
        <w:t xml:space="preserve">The dataset appears to be drawn from search-result pages (sr_1_1, sr_1_2, etc.), meaning it over-represents top-ranked, high-visibility products and under-represents long-tail sellers. This inflates average ratings and rating_counts.</w:t>
      </w:r>
    </w:p>
    <w:p>
      <w:pPr>
        <w:pStyle w:val="ListParagraph"/>
        <w:numPr>
          <w:ilvl w:val="0"/>
          <w:numId w:val="2"/>
        </w:numPr>
        <w:spacing w:after="100"/>
      </w:pPr>
      <w:r>
        <w:rPr>
          <w:rFonts w:ascii="Arial" w:cs="Arial" w:eastAsia="Arial" w:hAnsi="Arial"/>
          <w:b/>
          <w:bCs/>
          <w:sz w:val="22"/>
          <w:szCs w:val="22"/>
        </w:rPr>
        <w:t xml:space="preserve">Text-formatted prices: </w:t>
      </w:r>
      <w:r>
        <w:rPr>
          <w:rFonts w:ascii="Arial" w:cs="Arial" w:eastAsia="Arial" w:hAnsi="Arial"/>
          <w:sz w:val="22"/>
          <w:szCs w:val="22"/>
        </w:rPr>
        <w:t xml:space="preserve">Prices are stored as strings with ₹ symbols and commas (e.g., “₹20,999”). Any analysis requires parsing; errors in parsing could silently corrupt price-band analysis.</w:t>
      </w:r>
    </w:p>
    <w:p>
      <w:pPr>
        <w:pStyle w:val="ListParagraph"/>
        <w:numPr>
          <w:ilvl w:val="0"/>
          <w:numId w:val="2"/>
        </w:numPr>
        <w:spacing w:after="100"/>
      </w:pPr>
      <w:r>
        <w:rPr>
          <w:rFonts w:ascii="Arial" w:cs="Arial" w:eastAsia="Arial" w:hAnsi="Arial"/>
          <w:b/>
          <w:bCs/>
          <w:sz w:val="22"/>
          <w:szCs w:val="22"/>
        </w:rPr>
        <w:t xml:space="preserve">Brand parsing heuristic: </w:t>
      </w:r>
      <w:r>
        <w:rPr>
          <w:rFonts w:ascii="Arial" w:cs="Arial" w:eastAsia="Arial" w:hAnsi="Arial"/>
          <w:sz w:val="22"/>
          <w:szCs w:val="22"/>
        </w:rPr>
        <w:t xml:space="preserve">Brand = first word of product_name. This works for “boAt”, “Samsung”, “JBL” but fails for multi-word brands and private-label names. “AmazonBasics” vs. “Amazon” are counted as separate brands.</w:t>
      </w:r>
    </w:p>
    <w:p>
      <w:pPr>
        <w:pStyle w:val="ListParagraph"/>
        <w:numPr>
          <w:ilvl w:val="0"/>
          <w:numId w:val="2"/>
        </w:numPr>
        <w:spacing w:after="100"/>
      </w:pPr>
      <w:r>
        <w:rPr>
          <w:rFonts w:ascii="Arial" w:cs="Arial" w:eastAsia="Arial" w:hAnsi="Arial"/>
          <w:b/>
          <w:bCs/>
          <w:sz w:val="22"/>
          <w:szCs w:val="22"/>
        </w:rPr>
        <w:t xml:space="preserve">rating_count is a traction proxy, not sales: </w:t>
      </w:r>
      <w:r>
        <w:rPr>
          <w:rFonts w:ascii="Arial" w:cs="Arial" w:eastAsia="Arial" w:hAnsi="Arial"/>
          <w:sz w:val="22"/>
          <w:szCs w:val="22"/>
        </w:rPr>
        <w:t xml:space="preserve">A product with 92,595 reviews is not proven to have sold 92,595 units. Review rates vary by category (1–5% of buyers review). It cannot be used to calculate market share or revenue.</w:t>
      </w:r>
    </w:p>
    <w:p>
      <w:pPr>
        <w:pStyle w:val="ListParagraph"/>
        <w:numPr>
          <w:ilvl w:val="0"/>
          <w:numId w:val="2"/>
        </w:numPr>
        <w:spacing w:after="100"/>
      </w:pPr>
      <w:r>
        <w:rPr>
          <w:rFonts w:ascii="Arial" w:cs="Arial" w:eastAsia="Arial" w:hAnsi="Arial"/>
          <w:b/>
          <w:bCs/>
          <w:sz w:val="22"/>
          <w:szCs w:val="22"/>
        </w:rPr>
        <w:t xml:space="preserve">No temporal dimension: </w:t>
      </w:r>
      <w:r>
        <w:rPr>
          <w:rFonts w:ascii="Arial" w:cs="Arial" w:eastAsia="Arial" w:hAnsi="Arial"/>
          <w:sz w:val="22"/>
          <w:szCs w:val="22"/>
        </w:rPr>
        <w:t xml:space="preserve">Cannot observe trends, seasonality, or growth rates from a single snapshot.</w:t>
      </w:r>
    </w:p>
    <w:p>
      <w:pPr>
        <w:pStyle w:val="Heading2"/>
      </w:pPr>
      <w:r>
        <w:rPr>
          <w:rFonts w:ascii="Arial" w:cs="Arial" w:eastAsia="Arial" w:hAnsi="Arial"/>
          <w:b/>
          <w:bCs/>
          <w:color w:val="2C5282"/>
          <w:sz w:val="26"/>
          <w:szCs w:val="26"/>
        </w:rPr>
        <w:t xml:space="preserve">(b) Research-Level Limitations</w:t>
      </w:r>
    </w:p>
    <w:p>
      <w:pPr>
        <w:pStyle w:val="ListParagraph"/>
        <w:numPr>
          <w:ilvl w:val="0"/>
          <w:numId w:val="2"/>
        </w:numPr>
        <w:spacing w:after="100"/>
      </w:pPr>
      <w:r>
        <w:rPr>
          <w:rFonts w:ascii="Arial" w:cs="Arial" w:eastAsia="Arial" w:hAnsi="Arial"/>
          <w:b/>
          <w:bCs/>
          <w:sz w:val="22"/>
          <w:szCs w:val="22"/>
        </w:rPr>
        <w:t xml:space="preserve">Source recency varies: </w:t>
      </w:r>
      <w:r>
        <w:rPr>
          <w:rFonts w:ascii="Arial" w:cs="Arial" w:eastAsia="Arial" w:hAnsi="Arial"/>
          <w:sz w:val="22"/>
          <w:szCs w:val="22"/>
        </w:rPr>
        <w:t xml:space="preserve">Reports cite data from 2022–2026. Some market-size figures (e.g., power bank market valued in 2023) are 3+ years old. The USB charger $2.30B figure is from Expert Market Research, not a government statistical agency.</w:t>
      </w:r>
    </w:p>
    <w:p>
      <w:pPr>
        <w:pStyle w:val="ListParagraph"/>
        <w:numPr>
          <w:ilvl w:val="0"/>
          <w:numId w:val="2"/>
        </w:numPr>
        <w:spacing w:after="100"/>
      </w:pPr>
      <w:r>
        <w:rPr>
          <w:rFonts w:ascii="Arial" w:cs="Arial" w:eastAsia="Arial" w:hAnsi="Arial"/>
          <w:b/>
          <w:bCs/>
          <w:sz w:val="22"/>
          <w:szCs w:val="22"/>
        </w:rPr>
        <w:t xml:space="preserve">Vendor-published market sizes: </w:t>
      </w:r>
      <w:r>
        <w:rPr>
          <w:rFonts w:ascii="Arial" w:cs="Arial" w:eastAsia="Arial" w:hAnsi="Arial"/>
          <w:sz w:val="22"/>
          <w:szCs w:val="22"/>
        </w:rPr>
        <w:t xml:space="preserve">IMARC Group, Expert Market Research, Mordor Intelligence, and NextMSC are commercial research firms that sell reports. Their methodologies are opaque, sample sizes undisclosed, and figures are often estimates or projections, not audited data.</w:t>
      </w:r>
    </w:p>
    <w:p>
      <w:pPr>
        <w:pStyle w:val="ListParagraph"/>
        <w:numPr>
          <w:ilvl w:val="0"/>
          <w:numId w:val="2"/>
        </w:numPr>
        <w:spacing w:after="100"/>
      </w:pPr>
      <w:r>
        <w:rPr>
          <w:rFonts w:ascii="Arial" w:cs="Arial" w:eastAsia="Arial" w:hAnsi="Arial"/>
          <w:b/>
          <w:bCs/>
          <w:sz w:val="22"/>
          <w:szCs w:val="22"/>
        </w:rPr>
        <w:t xml:space="preserve">Conflicting figures: </w:t>
      </w:r>
      <w:r>
        <w:rPr>
          <w:rFonts w:ascii="Arial" w:cs="Arial" w:eastAsia="Arial" w:hAnsi="Arial"/>
          <w:sz w:val="22"/>
          <w:szCs w:val="22"/>
        </w:rPr>
        <w:t xml:space="preserve">The broader mobile accessories market is cited as both $6.86B (IMARC, 2025) and $9.83B (Outlook Business, 2023) depending on definition scope. These are not reconciled in the reports.</w:t>
      </w:r>
    </w:p>
    <w:p>
      <w:pPr>
        <w:pStyle w:val="ListParagraph"/>
        <w:numPr>
          <w:ilvl w:val="0"/>
          <w:numId w:val="2"/>
        </w:numPr>
        <w:spacing w:after="100"/>
      </w:pPr>
      <w:r>
        <w:rPr>
          <w:rFonts w:ascii="Arial" w:cs="Arial" w:eastAsia="Arial" w:hAnsi="Arial"/>
          <w:b/>
          <w:bCs/>
          <w:sz w:val="22"/>
          <w:szCs w:val="22"/>
        </w:rPr>
        <w:t xml:space="preserve">Counterpoint Research is the strongest source: </w:t>
      </w:r>
      <w:r>
        <w:rPr>
          <w:rFonts w:ascii="Arial" w:cs="Arial" w:eastAsia="Arial" w:hAnsi="Arial"/>
          <w:sz w:val="22"/>
          <w:szCs w:val="22"/>
        </w:rPr>
        <w:t xml:space="preserve">An independent tracker with disclosed methodology for TWS and smartwatch share data — but even Counterpoint figures are shipment-based estimates, not sell-through.</w:t>
      </w:r>
    </w:p>
    <w:p>
      <w:pPr>
        <w:pStyle w:val="ListParagraph"/>
        <w:numPr>
          <w:ilvl w:val="0"/>
          <w:numId w:val="2"/>
        </w:numPr>
        <w:spacing w:after="100"/>
      </w:pPr>
      <w:r>
        <w:rPr>
          <w:rFonts w:ascii="Arial" w:cs="Arial" w:eastAsia="Arial" w:hAnsi="Arial"/>
          <w:b/>
          <w:bCs/>
          <w:sz w:val="22"/>
          <w:szCs w:val="22"/>
        </w:rPr>
        <w:t xml:space="preserve">Self-reported company data: </w:t>
      </w:r>
      <w:r>
        <w:rPr>
          <w:rFonts w:ascii="Arial" w:cs="Arial" w:eastAsia="Arial" w:hAnsi="Arial"/>
          <w:sz w:val="22"/>
          <w:szCs w:val="22"/>
        </w:rPr>
        <w:t xml:space="preserve">boAt’s revenue (₹3,098 crore), Noise’s revenue decline (−24%), and Amazon’s “65% from tier-2/3” are company-disclosed figures that may be selectively presented.</w:t>
      </w:r>
    </w:p>
    <w:p>
      <w:pPr>
        <w:pStyle w:val="ListParagraph"/>
        <w:numPr>
          <w:ilvl w:val="0"/>
          <w:numId w:val="2"/>
        </w:numPr>
        <w:spacing w:after="100"/>
      </w:pPr>
      <w:r>
        <w:rPr>
          <w:rFonts w:ascii="Arial" w:cs="Arial" w:eastAsia="Arial" w:hAnsi="Arial"/>
          <w:b/>
          <w:bCs/>
          <w:sz w:val="22"/>
          <w:szCs w:val="22"/>
        </w:rPr>
        <w:t xml:space="preserve">Quick Research is AI-generated: </w:t>
      </w:r>
      <w:r>
        <w:rPr>
          <w:rFonts w:ascii="Arial" w:cs="Arial" w:eastAsia="Arial" w:hAnsi="Arial"/>
          <w:sz w:val="22"/>
          <w:szCs w:val="22"/>
        </w:rPr>
        <w:t xml:space="preserve">Reports 02a–02c were produced by an AI research tool. While they cite real URLs, the synthesis and framing reflect algorithmic judgment, not human analyst review.</w:t>
      </w:r>
    </w:p>
    <w:p>
      <w:pPr>
        <w:pStyle w:val="Heading2"/>
      </w:pPr>
      <w:r>
        <w:rPr>
          <w:rFonts w:ascii="Arial" w:cs="Arial" w:eastAsia="Arial" w:hAnsi="Arial"/>
          <w:b/>
          <w:bCs/>
          <w:color w:val="2C5282"/>
          <w:sz w:val="26"/>
          <w:szCs w:val="26"/>
        </w:rPr>
        <w:t xml:space="preserve">(c) Three Risks of Acting on This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2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w:t>
            </w:r>
          </w:p>
        </w:tc>
        <w:tc>
          <w:tcPr>
            <w:tcW w:type="dxa" w:w="160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Risk</w:t>
            </w:r>
          </w:p>
        </w:tc>
        <w:tc>
          <w:tcPr>
            <w:tcW w:type="dxa" w:w="448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Description</w:t>
            </w:r>
          </w:p>
        </w:tc>
        <w:tc>
          <w:tcPr>
            <w:tcW w:type="dxa" w:w="276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Mitigation</w:t>
            </w:r>
          </w:p>
        </w:tc>
      </w:tr>
      <w:tr>
        <w:tc>
          <w:tcPr>
            <w:tcW w:type="dxa" w:w="520"/>
            <w:tcBorders>
              <w:top w:val="single" w:color="C4D2E0" w:sz="4"/>
              <w:left w:val="single" w:color="C4D2E0" w:sz="4"/>
              <w:bottom w:val="single" w:color="C4D2E0" w:sz="4"/>
              <w:right w:val="single" w:color="C4D2E0" w:sz="4"/>
            </w:tcBorders>
            <w:shd w:fill="FFF5F5" w:val="clear"/>
            <w:vAlign w:val="top"/>
          </w:tcPr>
          <w:p>
            <w:pPr>
              <w:spacing w:after="80" w:before="80"/>
              <w:jc w:val="center"/>
            </w:pPr>
            <w:r>
              <w:rPr>
                <w:rFonts w:ascii="Arial" w:cs="Arial" w:eastAsia="Arial" w:hAnsi="Arial"/>
                <w:b w:val="false"/>
                <w:bCs w:val="false"/>
                <w:color w:val="2D3748"/>
                <w:sz w:val="20"/>
                <w:szCs w:val="20"/>
              </w:rPr>
              <w:t xml:space="preserve">🔴</w:t>
            </w:r>
          </w:p>
        </w:tc>
        <w:tc>
          <w:tcPr>
            <w:tcW w:type="dxa" w:w="1600"/>
            <w:tcBorders>
              <w:top w:val="single" w:color="C4D2E0" w:sz="4"/>
              <w:left w:val="single" w:color="C4D2E0" w:sz="4"/>
              <w:bottom w:val="single" w:color="C4D2E0" w:sz="4"/>
              <w:right w:val="single" w:color="C4D2E0" w:sz="4"/>
            </w:tcBorders>
            <w:shd w:fill="FFF5F5" w:val="clear"/>
          </w:tcPr>
          <w:p>
            <w:pPr>
              <w:spacing w:after="40" w:before="60"/>
            </w:pPr>
            <w:r>
              <w:rPr>
                <w:rFonts w:ascii="Arial" w:cs="Arial" w:eastAsia="Arial" w:hAnsi="Arial"/>
                <w:b/>
                <w:bCs/>
                <w:sz w:val="20"/>
                <w:szCs w:val="20"/>
              </w:rPr>
              <w:t xml:space="preserve">Stale data leads to wrong positioning</w:t>
            </w:r>
          </w:p>
          <w:p>
            <w:pPr>
              <w:spacing w:after="60" w:before="0"/>
            </w:pPr>
            <w:r>
              <w:rPr>
                <w:rFonts w:ascii="Arial" w:cs="Arial" w:eastAsia="Arial" w:hAnsi="Arial"/>
                <w:i/>
                <w:iCs/>
                <w:color w:val="718096"/>
                <w:sz w:val="18"/>
                <w:szCs w:val="18"/>
              </w:rPr>
              <w:t xml:space="preserve">Severity: High</w:t>
            </w:r>
          </w:p>
        </w:tc>
        <w:tc>
          <w:tcPr>
            <w:tcW w:type="dxa" w:w="448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val="false"/>
                <w:bCs w:val="false"/>
                <w:color w:val="2D3748"/>
                <w:sz w:val="20"/>
                <w:szCs w:val="20"/>
              </w:rPr>
              <w:t xml:space="preserve">The dataset is ~3.5 years old. Prices, ratings, brand rankings, and competitive dynamics have likely shifted materially. Launching a ₹300–₹800 USB-C cable strategy based on 2023 pricing could miss current market realities (e.g., price deflation, new entrants, changed fee structures).</w:t>
            </w:r>
          </w:p>
        </w:tc>
        <w:tc>
          <w:tcPr>
            <w:tcW w:type="dxa" w:w="276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val="false"/>
                <w:bCs w:val="false"/>
                <w:color w:val="2D6A4F"/>
                <w:sz w:val="20"/>
                <w:szCs w:val="20"/>
              </w:rPr>
              <w:t xml:space="preserve">Commission a fresh Amazon India scrape (or use Helium10/Jungle Scout) within 30 days of go/no-go decision. Validate top-10 competitor prices and ratings in real time before finalizing pricing.</w:t>
            </w:r>
          </w:p>
        </w:tc>
      </w:tr>
      <w:tr>
        <w:tc>
          <w:tcPr>
            <w:tcW w:type="dxa" w:w="520"/>
            <w:tcBorders>
              <w:top w:val="single" w:color="C4D2E0" w:sz="4"/>
              <w:left w:val="single" w:color="C4D2E0" w:sz="4"/>
              <w:bottom w:val="single" w:color="C4D2E0" w:sz="4"/>
              <w:right w:val="single" w:color="C4D2E0" w:sz="4"/>
            </w:tcBorders>
            <w:shd w:fill="FFFFFF" w:val="clear"/>
            <w:vAlign w:val="top"/>
          </w:tcPr>
          <w:p>
            <w:pPr>
              <w:spacing w:after="80" w:before="80"/>
              <w:jc w:val="center"/>
            </w:pPr>
            <w:r>
              <w:rPr>
                <w:rFonts w:ascii="Arial" w:cs="Arial" w:eastAsia="Arial" w:hAnsi="Arial"/>
                <w:b w:val="false"/>
                <w:bCs w:val="false"/>
                <w:color w:val="2D3748"/>
                <w:sz w:val="20"/>
                <w:szCs w:val="20"/>
              </w:rPr>
              <w:t xml:space="preserve">🟡</w:t>
            </w:r>
          </w:p>
        </w:tc>
        <w:tc>
          <w:tcPr>
            <w:tcW w:type="dxa" w:w="1600"/>
            <w:tcBorders>
              <w:top w:val="single" w:color="C4D2E0" w:sz="4"/>
              <w:left w:val="single" w:color="C4D2E0" w:sz="4"/>
              <w:bottom w:val="single" w:color="C4D2E0" w:sz="4"/>
              <w:right w:val="single" w:color="C4D2E0" w:sz="4"/>
            </w:tcBorders>
            <w:shd w:fill="FFFFFF" w:val="clear"/>
          </w:tcPr>
          <w:p>
            <w:pPr>
              <w:spacing w:after="40" w:before="60"/>
            </w:pPr>
            <w:r>
              <w:rPr>
                <w:rFonts w:ascii="Arial" w:cs="Arial" w:eastAsia="Arial" w:hAnsi="Arial"/>
                <w:b/>
                <w:bCs/>
                <w:sz w:val="20"/>
                <w:szCs w:val="20"/>
              </w:rPr>
              <w:t xml:space="preserve">Over-reliance on vendor market-size figures inflates opportunity</w:t>
            </w:r>
          </w:p>
          <w:p>
            <w:pPr>
              <w:spacing w:after="60" w:before="0"/>
            </w:pPr>
            <w:r>
              <w:rPr>
                <w:rFonts w:ascii="Arial" w:cs="Arial" w:eastAsia="Arial" w:hAnsi="Arial"/>
                <w:i/>
                <w:iCs/>
                <w:color w:val="718096"/>
                <w:sz w:val="18"/>
                <w:szCs w:val="18"/>
              </w:rPr>
              <w:t xml:space="preserve">Severity: Medium</w:t>
            </w:r>
          </w:p>
        </w:tc>
        <w:tc>
          <w:tcPr>
            <w:tcW w:type="dxa" w:w="448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The $2.30B USB charger market and 8.9% CAGR come from a single commercial research firm. If the actual addressable market is smaller (e.g., online-only, Amazon-only, VoltEdge’s price band only), the opportunity could be 5–10× smaller than headline figures suggest.</w:t>
            </w:r>
          </w:p>
        </w:tc>
        <w:tc>
          <w:tcPr>
            <w:tcW w:type="dxa" w:w="276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6A4F"/>
                <w:sz w:val="20"/>
                <w:szCs w:val="20"/>
              </w:rPr>
              <w:t xml:space="preserve">Build a bottom-up TAM model: (Amazon India share of online × online share of total × VoltEdge’s target price band × realistic capture rate). Cross-reference with Amazon Best Seller Rank data for volume proxies.</w:t>
            </w:r>
          </w:p>
        </w:tc>
      </w:tr>
      <w:tr>
        <w:tc>
          <w:tcPr>
            <w:tcW w:type="dxa" w:w="520"/>
            <w:tcBorders>
              <w:top w:val="single" w:color="C4D2E0" w:sz="4"/>
              <w:left w:val="single" w:color="C4D2E0" w:sz="4"/>
              <w:bottom w:val="single" w:color="C4D2E0" w:sz="4"/>
              <w:right w:val="single" w:color="C4D2E0" w:sz="4"/>
            </w:tcBorders>
            <w:shd w:fill="FFF5F5" w:val="clear"/>
            <w:vAlign w:val="top"/>
          </w:tcPr>
          <w:p>
            <w:pPr>
              <w:spacing w:after="80" w:before="80"/>
              <w:jc w:val="center"/>
            </w:pPr>
            <w:r>
              <w:rPr>
                <w:rFonts w:ascii="Arial" w:cs="Arial" w:eastAsia="Arial" w:hAnsi="Arial"/>
                <w:b w:val="false"/>
                <w:bCs w:val="false"/>
                <w:color w:val="2D3748"/>
                <w:sz w:val="20"/>
                <w:szCs w:val="20"/>
              </w:rPr>
              <w:t xml:space="preserve">🟠</w:t>
            </w:r>
          </w:p>
        </w:tc>
        <w:tc>
          <w:tcPr>
            <w:tcW w:type="dxa" w:w="1600"/>
            <w:tcBorders>
              <w:top w:val="single" w:color="C4D2E0" w:sz="4"/>
              <w:left w:val="single" w:color="C4D2E0" w:sz="4"/>
              <w:bottom w:val="single" w:color="C4D2E0" w:sz="4"/>
              <w:right w:val="single" w:color="C4D2E0" w:sz="4"/>
            </w:tcBorders>
            <w:shd w:fill="FFF5F5" w:val="clear"/>
          </w:tcPr>
          <w:p>
            <w:pPr>
              <w:spacing w:after="40" w:before="60"/>
            </w:pPr>
            <w:r>
              <w:rPr>
                <w:rFonts w:ascii="Arial" w:cs="Arial" w:eastAsia="Arial" w:hAnsi="Arial"/>
                <w:b/>
                <w:bCs/>
                <w:sz w:val="20"/>
                <w:szCs w:val="20"/>
              </w:rPr>
              <w:t xml:space="preserve">Regulatory timeline underestimated</w:t>
            </w:r>
          </w:p>
          <w:p>
            <w:pPr>
              <w:spacing w:after="60" w:before="0"/>
            </w:pPr>
            <w:r>
              <w:rPr>
                <w:rFonts w:ascii="Arial" w:cs="Arial" w:eastAsia="Arial" w:hAnsi="Arial"/>
                <w:i/>
                <w:iCs/>
                <w:color w:val="718096"/>
                <w:sz w:val="18"/>
                <w:szCs w:val="18"/>
              </w:rPr>
              <w:t xml:space="preserve">Severity: Medium</w:t>
            </w:r>
          </w:p>
        </w:tc>
        <w:tc>
          <w:tcPr>
            <w:tcW w:type="dxa" w:w="448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val="false"/>
                <w:bCs w:val="false"/>
                <w:color w:val="2D3748"/>
                <w:sz w:val="20"/>
                <w:szCs w:val="20"/>
              </w:rPr>
              <w:t xml:space="preserve">The analysis estimates 3–4 months to first sale (BIS + FDI setup). In practice, BIS query resolution can extend to 60+ working days, Indian subsidiary incorporation can face RBI delays, and USB-C compliance verification adds further lead time. A 6–9 month timeline is more realistic.</w:t>
            </w:r>
          </w:p>
        </w:tc>
        <w:tc>
          <w:tcPr>
            <w:tcW w:type="dxa" w:w="2760"/>
            <w:tcBorders>
              <w:top w:val="single" w:color="C4D2E0" w:sz="4"/>
              <w:left w:val="single" w:color="C4D2E0" w:sz="4"/>
              <w:bottom w:val="single" w:color="C4D2E0" w:sz="4"/>
              <w:right w:val="single" w:color="C4D2E0" w:sz="4"/>
            </w:tcBorders>
            <w:shd w:fill="FFF5F5" w:val="clear"/>
            <w:vAlign w:val="top"/>
          </w:tcPr>
          <w:p>
            <w:pPr>
              <w:spacing w:after="80" w:before="80"/>
              <w:jc w:val="left"/>
            </w:pPr>
            <w:r>
              <w:rPr>
                <w:rFonts w:ascii="Arial" w:cs="Arial" w:eastAsia="Arial" w:hAnsi="Arial"/>
                <w:b w:val="false"/>
                <w:bCs w:val="false"/>
                <w:color w:val="2D6A4F"/>
                <w:sz w:val="20"/>
                <w:szCs w:val="20"/>
              </w:rPr>
              <w:t xml:space="preserve">Begin entity setup and BIS applications immediately upon board approval — do not wait for final product selection. Engage a local regulatory consultant with BIS track record. Budget for 6–9 months, not 3–4.</w:t>
            </w:r>
          </w:p>
        </w:tc>
      </w:tr>
    </w:tbl>
    <w:p>
      <w:pPr>
        <w:spacing w:after="80" w:before="80"/>
      </w:pPr>
      <w:r>
        <w:t xml:space="preserve"/>
      </w:r>
    </w:p>
    <w:p>
      <w:pPr>
        <w:pStyle w:val="Heading3"/>
      </w:pPr>
      <w:r>
        <w:rPr>
          <w:rFonts w:ascii="Arial" w:cs="Arial" w:eastAsia="Arial" w:hAnsi="Arial"/>
          <w:b/>
          <w:bCs/>
          <w:color w:val="2D3748"/>
          <w:sz w:val="24"/>
          <w:szCs w:val="24"/>
        </w:rPr>
        <w:t xml:space="preserve">Missing Data</w:t>
      </w:r>
    </w:p>
    <w:p>
      <w:pPr>
        <w:pStyle w:val="BodyText"/>
      </w:pPr>
      <w:r>
        <w:rPr>
          <w:rFonts w:ascii="Arial" w:cs="Arial" w:eastAsia="Arial" w:hAnsi="Arial"/>
        </w:rPr>
        <w:t xml:space="preserve">No sales velocity, conversion rates, or geographic breakdown in the dataset. No VoltEdge-specific landed-cost model. No primary consumer research or interviews. No Flipkart or offline channel data.</w:t>
      </w:r>
    </w:p>
    <w:p>
      <w:pPr>
        <w:pStyle w:val="Heading3"/>
      </w:pPr>
      <w:r>
        <w:rPr>
          <w:rFonts w:ascii="Arial" w:cs="Arial" w:eastAsia="Arial" w:hAnsi="Arial"/>
          <w:b/>
          <w:bCs/>
          <w:color w:val="2D3748"/>
          <w:sz w:val="24"/>
          <w:szCs w:val="24"/>
        </w:rPr>
        <w:t xml:space="preserve">Conflicting Signals</w:t>
      </w:r>
    </w:p>
    <w:p>
      <w:pPr>
        <w:pStyle w:val="BodyText"/>
      </w:pPr>
      <w:r>
        <w:rPr>
          <w:rFonts w:ascii="Arial" w:cs="Arial" w:eastAsia="Arial" w:hAnsi="Arial"/>
        </w:rPr>
        <w:t xml:space="preserve">Smartwatch mean rating (4.03) is higher than earbuds (3.92), which partially contradicts the “eroded trust” narrative — the trust erosion is better supported by review text and external shipment declines than by star ratings alone. Market-size figures from different vendors are not reconciled ($6.86B vs. $9.83B).</w:t>
      </w:r>
    </w:p>
    <w:p>
      <w:pPr>
        <w:pStyle w:val="Heading3"/>
      </w:pPr>
      <w:r>
        <w:rPr>
          <w:rFonts w:ascii="Arial" w:cs="Arial" w:eastAsia="Arial" w:hAnsi="Arial"/>
          <w:b/>
          <w:bCs/>
          <w:color w:val="2D3748"/>
          <w:sz w:val="24"/>
          <w:szCs w:val="24"/>
        </w:rPr>
        <w:t xml:space="preserve">Potential Bias or Ambiguity</w:t>
      </w:r>
    </w:p>
    <w:p>
      <w:pPr>
        <w:pStyle w:val="ListParagraph"/>
        <w:numPr>
          <w:ilvl w:val="0"/>
          <w:numId w:val="2"/>
        </w:numPr>
        <w:spacing w:after="80"/>
      </w:pPr>
      <w:r>
        <w:rPr>
          <w:rFonts w:ascii="Arial" w:cs="Arial" w:eastAsia="Arial" w:hAnsi="Arial"/>
          <w:b w:val="false"/>
          <w:bCs w:val="false"/>
          <w:color w:val="2D3748"/>
          <w:sz w:val="22"/>
          <w:szCs w:val="22"/>
        </w:rPr>
        <w:t xml:space="preserve">Scraping bias — dataset over-represents top-ranked, high-visibility products, inflating average ratings and review counts.</w:t>
      </w:r>
    </w:p>
    <w:p>
      <w:pPr>
        <w:pStyle w:val="ListParagraph"/>
        <w:numPr>
          <w:ilvl w:val="0"/>
          <w:numId w:val="2"/>
        </w:numPr>
        <w:spacing w:after="80"/>
      </w:pPr>
      <w:r>
        <w:rPr>
          <w:rFonts w:ascii="Arial" w:cs="Arial" w:eastAsia="Arial" w:hAnsi="Arial"/>
          <w:b w:val="false"/>
          <w:bCs w:val="false"/>
          <w:color w:val="2D3748"/>
          <w:sz w:val="22"/>
          <w:szCs w:val="22"/>
        </w:rPr>
        <w:t xml:space="preserve">Brand parsing heuristic (first word of product name) may misclassify some brands.</w:t>
      </w:r>
    </w:p>
    <w:p>
      <w:pPr>
        <w:pStyle w:val="ListParagraph"/>
        <w:numPr>
          <w:ilvl w:val="0"/>
          <w:numId w:val="2"/>
        </w:numPr>
        <w:spacing w:after="80"/>
      </w:pPr>
      <w:r>
        <w:rPr>
          <w:rFonts w:ascii="Arial" w:cs="Arial" w:eastAsia="Arial" w:hAnsi="Arial"/>
          <w:b w:val="false"/>
          <w:bCs w:val="false"/>
          <w:color w:val="2D3748"/>
          <w:sz w:val="22"/>
          <w:szCs w:val="22"/>
        </w:rPr>
        <w:t xml:space="preserve">Amazon’s “65% from tier-2/3” is a self-reported figure with potential PR bias.</w:t>
      </w:r>
    </w:p>
    <w:p>
      <w:pPr>
        <w:pStyle w:val="ListParagraph"/>
        <w:numPr>
          <w:ilvl w:val="0"/>
          <w:numId w:val="2"/>
        </w:numPr>
        <w:spacing w:after="80"/>
      </w:pPr>
      <w:r>
        <w:rPr>
          <w:rFonts w:ascii="Arial" w:cs="Arial" w:eastAsia="Arial" w:hAnsi="Arial"/>
          <w:b w:val="false"/>
          <w:bCs w:val="false"/>
          <w:color w:val="2D3748"/>
          <w:sz w:val="22"/>
          <w:szCs w:val="22"/>
        </w:rPr>
        <w:t xml:space="preserve">Quick Research reports are AI-generated syntheses — framing reflects algorithmic judgment, not human analyst review.</w:t>
      </w:r>
    </w:p>
    <w:p>
      <w:pPr>
        <w:pStyle w:val="Heading1"/>
      </w:pPr>
      <w:r>
        <w:rPr>
          <w:rFonts w:ascii="Arial" w:cs="Arial" w:eastAsia="Arial" w:hAnsi="Arial"/>
          <w:b/>
          <w:bCs/>
          <w:color w:val="1A2E44"/>
          <w:sz w:val="32"/>
          <w:szCs w:val="32"/>
        </w:rPr>
        <w:t xml:space="preserve">8. Strategic Implications</w:t>
      </w:r>
    </w:p>
    <w:p>
      <w:pPr>
        <w:pStyle w:val="Heading3"/>
      </w:pPr>
      <w:r>
        <w:rPr>
          <w:rFonts w:ascii="Arial" w:cs="Arial" w:eastAsia="Arial" w:hAnsi="Arial"/>
          <w:b/>
          <w:bCs/>
          <w:color w:val="2D3748"/>
          <w:sz w:val="24"/>
          <w:szCs w:val="24"/>
        </w:rPr>
        <w:t xml:space="preserve">What Decisions Could This Inform?</w:t>
      </w:r>
    </w:p>
    <w:p>
      <w:pPr>
        <w:pStyle w:val="ListParagraph"/>
        <w:numPr>
          <w:ilvl w:val="0"/>
          <w:numId w:val="2"/>
        </w:numPr>
        <w:spacing w:after="80"/>
      </w:pPr>
      <w:r>
        <w:rPr>
          <w:rFonts w:ascii="Arial" w:cs="Arial" w:eastAsia="Arial" w:hAnsi="Arial"/>
          <w:b w:val="false"/>
          <w:bCs w:val="false"/>
          <w:color w:val="2D3748"/>
          <w:sz w:val="22"/>
          <w:szCs w:val="22"/>
        </w:rPr>
        <w:t xml:space="preserve">Go / No-go / Go-with-conditions decision on Amazon India market entry within 12 months.</w:t>
      </w:r>
    </w:p>
    <w:p>
      <w:pPr>
        <w:pStyle w:val="ListParagraph"/>
        <w:numPr>
          <w:ilvl w:val="0"/>
          <w:numId w:val="2"/>
        </w:numPr>
        <w:spacing w:after="80"/>
      </w:pPr>
      <w:r>
        <w:rPr>
          <w:rFonts w:ascii="Arial" w:cs="Arial" w:eastAsia="Arial" w:hAnsi="Arial"/>
          <w:b w:val="false"/>
          <w:bCs w:val="false"/>
          <w:color w:val="2D3748"/>
          <w:sz w:val="22"/>
          <w:szCs w:val="22"/>
        </w:rPr>
        <w:t xml:space="preserve">Sub-category prioritization: lead with USB-C cables/chargers at ₹300–₹800; defer earbuds to second wave; avoid smartwatches.</w:t>
      </w:r>
    </w:p>
    <w:p>
      <w:pPr>
        <w:pStyle w:val="ListParagraph"/>
        <w:numPr>
          <w:ilvl w:val="0"/>
          <w:numId w:val="2"/>
        </w:numPr>
        <w:spacing w:after="80"/>
      </w:pPr>
      <w:r>
        <w:rPr>
          <w:rFonts w:ascii="Arial" w:cs="Arial" w:eastAsia="Arial" w:hAnsi="Arial"/>
          <w:b w:val="false"/>
          <w:bCs w:val="false"/>
          <w:color w:val="2D3748"/>
          <w:sz w:val="22"/>
          <w:szCs w:val="22"/>
        </w:rPr>
        <w:t xml:space="preserve">Pricing guardrails: stay under ₹1,000 to capture zero referral fee; target ₹300–₹800 for cables.</w:t>
      </w:r>
    </w:p>
    <w:p>
      <w:pPr>
        <w:pStyle w:val="ListParagraph"/>
        <w:numPr>
          <w:ilvl w:val="0"/>
          <w:numId w:val="2"/>
        </w:numPr>
        <w:spacing w:after="80"/>
      </w:pPr>
      <w:r>
        <w:rPr>
          <w:rFonts w:ascii="Arial" w:cs="Arial" w:eastAsia="Arial" w:hAnsi="Arial"/>
          <w:b w:val="false"/>
          <w:bCs w:val="false"/>
          <w:color w:val="2D3748"/>
          <w:sz w:val="22"/>
          <w:szCs w:val="22"/>
        </w:rPr>
        <w:t xml:space="preserve">Launch timing: align inventory arrival with September–October festive season.</w:t>
      </w:r>
    </w:p>
    <w:p>
      <w:pPr>
        <w:pStyle w:val="ListParagraph"/>
        <w:numPr>
          <w:ilvl w:val="0"/>
          <w:numId w:val="2"/>
        </w:numPr>
        <w:spacing w:after="80"/>
      </w:pPr>
      <w:r>
        <w:rPr>
          <w:rFonts w:ascii="Arial" w:cs="Arial" w:eastAsia="Arial" w:hAnsi="Arial"/>
          <w:b w:val="false"/>
          <w:bCs w:val="false"/>
          <w:color w:val="2D3748"/>
          <w:sz w:val="22"/>
          <w:szCs w:val="22"/>
        </w:rPr>
        <w:t xml:space="preserve">Budget allocation: ₹5–15 lakh for BIS certification (10–15 SKUs), $10K–$50K for FDI entity setup, 6–9 month runway before first sale.</w:t>
      </w:r>
    </w:p>
    <w:p>
      <w:pPr>
        <w:spacing w:after="80" w:before="80"/>
      </w:pPr>
      <w:r>
        <w:t xml:space="preserve"/>
      </w:r>
    </w:p>
    <w:p>
      <w:pPr>
        <w:pStyle w:val="Heading3"/>
      </w:pPr>
      <w:r>
        <w:rPr>
          <w:rFonts w:ascii="Arial" w:cs="Arial" w:eastAsia="Arial" w:hAnsi="Arial"/>
          <w:b/>
          <w:bCs/>
          <w:color w:val="2D3748"/>
          <w:sz w:val="24"/>
          <w:szCs w:val="24"/>
        </w:rPr>
        <w:t xml:space="preserve">What Should NOT Be Concluded from This Research?</w:t>
      </w:r>
    </w:p>
    <w:p>
      <w:pPr>
        <w:pStyle w:val="ListParagraph"/>
        <w:numPr>
          <w:ilvl w:val="0"/>
          <w:numId w:val="2"/>
        </w:numPr>
        <w:spacing w:after="80"/>
      </w:pPr>
      <w:r>
        <w:rPr>
          <w:rFonts w:ascii="Arial" w:cs="Arial" w:eastAsia="Arial" w:hAnsi="Arial"/>
          <w:b w:val="false"/>
          <w:bCs w:val="false"/>
          <w:color w:val="2D3748"/>
          <w:sz w:val="22"/>
          <w:szCs w:val="22"/>
        </w:rPr>
        <w:t xml:space="preserve">This analysis cannot predict VoltEdge’s actual market share, revenue, or unit sales — the dataset has no sales velocity data and market sizes are vendor estimates.</w:t>
      </w:r>
    </w:p>
    <w:p>
      <w:pPr>
        <w:pStyle w:val="ListParagraph"/>
        <w:numPr>
          <w:ilvl w:val="0"/>
          <w:numId w:val="2"/>
        </w:numPr>
        <w:spacing w:after="80"/>
      </w:pPr>
      <w:r>
        <w:rPr>
          <w:rFonts w:ascii="Arial" w:cs="Arial" w:eastAsia="Arial" w:hAnsi="Arial"/>
          <w:b w:val="false"/>
          <w:bCs w:val="false"/>
          <w:color w:val="2D3748"/>
          <w:sz w:val="22"/>
          <w:szCs w:val="22"/>
        </w:rPr>
        <w:t xml:space="preserve">The “quality gap” in earbuds does not guarantee that a new entrant can exploit it — brand trust, marketing spend, and distribution are prerequisites not assessed here.</w:t>
      </w:r>
    </w:p>
    <w:p>
      <w:pPr>
        <w:pStyle w:val="ListParagraph"/>
        <w:numPr>
          <w:ilvl w:val="0"/>
          <w:numId w:val="2"/>
        </w:numPr>
        <w:spacing w:after="80"/>
      </w:pPr>
      <w:r>
        <w:rPr>
          <w:rFonts w:ascii="Arial" w:cs="Arial" w:eastAsia="Arial" w:hAnsi="Arial"/>
          <w:b w:val="false"/>
          <w:bCs w:val="false"/>
          <w:color w:val="2D3748"/>
          <w:sz w:val="22"/>
          <w:szCs w:val="22"/>
        </w:rPr>
        <w:t xml:space="preserve">Regulatory cost estimates (30–40%) are ranges, not VoltEdge-specific figures — actual margins depend on COGS, shipping, return rates, and entity structure.</w:t>
      </w:r>
    </w:p>
    <w:p>
      <w:pPr>
        <w:pStyle w:val="ListParagraph"/>
        <w:numPr>
          <w:ilvl w:val="0"/>
          <w:numId w:val="2"/>
        </w:numPr>
        <w:spacing w:after="80"/>
      </w:pPr>
      <w:r>
        <w:rPr>
          <w:rFonts w:ascii="Arial" w:cs="Arial" w:eastAsia="Arial" w:hAnsi="Arial"/>
          <w:b w:val="false"/>
          <w:bCs w:val="false"/>
          <w:color w:val="2D3748"/>
          <w:sz w:val="22"/>
          <w:szCs w:val="22"/>
        </w:rPr>
        <w:t xml:space="preserve">The dataset snapshot is ~3.5 years old — current competitive positions, prices, and ratings may have shifted materially.</w:t>
      </w:r>
    </w:p>
    <w:p>
      <w:pPr>
        <w:pStyle w:val="Heading1"/>
      </w:pPr>
      <w:r>
        <w:rPr>
          <w:rFonts w:ascii="Arial" w:cs="Arial" w:eastAsia="Arial" w:hAnsi="Arial"/>
          <w:b/>
          <w:bCs/>
          <w:color w:val="1A2E44"/>
          <w:sz w:val="32"/>
          <w:szCs w:val="32"/>
        </w:rPr>
        <w:t xml:space="preserve">9. Summary for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C5282" w:sz="12"/>
              <w:left w:val="single" w:color="2C5282" w:sz="12"/>
              <w:bottom w:val="single" w:color="2C5282" w:sz="12"/>
              <w:right w:val="single" w:color="2C5282" w:sz="12"/>
            </w:tcBorders>
            <w:shd w:fill="EBF4FF" w:val="clear"/>
          </w:tcPr>
          <w:p>
            <w:pPr>
              <w:spacing w:after="60" w:before="120"/>
              <w:jc w:val="center"/>
            </w:pPr>
            <w:r>
              <w:rPr>
                <w:rFonts w:ascii="Arial" w:cs="Arial" w:eastAsia="Arial" w:hAnsi="Arial"/>
                <w:b/>
                <w:bCs/>
                <w:color w:val="1A365D"/>
                <w:sz w:val="28"/>
                <w:szCs w:val="28"/>
              </w:rPr>
              <w:t xml:space="preserve">🟡 RECOMMENDATION: GO-WITH-CONDITIONS</w:t>
            </w:r>
          </w:p>
          <w:p>
            <w:pPr>
              <w:spacing w:after="120" w:before="0"/>
              <w:jc w:val="center"/>
            </w:pPr>
            <w:r>
              <w:rPr>
                <w:rFonts w:ascii="Arial" w:cs="Arial" w:eastAsia="Arial" w:hAnsi="Arial"/>
                <w:i/>
                <w:iCs/>
                <w:color w:val="2C5282"/>
                <w:sz w:val="22"/>
                <w:szCs w:val="22"/>
              </w:rPr>
              <w:t xml:space="preserve">Enter Amazon India with USB-C cables and chargers. Conditions: refresh data + build landed-cost model before committing capital.</w:t>
            </w:r>
          </w:p>
        </w:tc>
      </w:tr>
    </w:tbl>
    <w:p>
      <w:pPr>
        <w:spacing w:after="120" w:before="120"/>
      </w:pPr>
      <w:r>
        <w:t xml:space="preserve"/>
      </w:r>
    </w:p>
    <w:p>
      <w:pPr>
        <w:pStyle w:val="BodyText"/>
      </w:pPr>
      <w:r>
        <w:rPr>
          <w:rFonts w:ascii="Arial" w:cs="Arial" w:eastAsia="Arial" w:hAnsi="Arial"/>
        </w:rPr>
        <w:t xml:space="preserve">This analysis recommends a Go-with-conditions decision for VoltEdge’s entry into Amazon India. The recommended entry category is USB-C cables and chargers at ₹300–₹800, which offers the largest addressable market ($2.30B, 8.9% CAGR), the most fragmented competitive landscape (97 brands, no dominant gatekeeper), the highest customer ratings (4.17 mean), and a margin-friendly zero referral fee for products under ₹1,000.</w:t>
      </w:r>
    </w:p>
    <w:p>
      <w:pPr>
        <w:pStyle w:val="BodyText"/>
      </w:pPr>
      <w:r>
        <w:rPr>
          <w:rFonts w:ascii="Arial" w:cs="Arial" w:eastAsia="Arial" w:hAnsi="Arial"/>
        </w:rPr>
        <w:t xml:space="preserve">Smartwatches should be avoided entirely — the category is contracting (−43.9% revenue), trust-eroded, and dominated by aggressive discounters. Earbuds present a viable second-wave opportunity once VoltEdge establishes brand credibility through cables.</w:t>
      </w:r>
    </w:p>
    <w:p>
      <w:pPr>
        <w:pStyle w:val="BodyText"/>
      </w:pPr>
      <w:r>
        <w:rPr>
          <w:rFonts w:ascii="Arial" w:cs="Arial" w:eastAsia="Arial" w:hAnsi="Arial"/>
        </w:rPr>
        <w:t xml:space="preserve">The two conditions before committing capital are: (1) commission a fresh Amazon India data pull to validate that 2023-era competitive positions still hold, and (2) build a VoltEdge-specific landed-cost model accounting for the 30–40% regulatory and platform fee stack from report 02c.</w:t>
      </w:r>
    </w:p>
    <w:p>
      <w:pPr>
        <w:pStyle w:val="BodyText"/>
      </w:pPr>
      <w:r>
        <w:rPr>
          <w:rFonts w:ascii="Arial" w:cs="Arial" w:eastAsia="Arial" w:hAnsi="Arial"/>
        </w:rPr>
        <w:t xml:space="preserve">Overall confidence in the directional recommendation is Medium — the structural conclusions are robust across sources, but all quantitative claims should be treated as order-of-magnitude guides pending data refresh.</w:t>
      </w:r>
    </w:p>
    <w:p>
      <w:pPr>
        <w:spacing w:after="120" w:before="120"/>
      </w:pPr>
      <w:r>
        <w:t xml:space="preserve"/>
      </w:r>
    </w:p>
    <w:p>
      <w:pPr>
        <w:pStyle w:val="Heading3"/>
      </w:pPr>
      <w:r>
        <w:rPr>
          <w:rFonts w:ascii="Arial" w:cs="Arial" w:eastAsia="Arial" w:hAnsi="Arial"/>
          <w:b/>
          <w:bCs/>
          <w:color w:val="2D3748"/>
          <w:sz w:val="24"/>
          <w:szCs w:val="24"/>
        </w:rPr>
        <w:t xml:space="preserve">Recommended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8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w:t>
            </w:r>
          </w:p>
        </w:tc>
        <w:tc>
          <w:tcPr>
            <w:tcW w:type="dxa" w:w="312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Action</w:t>
            </w:r>
          </w:p>
        </w:tc>
        <w:tc>
          <w:tcPr>
            <w:tcW w:type="dxa" w:w="312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Detail</w:t>
            </w:r>
          </w:p>
        </w:tc>
        <w:tc>
          <w:tcPr>
            <w:tcW w:type="dxa" w:w="2640"/>
            <w:tcBorders>
              <w:top w:val="single" w:color="C4D2E0" w:sz="4"/>
              <w:left w:val="single" w:color="C4D2E0" w:sz="4"/>
              <w:bottom w:val="single" w:color="C4D2E0" w:sz="4"/>
              <w:right w:val="single" w:color="C4D2E0" w:sz="4"/>
            </w:tcBorders>
            <w:shd w:fill="1A2E44" w:val="clear"/>
            <w:vAlign w:val="center"/>
          </w:tcPr>
          <w:p>
            <w:pPr>
              <w:spacing w:after="80" w:before="80"/>
              <w:jc w:val="center"/>
            </w:pPr>
            <w:r>
              <w:rPr>
                <w:rFonts w:ascii="Arial" w:cs="Arial" w:eastAsia="Arial" w:hAnsi="Arial"/>
                <w:b/>
                <w:bCs/>
                <w:color w:val="FFFFFF"/>
                <w:sz w:val="20"/>
                <w:szCs w:val="20"/>
              </w:rPr>
              <w:t xml:space="preserve">Owner / Timeline</w:t>
            </w:r>
          </w:p>
        </w:tc>
      </w:tr>
      <w:tr>
        <w:tc>
          <w:tcPr>
            <w:tcW w:type="dxa" w:w="480"/>
            <w:tcBorders>
              <w:top w:val="single" w:color="C4D2E0" w:sz="4"/>
              <w:left w:val="single" w:color="C4D2E0" w:sz="4"/>
              <w:bottom w:val="single" w:color="C4D2E0" w:sz="4"/>
              <w:right w:val="single" w:color="C4D2E0" w:sz="4"/>
            </w:tcBorders>
            <w:shd w:fill="F0F4F8" w:val="clear"/>
            <w:vAlign w:val="top"/>
          </w:tcPr>
          <w:p>
            <w:pPr>
              <w:spacing w:after="80" w:before="80"/>
              <w:jc w:val="center"/>
            </w:pPr>
            <w:r>
              <w:rPr>
                <w:rFonts w:ascii="Arial" w:cs="Arial" w:eastAsia="Arial" w:hAnsi="Arial"/>
                <w:b/>
                <w:bCs/>
                <w:color w:val="2C5282"/>
                <w:sz w:val="20"/>
                <w:szCs w:val="20"/>
              </w:rPr>
              <w:t xml:space="preserve">1</w:t>
            </w:r>
          </w:p>
        </w:tc>
        <w:tc>
          <w:tcPr>
            <w:tcW w:type="dxa" w:w="312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bCs/>
                <w:color w:val="2D3748"/>
                <w:sz w:val="20"/>
                <w:szCs w:val="20"/>
              </w:rPr>
              <w:t xml:space="preserve">Refresh competitive dataset</w:t>
            </w:r>
          </w:p>
        </w:tc>
        <w:tc>
          <w:tcPr>
            <w:tcW w:type="dxa" w:w="312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2D3748"/>
                <w:sz w:val="20"/>
                <w:szCs w:val="20"/>
              </w:rPr>
              <w:t xml:space="preserve">Commission a current Amazon India scrape (Helium10/Jungle Scout) to validate prices, ratings, and brand rankings in the cables/chargers sub-category</w:t>
            </w:r>
          </w:p>
        </w:tc>
        <w:tc>
          <w:tcPr>
            <w:tcW w:type="dxa" w:w="264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4A6FA5"/>
                <w:sz w:val="20"/>
                <w:szCs w:val="20"/>
              </w:rPr>
              <w:t xml:space="preserve">Strategy team — within 30 days of board decision</w:t>
            </w:r>
          </w:p>
        </w:tc>
      </w:tr>
      <w:tr>
        <w:tc>
          <w:tcPr>
            <w:tcW w:type="dxa" w:w="480"/>
            <w:tcBorders>
              <w:top w:val="single" w:color="C4D2E0" w:sz="4"/>
              <w:left w:val="single" w:color="C4D2E0" w:sz="4"/>
              <w:bottom w:val="single" w:color="C4D2E0" w:sz="4"/>
              <w:right w:val="single" w:color="C4D2E0" w:sz="4"/>
            </w:tcBorders>
            <w:shd w:fill="FFFFFF" w:val="clear"/>
            <w:vAlign w:val="top"/>
          </w:tcPr>
          <w:p>
            <w:pPr>
              <w:spacing w:after="80" w:before="80"/>
              <w:jc w:val="center"/>
            </w:pPr>
            <w:r>
              <w:rPr>
                <w:rFonts w:ascii="Arial" w:cs="Arial" w:eastAsia="Arial" w:hAnsi="Arial"/>
                <w:b/>
                <w:bCs/>
                <w:color w:val="2C5282"/>
                <w:sz w:val="20"/>
                <w:szCs w:val="20"/>
              </w:rPr>
              <w:t xml:space="preserve">2</w:t>
            </w:r>
          </w:p>
        </w:tc>
        <w:tc>
          <w:tcPr>
            <w:tcW w:type="dxa" w:w="312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bCs/>
                <w:color w:val="2D3748"/>
                <w:sz w:val="20"/>
                <w:szCs w:val="20"/>
              </w:rPr>
              <w:t xml:space="preserve">Build VoltEdge landed-cost model</w:t>
            </w:r>
          </w:p>
        </w:tc>
        <w:tc>
          <w:tcPr>
            <w:tcW w:type="dxa" w:w="312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Use 02c tariff and fee breakdown to model net margin at ₹300, ₹500, and ₹800 price points, with actual COGS and shipping costs</w:t>
            </w:r>
          </w:p>
        </w:tc>
        <w:tc>
          <w:tcPr>
            <w:tcW w:type="dxa" w:w="264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4A6FA5"/>
                <w:sz w:val="20"/>
                <w:szCs w:val="20"/>
              </w:rPr>
              <w:t xml:space="preserve">Finance — within 30 days of board decision</w:t>
            </w:r>
          </w:p>
        </w:tc>
      </w:tr>
      <w:tr>
        <w:tc>
          <w:tcPr>
            <w:tcW w:type="dxa" w:w="480"/>
            <w:tcBorders>
              <w:top w:val="single" w:color="C4D2E0" w:sz="4"/>
              <w:left w:val="single" w:color="C4D2E0" w:sz="4"/>
              <w:bottom w:val="single" w:color="C4D2E0" w:sz="4"/>
              <w:right w:val="single" w:color="C4D2E0" w:sz="4"/>
            </w:tcBorders>
            <w:shd w:fill="F0F4F8" w:val="clear"/>
            <w:vAlign w:val="top"/>
          </w:tcPr>
          <w:p>
            <w:pPr>
              <w:spacing w:after="80" w:before="80"/>
              <w:jc w:val="center"/>
            </w:pPr>
            <w:r>
              <w:rPr>
                <w:rFonts w:ascii="Arial" w:cs="Arial" w:eastAsia="Arial" w:hAnsi="Arial"/>
                <w:b/>
                <w:bCs/>
                <w:color w:val="2C5282"/>
                <w:sz w:val="20"/>
                <w:szCs w:val="20"/>
              </w:rPr>
              <w:t xml:space="preserve">3</w:t>
            </w:r>
          </w:p>
        </w:tc>
        <w:tc>
          <w:tcPr>
            <w:tcW w:type="dxa" w:w="312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bCs/>
                <w:color w:val="2D3748"/>
                <w:sz w:val="20"/>
                <w:szCs w:val="20"/>
              </w:rPr>
              <w:t xml:space="preserve">Begin BIS + FDI entity setup in parallel</w:t>
            </w:r>
          </w:p>
        </w:tc>
        <w:tc>
          <w:tcPr>
            <w:tcW w:type="dxa" w:w="312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2D3748"/>
                <w:sz w:val="20"/>
                <w:szCs w:val="20"/>
              </w:rPr>
              <w:t xml:space="preserve">Do not wait for final SKU selection. Engage a local regulatory consultant with BIS track record. Budget ₹5–15 lakh (10–15 SKUs) and $10K–$50K (entity). Budget 6–9 months, not 3–4.</w:t>
            </w:r>
          </w:p>
        </w:tc>
        <w:tc>
          <w:tcPr>
            <w:tcW w:type="dxa" w:w="264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4A6FA5"/>
                <w:sz w:val="20"/>
                <w:szCs w:val="20"/>
              </w:rPr>
              <w:t xml:space="preserve">Legal / Operations — immediate upon board approval</w:t>
            </w:r>
          </w:p>
        </w:tc>
      </w:tr>
      <w:tr>
        <w:tc>
          <w:tcPr>
            <w:tcW w:type="dxa" w:w="480"/>
            <w:tcBorders>
              <w:top w:val="single" w:color="C4D2E0" w:sz="4"/>
              <w:left w:val="single" w:color="C4D2E0" w:sz="4"/>
              <w:bottom w:val="single" w:color="C4D2E0" w:sz="4"/>
              <w:right w:val="single" w:color="C4D2E0" w:sz="4"/>
            </w:tcBorders>
            <w:shd w:fill="FFFFFF" w:val="clear"/>
            <w:vAlign w:val="top"/>
          </w:tcPr>
          <w:p>
            <w:pPr>
              <w:spacing w:after="80" w:before="80"/>
              <w:jc w:val="center"/>
            </w:pPr>
            <w:r>
              <w:rPr>
                <w:rFonts w:ascii="Arial" w:cs="Arial" w:eastAsia="Arial" w:hAnsi="Arial"/>
                <w:b/>
                <w:bCs/>
                <w:color w:val="2C5282"/>
                <w:sz w:val="20"/>
                <w:szCs w:val="20"/>
              </w:rPr>
              <w:t xml:space="preserve">4</w:t>
            </w:r>
          </w:p>
        </w:tc>
        <w:tc>
          <w:tcPr>
            <w:tcW w:type="dxa" w:w="312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bCs/>
                <w:color w:val="2D3748"/>
                <w:sz w:val="20"/>
                <w:szCs w:val="20"/>
              </w:rPr>
              <w:t xml:space="preserve">Target September–October festive window for launch</w:t>
            </w:r>
          </w:p>
        </w:tc>
        <w:tc>
          <w:tcPr>
            <w:tcW w:type="dxa" w:w="312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2D3748"/>
                <w:sz w:val="20"/>
                <w:szCs w:val="20"/>
              </w:rPr>
              <w:t xml:space="preserve">The festive season generates 48% of annual festive GMV in its first week (₹1.24 lakh crore, +31% YoY in 2025). All inventory must arrive at FBA warehouses 4–6 weeks before the window opens.</w:t>
            </w:r>
          </w:p>
        </w:tc>
        <w:tc>
          <w:tcPr>
            <w:tcW w:type="dxa" w:w="2640"/>
            <w:tcBorders>
              <w:top w:val="single" w:color="C4D2E0" w:sz="4"/>
              <w:left w:val="single" w:color="C4D2E0" w:sz="4"/>
              <w:bottom w:val="single" w:color="C4D2E0" w:sz="4"/>
              <w:right w:val="single" w:color="C4D2E0" w:sz="4"/>
            </w:tcBorders>
            <w:shd w:fill="FFFFFF" w:val="clear"/>
            <w:vAlign w:val="top"/>
          </w:tcPr>
          <w:p>
            <w:pPr>
              <w:spacing w:after="80" w:before="80"/>
              <w:jc w:val="left"/>
            </w:pPr>
            <w:r>
              <w:rPr>
                <w:rFonts w:ascii="Arial" w:cs="Arial" w:eastAsia="Arial" w:hAnsi="Arial"/>
                <w:b w:val="false"/>
                <w:bCs w:val="false"/>
                <w:color w:val="4A6FA5"/>
                <w:sz w:val="20"/>
                <w:szCs w:val="20"/>
              </w:rPr>
              <w:t xml:space="preserve">Supply Chain — plan backward from target festive date</w:t>
            </w:r>
          </w:p>
        </w:tc>
      </w:tr>
      <w:tr>
        <w:tc>
          <w:tcPr>
            <w:tcW w:type="dxa" w:w="480"/>
            <w:tcBorders>
              <w:top w:val="single" w:color="C4D2E0" w:sz="4"/>
              <w:left w:val="single" w:color="C4D2E0" w:sz="4"/>
              <w:bottom w:val="single" w:color="C4D2E0" w:sz="4"/>
              <w:right w:val="single" w:color="C4D2E0" w:sz="4"/>
            </w:tcBorders>
            <w:shd w:fill="F0F4F8" w:val="clear"/>
            <w:vAlign w:val="top"/>
          </w:tcPr>
          <w:p>
            <w:pPr>
              <w:spacing w:after="80" w:before="80"/>
              <w:jc w:val="center"/>
            </w:pPr>
            <w:r>
              <w:rPr>
                <w:rFonts w:ascii="Arial" w:cs="Arial" w:eastAsia="Arial" w:hAnsi="Arial"/>
                <w:b/>
                <w:bCs/>
                <w:color w:val="2C5282"/>
                <w:sz w:val="20"/>
                <w:szCs w:val="20"/>
              </w:rPr>
              <w:t xml:space="preserve">5</w:t>
            </w:r>
          </w:p>
        </w:tc>
        <w:tc>
          <w:tcPr>
            <w:tcW w:type="dxa" w:w="312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bCs/>
                <w:color w:val="2D3748"/>
                <w:sz w:val="20"/>
                <w:szCs w:val="20"/>
              </w:rPr>
              <w:t xml:space="preserve">Defer earbuds to second wave</w:t>
            </w:r>
          </w:p>
        </w:tc>
        <w:tc>
          <w:tcPr>
            <w:tcW w:type="dxa" w:w="312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2D3748"/>
                <w:sz w:val="20"/>
                <w:szCs w:val="20"/>
              </w:rPr>
              <w:t xml:space="preserve">After achieving ≥4.2 average rating and 500+ reviews on cable/charger products, assess earbuds entry in the ₹1,500–₹2,000 band with proof of durability and mic quality as key differentiators.</w:t>
            </w:r>
          </w:p>
        </w:tc>
        <w:tc>
          <w:tcPr>
            <w:tcW w:type="dxa" w:w="2640"/>
            <w:tcBorders>
              <w:top w:val="single" w:color="C4D2E0" w:sz="4"/>
              <w:left w:val="single" w:color="C4D2E0" w:sz="4"/>
              <w:bottom w:val="single" w:color="C4D2E0" w:sz="4"/>
              <w:right w:val="single" w:color="C4D2E0" w:sz="4"/>
            </w:tcBorders>
            <w:shd w:fill="F0F4F8" w:val="clear"/>
            <w:vAlign w:val="top"/>
          </w:tcPr>
          <w:p>
            <w:pPr>
              <w:spacing w:after="80" w:before="80"/>
              <w:jc w:val="left"/>
            </w:pPr>
            <w:r>
              <w:rPr>
                <w:rFonts w:ascii="Arial" w:cs="Arial" w:eastAsia="Arial" w:hAnsi="Arial"/>
                <w:b w:val="false"/>
                <w:bCs w:val="false"/>
                <w:color w:val="4A6FA5"/>
                <w:sz w:val="20"/>
                <w:szCs w:val="20"/>
              </w:rPr>
              <w:t xml:space="preserve">Product — evaluate 12–18 months post cable launch</w:t>
            </w:r>
          </w:p>
        </w:tc>
      </w:tr>
    </w:tbl>
    <w:p>
      <w:pPr>
        <w:spacing w:after="200" w:before="200"/>
      </w:pPr>
      <w:r>
        <w:t xml:space="preserve"/>
      </w:r>
    </w:p>
    <w:p>
      <w:pPr>
        <w:spacing w:after="80"/>
        <w:jc w:val="center"/>
      </w:pPr>
      <w:r>
        <w:rPr>
          <w:rFonts w:ascii="Arial" w:cs="Arial" w:eastAsia="Arial" w:hAnsi="Arial"/>
          <w:b/>
          <w:bCs/>
          <w:color w:val="718096"/>
          <w:sz w:val="20"/>
          <w:szCs w:val="20"/>
        </w:rPr>
        <w:t xml:space="preserve">Sources: </w:t>
      </w:r>
      <w:r>
        <w:rPr>
          <w:rFonts w:ascii="Arial" w:cs="Arial" w:eastAsia="Arial" w:hAnsi="Arial"/>
          <w:i/>
          <w:iCs/>
          <w:color w:val="718096"/>
          <w:sz w:val="20"/>
          <w:szCs w:val="20"/>
        </w:rPr>
        <w:t xml:space="preserve">amazon.csv dataset [Dataset] · 02a_QR_Market_Trends [Quick Research] · 02b_QR_Competitors [Quick Research] · 02c_QR_Risks [Quick Research]</w:t>
      </w:r>
    </w:p>
    <w:p>
      <w:pPr>
        <w:spacing w:after="80"/>
        <w:jc w:val="center"/>
      </w:pPr>
      <w:r>
        <w:rPr>
          <w:rFonts w:ascii="Arial" w:cs="Arial" w:eastAsia="Arial" w:hAnsi="Arial"/>
          <w:i/>
          <w:iCs/>
          <w:color w:val="718096"/>
          <w:sz w:val="18"/>
          <w:szCs w:val="18"/>
        </w:rPr>
        <w:t xml:space="preserve">All figures should be treated as order-of-magnitude guides pending a current data refresh and VoltEdge-specific landed-cost model.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718096"/>
        <w:sz w:val="18"/>
        <w:szCs w:val="18"/>
      </w:rPr>
      <w:t xml:space="preserve">CONFIDENTIAL · VoltEdge Accessories · 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of </w:t>
    </w:r>
    <w:r>
      <w:rPr>
        <w:rFonts w:ascii="Arial" w:cs="Arial" w:eastAsia="Arial" w:hAnsi="Arial"/>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718096"/>
        <w:sz w:val="18"/>
        <w:szCs w:val="18"/>
      </w:rPr>
      <w:t xml:space="preserve">Market Intelligence Research Brief — VoltEdge Amazon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60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before="0"/>
      <w:jc w:val="left"/>
    </w:pPr>
    <w:rPr>
      <w:rFonts w:ascii="Arial" w:cs="Arial" w:eastAsia="Arial" w:hAnsi="Arial"/>
      <w:b/>
      <w:bCs/>
      <w:color w:val="1A2E44"/>
      <w:sz w:val="52"/>
      <w:szCs w:val="52"/>
    </w:rPr>
  </w:style>
  <w:style w:type="paragraph" w:styleId="DocSubtitle">
    <w:name w:val="DocSubtitle"/>
    <w:basedOn w:val="Normal"/>
    <w:qFormat/>
    <w:pPr>
      <w:spacing w:after="240" w:before="0"/>
      <w:jc w:val="left"/>
    </w:pPr>
    <w:rPr>
      <w:rFonts w:ascii="Arial" w:cs="Arial" w:eastAsia="Arial" w:hAnsi="Arial"/>
      <w:color w:val="4A6FA5"/>
      <w:sz w:val="26"/>
      <w:szCs w:val="26"/>
    </w:rPr>
  </w:style>
  <w:style w:type="paragraph" w:styleId="Heading1">
    <w:name w:val="Heading 1"/>
    <w:basedOn w:val="Normal"/>
    <w:next w:val="Normal"/>
    <w:qFormat/>
    <w:pPr>
      <w:pBdr>
        <w:bottom w:val="single" w:color="4A6FA5" w:sz="4" w:space="4"/>
      </w:pBdr>
      <w:spacing w:after="120" w:before="480"/>
      <w:outlineLvl w:val="0"/>
    </w:pPr>
    <w:rPr>
      <w:rFonts w:ascii="Arial" w:cs="Arial" w:eastAsia="Arial" w:hAnsi="Arial"/>
      <w:b/>
      <w:bCs/>
      <w:color w:val="1A2E44"/>
      <w:sz w:val="32"/>
      <w:szCs w:val="32"/>
    </w:rPr>
  </w:style>
  <w:style w:type="paragraph" w:styleId="Heading2">
    <w:name w:val="Heading 2"/>
    <w:basedOn w:val="Normal"/>
    <w:next w:val="Normal"/>
    <w:qFormat/>
    <w:pPr>
      <w:spacing w:after="100" w:before="320"/>
      <w:outlineLvl w:val="1"/>
    </w:pPr>
    <w:rPr>
      <w:rFonts w:ascii="Arial" w:cs="Arial" w:eastAsia="Arial" w:hAnsi="Arial"/>
      <w:b/>
      <w:bCs/>
      <w:color w:val="2C5282"/>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D3748"/>
      <w:sz w:val="24"/>
      <w:szCs w:val="24"/>
    </w:rPr>
  </w:style>
  <w:style w:type="paragraph" w:styleId="BodyText">
    <w:name w:val="BodyText"/>
    <w:basedOn w:val="Normal"/>
    <w:pPr>
      <w:spacing w:after="160" w:line="276"/>
    </w:pPr>
    <w:rPr>
      <w:rFonts w:ascii="Arial" w:cs="Arial" w:eastAsia="Arial" w:hAnsi="Arial"/>
      <w:sz w:val="22"/>
      <w:szCs w:val="22"/>
    </w:rPr>
  </w:style>
  <w:style w:type="paragraph" w:styleId="Confidence">
    <w:name w:val="Confidence"/>
    <w:basedOn w:val="Normal"/>
    <w:pPr>
      <w:spacing w:after="120"/>
      <w:ind w:left="360"/>
    </w:pPr>
    <w:rPr>
      <w:rFonts w:ascii="Arial" w:cs="Arial" w:eastAsia="Arial" w:hAnsi="Arial"/>
      <w:i/>
      <w:iCs/>
      <w:color w:val="2F855A"/>
      <w:sz w:val="20"/>
      <w:szCs w:val="20"/>
    </w:rPr>
  </w:style>
  <w:style w:type="paragraph" w:styleId="SourceLabel">
    <w:name w:val="SourceLabel"/>
    <w:basedOn w:val="Normal"/>
    <w:pPr>
      <w:spacing w:after="120"/>
    </w:pPr>
    <w:rPr>
      <w:rFonts w:ascii="Arial" w:cs="Arial" w:eastAsia="Arial" w:hAnsi="Arial"/>
      <w:color w:val="4A6FA5"/>
      <w:sz w:val="20"/>
      <w:szCs w:val="20"/>
    </w:rPr>
  </w:style>
  <w:style w:type="paragraph" w:styleId="BulletBody">
    <w:name w:val="BulletBody"/>
    <w:basedOn w:val="Normal"/>
    <w:pPr>
      <w:spacing w:after="8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D6F9CF-F4B0-4298-BF2A-7883D892EB66}">
  <we:reference id="WA200010615" version="1.0.10036.0" store="en-us" storeType="OMEX"/>
  <we:alternateReferences/>
  <we:properties>
    <we:property name="Office.AutoShowTaskpaneWithDocument" value="true"/>
    <we:property name="conversationId" value="&quot;392d6400-b640-4165-bd24-f9afae8ab35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2026-10-09T18:17:21.965Z</dcterms:created>
  <dcterms:modified xsi:type="dcterms:W3CDTF">2026-10-09T18:17:21.966Z</dcterms:modified>
</cp:coreProperties>
</file>

<file path=docProps/custom.xml><?xml version="1.0" encoding="utf-8"?>
<Properties xmlns="http://schemas.openxmlformats.org/officeDocument/2006/custom-properties" xmlns:vt="http://schemas.openxmlformats.org/officeDocument/2006/docPropsVTypes"/>
</file>