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72276" w14:textId="77777777" w:rsidR="00557CB7" w:rsidRPr="00557CB7" w:rsidRDefault="00557CB7" w:rsidP="00FB0DCC">
      <w:pPr>
        <w:spacing w:after="100"/>
        <w:jc w:val="both"/>
        <w:rPr>
          <w:b/>
          <w:bCs/>
          <w:sz w:val="24"/>
          <w:szCs w:val="24"/>
        </w:rPr>
      </w:pPr>
    </w:p>
    <w:p w14:paraId="5701AB2B" w14:textId="4B5C3A5A" w:rsidR="00557CB7" w:rsidRDefault="00EC2FA9" w:rsidP="00FB0DCC">
      <w:pPr>
        <w:spacing w:after="100"/>
        <w:jc w:val="both"/>
        <w:rPr>
          <w:b/>
          <w:bCs/>
          <w:sz w:val="28"/>
          <w:szCs w:val="28"/>
        </w:rPr>
      </w:pPr>
      <w:r w:rsidRPr="00557CB7">
        <w:rPr>
          <w:b/>
          <w:bCs/>
          <w:sz w:val="28"/>
          <w:szCs w:val="28"/>
        </w:rPr>
        <w:t>STUDENT NAME: GIDEON EWA</w:t>
      </w:r>
    </w:p>
    <w:p w14:paraId="7F2913FD" w14:textId="77777777" w:rsidR="005B68A2" w:rsidRDefault="005B68A2" w:rsidP="00FB0DCC">
      <w:pPr>
        <w:spacing w:after="100"/>
        <w:jc w:val="both"/>
        <w:rPr>
          <w:b/>
          <w:bCs/>
          <w:sz w:val="28"/>
          <w:szCs w:val="28"/>
        </w:rPr>
      </w:pPr>
    </w:p>
    <w:p w14:paraId="4E1FFFFA" w14:textId="49CAABAE" w:rsidR="00FB0DCC" w:rsidRPr="00557CB7" w:rsidRDefault="00FB0DCC" w:rsidP="00FB0DCC">
      <w:pPr>
        <w:spacing w:after="100"/>
        <w:jc w:val="both"/>
        <w:rPr>
          <w:b/>
          <w:bCs/>
          <w:sz w:val="28"/>
          <w:szCs w:val="28"/>
        </w:rPr>
      </w:pPr>
      <w:r>
        <w:rPr>
          <w:b/>
          <w:bCs/>
          <w:sz w:val="28"/>
          <w:szCs w:val="28"/>
        </w:rPr>
        <w:t>EXECUTIVE SUMMARY</w:t>
      </w:r>
    </w:p>
    <w:p w14:paraId="6F1DDC0A" w14:textId="77777777" w:rsidR="00CE5CB7" w:rsidRPr="00CE5CB7" w:rsidRDefault="00CE5CB7" w:rsidP="00CE5CB7">
      <w:pPr>
        <w:pStyle w:val="Heading2"/>
        <w:spacing w:before="200" w:after="90"/>
        <w:jc w:val="both"/>
        <w:rPr>
          <w:b/>
          <w:bCs/>
          <w:color w:val="auto"/>
          <w:sz w:val="28"/>
          <w:szCs w:val="28"/>
        </w:rPr>
      </w:pPr>
      <w:r w:rsidRPr="00CE5CB7">
        <w:rPr>
          <w:b/>
          <w:bCs/>
          <w:color w:val="auto"/>
          <w:sz w:val="28"/>
          <w:szCs w:val="28"/>
        </w:rPr>
        <w:t>Data Strategy</w:t>
      </w:r>
    </w:p>
    <w:p w14:paraId="678F4ED6" w14:textId="77777777" w:rsidR="00CE5CB7" w:rsidRPr="00CE5CB7" w:rsidRDefault="00CE5CB7" w:rsidP="00CE5CB7">
      <w:pPr>
        <w:pStyle w:val="Heading2"/>
        <w:spacing w:before="200" w:after="90"/>
        <w:jc w:val="both"/>
        <w:rPr>
          <w:color w:val="auto"/>
          <w:sz w:val="24"/>
          <w:szCs w:val="24"/>
        </w:rPr>
      </w:pPr>
      <w:r w:rsidRPr="00CE5CB7">
        <w:rPr>
          <w:b/>
          <w:color w:val="auto"/>
          <w:sz w:val="24"/>
          <w:szCs w:val="24"/>
        </w:rPr>
        <w:t xml:space="preserve">Sources. </w:t>
      </w:r>
      <w:r w:rsidRPr="00CE5CB7">
        <w:rPr>
          <w:color w:val="auto"/>
          <w:sz w:val="24"/>
          <w:szCs w:val="24"/>
        </w:rPr>
        <w:t>Three NovaTech CSV extracts were imported into SPICE: novatech_crm_deals (499 rows, 22 columns), novatech_marketing_campaigns (2,240 rows, 23 columns) and novatech_support_tickets (3,000 rows, 21 columns). A fourth SPICE dataset, Unified_novatech_dataset_GE, combines all three for cross-functional analysis.</w:t>
      </w:r>
    </w:p>
    <w:p w14:paraId="2A49DD99" w14:textId="77777777" w:rsidR="00CE5CB7" w:rsidRPr="00CE5CB7" w:rsidRDefault="00CE5CB7" w:rsidP="00CE5CB7">
      <w:pPr>
        <w:pStyle w:val="Heading2"/>
        <w:spacing w:before="200" w:after="90"/>
        <w:jc w:val="both"/>
        <w:rPr>
          <w:color w:val="auto"/>
          <w:sz w:val="24"/>
          <w:szCs w:val="24"/>
        </w:rPr>
      </w:pPr>
      <w:r w:rsidRPr="00CE5CB7">
        <w:rPr>
          <w:b/>
          <w:color w:val="auto"/>
          <w:sz w:val="24"/>
          <w:szCs w:val="24"/>
        </w:rPr>
        <w:t xml:space="preserve">Verification. </w:t>
      </w:r>
      <w:r w:rsidRPr="00CE5CB7">
        <w:rPr>
          <w:color w:val="auto"/>
          <w:sz w:val="24"/>
          <w:szCs w:val="24"/>
        </w:rPr>
        <w:t>Each import completed with 100% row success. Row and column counts were then checked three ways: against the data dictionary, against the QuickSight dataset summary, and by asking Quick Chat. Row counts agreed in all three (499 / 2,240 / 3,000). Column counts did not: the dictionary lists 20 columns per table, while the uploaded files hold 22, 23 and 21. Chat and QuickSight agreed on the actual counts, so the uploaded datasets, not the dictionary, were treated as the source of truth and the dictionary was flagged as out of date.</w:t>
      </w:r>
    </w:p>
    <w:p w14:paraId="6EC7088E" w14:textId="53D2CD4A" w:rsidR="00CE5CB7" w:rsidRPr="00CE5CB7" w:rsidRDefault="00CE5CB7" w:rsidP="00CE5CB7">
      <w:pPr>
        <w:pStyle w:val="Heading2"/>
        <w:spacing w:before="200" w:after="90"/>
        <w:jc w:val="both"/>
        <w:rPr>
          <w:color w:val="auto"/>
          <w:sz w:val="24"/>
          <w:szCs w:val="24"/>
        </w:rPr>
      </w:pPr>
      <w:r w:rsidRPr="00CE5CB7">
        <w:rPr>
          <w:b/>
          <w:color w:val="auto"/>
          <w:sz w:val="24"/>
          <w:szCs w:val="24"/>
        </w:rPr>
        <w:t xml:space="preserve">Preparation. </w:t>
      </w:r>
      <w:r w:rsidRPr="00CE5CB7">
        <w:rPr>
          <w:color w:val="auto"/>
          <w:sz w:val="24"/>
          <w:szCs w:val="24"/>
        </w:rPr>
        <w:t>Before joining, each table was cleaned in the data-prep flow: data types were corrected and calculated fields were added.</w:t>
      </w:r>
    </w:p>
    <w:p w14:paraId="64A0157D" w14:textId="77777777" w:rsidR="00CE5CB7" w:rsidRPr="00CE5CB7" w:rsidRDefault="00CE5CB7" w:rsidP="00CE5CB7">
      <w:pPr>
        <w:pStyle w:val="Heading2"/>
        <w:spacing w:before="200" w:after="90"/>
        <w:jc w:val="both"/>
        <w:rPr>
          <w:color w:val="auto"/>
          <w:sz w:val="24"/>
          <w:szCs w:val="24"/>
        </w:rPr>
      </w:pPr>
      <w:r w:rsidRPr="00CE5CB7">
        <w:rPr>
          <w:b/>
          <w:color w:val="auto"/>
          <w:sz w:val="24"/>
          <w:szCs w:val="24"/>
        </w:rPr>
        <w:t xml:space="preserve">Join design. </w:t>
      </w:r>
      <w:r w:rsidRPr="00CE5CB7">
        <w:rPr>
          <w:color w:val="auto"/>
          <w:sz w:val="24"/>
          <w:szCs w:val="24"/>
        </w:rPr>
        <w:t>CRM deals is the anchor table because it is the only one carrying genuine account attributes (industry, company size, annual revenue). All three tables share account_id, which became the join key. CRM was left-joined to Marketing, and that result left-joined to Support, so every CRM account is kept even where no campaign or ticket record exists.</w:t>
      </w:r>
    </w:p>
    <w:p w14:paraId="48800386" w14:textId="77777777" w:rsidR="00CE5CB7" w:rsidRPr="00CE5CB7" w:rsidRDefault="00CE5CB7" w:rsidP="00CE5CB7">
      <w:pPr>
        <w:pStyle w:val="Heading2"/>
        <w:spacing w:before="200" w:after="90"/>
        <w:jc w:val="both"/>
        <w:rPr>
          <w:b/>
          <w:bCs/>
          <w:color w:val="auto"/>
          <w:sz w:val="28"/>
          <w:szCs w:val="28"/>
        </w:rPr>
      </w:pPr>
      <w:r w:rsidRPr="00CE5CB7">
        <w:rPr>
          <w:b/>
          <w:bCs/>
          <w:color w:val="auto"/>
          <w:sz w:val="28"/>
          <w:szCs w:val="28"/>
        </w:rPr>
        <w:t>Dashboard Design Rationale</w:t>
      </w:r>
    </w:p>
    <w:p w14:paraId="72140DD6" w14:textId="77777777" w:rsidR="00CE5CB7" w:rsidRPr="00CE5CB7" w:rsidRDefault="00CE5CB7" w:rsidP="00CE5CB7">
      <w:pPr>
        <w:pStyle w:val="Heading2"/>
        <w:spacing w:before="200" w:after="90"/>
        <w:jc w:val="both"/>
        <w:rPr>
          <w:color w:val="auto"/>
          <w:sz w:val="24"/>
          <w:szCs w:val="24"/>
        </w:rPr>
      </w:pPr>
      <w:r w:rsidRPr="00CE5CB7">
        <w:rPr>
          <w:color w:val="auto"/>
          <w:sz w:val="24"/>
          <w:szCs w:val="24"/>
        </w:rPr>
        <w:t>The dashboard is organized into three sheets, each built around a different business question the revenue team asks day to day:</w:t>
      </w:r>
    </w:p>
    <w:p w14:paraId="7FD05476" w14:textId="5B0B12FC" w:rsidR="00CE5CB7" w:rsidRPr="00CE5CB7" w:rsidRDefault="00CE5CB7" w:rsidP="00CE5CB7">
      <w:pPr>
        <w:pStyle w:val="Heading2"/>
        <w:jc w:val="both"/>
        <w:rPr>
          <w:color w:val="auto"/>
          <w:sz w:val="24"/>
          <w:szCs w:val="24"/>
        </w:rPr>
      </w:pPr>
      <w:r w:rsidRPr="00CE5CB7">
        <w:rPr>
          <w:color w:val="auto"/>
          <w:sz w:val="24"/>
          <w:szCs w:val="24"/>
        </w:rPr>
        <w:t>•</w:t>
      </w:r>
      <w:r>
        <w:rPr>
          <w:color w:val="auto"/>
          <w:sz w:val="24"/>
          <w:szCs w:val="24"/>
        </w:rPr>
        <w:t xml:space="preserve"> </w:t>
      </w:r>
      <w:r w:rsidRPr="00CE5CB7">
        <w:rPr>
          <w:color w:val="auto"/>
          <w:sz w:val="24"/>
          <w:szCs w:val="24"/>
        </w:rPr>
        <w:t>Marketing Funnel</w:t>
      </w:r>
      <w:r>
        <w:rPr>
          <w:color w:val="auto"/>
          <w:sz w:val="24"/>
          <w:szCs w:val="24"/>
        </w:rPr>
        <w:t xml:space="preserve">: </w:t>
      </w:r>
      <w:r w:rsidRPr="00CE5CB7">
        <w:rPr>
          <w:color w:val="auto"/>
          <w:sz w:val="24"/>
          <w:szCs w:val="24"/>
        </w:rPr>
        <w:t>Which campaigns are driving leads, and how efficiently are those leads converting?</w:t>
      </w:r>
    </w:p>
    <w:p w14:paraId="76452235" w14:textId="7A0D2121" w:rsidR="00CE5CB7" w:rsidRPr="00CE5CB7" w:rsidRDefault="00CE5CB7" w:rsidP="00CE5CB7">
      <w:pPr>
        <w:pStyle w:val="Heading2"/>
        <w:jc w:val="both"/>
        <w:rPr>
          <w:color w:val="auto"/>
          <w:sz w:val="24"/>
          <w:szCs w:val="24"/>
        </w:rPr>
      </w:pPr>
      <w:r w:rsidRPr="00CE5CB7">
        <w:rPr>
          <w:color w:val="auto"/>
          <w:sz w:val="24"/>
          <w:szCs w:val="24"/>
        </w:rPr>
        <w:t>•</w:t>
      </w:r>
      <w:r>
        <w:rPr>
          <w:color w:val="auto"/>
          <w:sz w:val="24"/>
          <w:szCs w:val="24"/>
        </w:rPr>
        <w:t xml:space="preserve"> </w:t>
      </w:r>
      <w:r w:rsidRPr="00CE5CB7">
        <w:rPr>
          <w:color w:val="auto"/>
          <w:sz w:val="24"/>
          <w:szCs w:val="24"/>
        </w:rPr>
        <w:t>Sales Pipeline</w:t>
      </w:r>
      <w:r>
        <w:rPr>
          <w:color w:val="auto"/>
          <w:sz w:val="24"/>
          <w:szCs w:val="24"/>
        </w:rPr>
        <w:t xml:space="preserve">: </w:t>
      </w:r>
      <w:r w:rsidRPr="00CE5CB7">
        <w:rPr>
          <w:color w:val="auto"/>
          <w:sz w:val="24"/>
          <w:szCs w:val="24"/>
        </w:rPr>
        <w:t>Where does our deal value sit, and how well are we winning it?</w:t>
      </w:r>
    </w:p>
    <w:p w14:paraId="553E4875" w14:textId="15ED982E" w:rsidR="00CE5CB7" w:rsidRPr="00CE5CB7" w:rsidRDefault="00CE5CB7" w:rsidP="00CE5CB7">
      <w:pPr>
        <w:pStyle w:val="Heading2"/>
        <w:jc w:val="both"/>
        <w:rPr>
          <w:color w:val="auto"/>
          <w:sz w:val="24"/>
          <w:szCs w:val="24"/>
        </w:rPr>
      </w:pPr>
      <w:r w:rsidRPr="00CE5CB7">
        <w:rPr>
          <w:color w:val="auto"/>
          <w:sz w:val="24"/>
          <w:szCs w:val="24"/>
        </w:rPr>
        <w:t>•</w:t>
      </w:r>
      <w:r>
        <w:rPr>
          <w:color w:val="auto"/>
          <w:sz w:val="24"/>
          <w:szCs w:val="24"/>
        </w:rPr>
        <w:t xml:space="preserve"> </w:t>
      </w:r>
      <w:r w:rsidRPr="00CE5CB7">
        <w:rPr>
          <w:color w:val="auto"/>
          <w:sz w:val="24"/>
          <w:szCs w:val="24"/>
        </w:rPr>
        <w:t>Customer Health</w:t>
      </w:r>
      <w:r>
        <w:rPr>
          <w:color w:val="auto"/>
          <w:sz w:val="24"/>
          <w:szCs w:val="24"/>
        </w:rPr>
        <w:t xml:space="preserve">: </w:t>
      </w:r>
      <w:r w:rsidRPr="00CE5CB7">
        <w:rPr>
          <w:color w:val="auto"/>
          <w:sz w:val="24"/>
          <w:szCs w:val="24"/>
        </w:rPr>
        <w:t>Which accounts carry the most support risk, and does that risk sit on our most valuable relationships?</w:t>
      </w:r>
    </w:p>
    <w:p w14:paraId="61B1DCAD" w14:textId="049350A4" w:rsidR="00CE5CB7" w:rsidRDefault="00CE5CB7" w:rsidP="00CE5CB7">
      <w:pPr>
        <w:pStyle w:val="Heading2"/>
        <w:spacing w:before="200" w:after="90"/>
        <w:jc w:val="both"/>
        <w:rPr>
          <w:color w:val="auto"/>
          <w:sz w:val="24"/>
          <w:szCs w:val="24"/>
        </w:rPr>
      </w:pPr>
      <w:r w:rsidRPr="00CE5CB7">
        <w:rPr>
          <w:color w:val="auto"/>
          <w:sz w:val="24"/>
          <w:szCs w:val="24"/>
        </w:rPr>
        <w:t xml:space="preserve">Each sheet has filter controls (campaign, funnel stage, industry, deal stage, product area, priority). Each sheet also carries text annotations stating the finding, implication and action, so the dashboard </w:t>
      </w:r>
      <w:r w:rsidR="001A7A2E">
        <w:rPr>
          <w:color w:val="auto"/>
          <w:sz w:val="24"/>
          <w:szCs w:val="24"/>
        </w:rPr>
        <w:t>can be easily interpreted</w:t>
      </w:r>
      <w:r w:rsidRPr="00CE5CB7">
        <w:rPr>
          <w:color w:val="auto"/>
          <w:sz w:val="24"/>
          <w:szCs w:val="24"/>
        </w:rPr>
        <w:t>.</w:t>
      </w:r>
    </w:p>
    <w:p w14:paraId="1B2B50FB" w14:textId="56F3CAA4" w:rsidR="003B1271" w:rsidRPr="00CE5CB7" w:rsidRDefault="00000000" w:rsidP="00CE5CB7">
      <w:pPr>
        <w:pStyle w:val="Heading2"/>
        <w:spacing w:before="200" w:after="90"/>
        <w:jc w:val="both"/>
        <w:rPr>
          <w:b/>
          <w:bCs/>
          <w:color w:val="auto"/>
          <w:sz w:val="28"/>
          <w:szCs w:val="28"/>
        </w:rPr>
      </w:pPr>
      <w:r w:rsidRPr="00CE5CB7">
        <w:rPr>
          <w:b/>
          <w:bCs/>
          <w:color w:val="auto"/>
          <w:sz w:val="28"/>
          <w:szCs w:val="28"/>
        </w:rPr>
        <w:t>Executive Snapshot</w:t>
      </w:r>
    </w:p>
    <w:p w14:paraId="67CE7317" w14:textId="77777777" w:rsidR="003B1271" w:rsidRPr="00557CB7" w:rsidRDefault="00000000" w:rsidP="00FB0DCC">
      <w:pPr>
        <w:pStyle w:val="ListParagraph"/>
        <w:numPr>
          <w:ilvl w:val="0"/>
          <w:numId w:val="2"/>
        </w:numPr>
        <w:spacing w:after="70"/>
        <w:jc w:val="both"/>
        <w:rPr>
          <w:sz w:val="24"/>
          <w:szCs w:val="24"/>
        </w:rPr>
      </w:pPr>
      <w:r w:rsidRPr="00557CB7">
        <w:rPr>
          <w:sz w:val="24"/>
          <w:szCs w:val="24"/>
        </w:rPr>
        <w:t>Marketing conversion sits at 18.39% (412 of 2,240 leads), but the campaign driving the most lead volume is not the campaign converting most efficiently.</w:t>
      </w:r>
    </w:p>
    <w:p w14:paraId="76222540" w14:textId="77777777" w:rsidR="003B1271" w:rsidRPr="00557CB7" w:rsidRDefault="00000000" w:rsidP="00FB0DCC">
      <w:pPr>
        <w:pStyle w:val="ListParagraph"/>
        <w:numPr>
          <w:ilvl w:val="0"/>
          <w:numId w:val="2"/>
        </w:numPr>
        <w:spacing w:after="70"/>
        <w:jc w:val="both"/>
        <w:rPr>
          <w:sz w:val="24"/>
          <w:szCs w:val="24"/>
        </w:rPr>
      </w:pPr>
      <w:r w:rsidRPr="00557CB7">
        <w:rPr>
          <w:sz w:val="24"/>
          <w:szCs w:val="24"/>
        </w:rPr>
        <w:t>Sales pipeline win rate is a healthy 63.13%, but $707,201 in won revenue is heavily concentrated in a single industry (Healthcare).</w:t>
      </w:r>
    </w:p>
    <w:p w14:paraId="16FBF7AC" w14:textId="77777777" w:rsidR="003B1271" w:rsidRPr="00557CB7" w:rsidRDefault="00000000" w:rsidP="00FB0DCC">
      <w:pPr>
        <w:pStyle w:val="ListParagraph"/>
        <w:numPr>
          <w:ilvl w:val="0"/>
          <w:numId w:val="2"/>
        </w:numPr>
        <w:spacing w:after="70"/>
        <w:jc w:val="both"/>
        <w:rPr>
          <w:sz w:val="24"/>
          <w:szCs w:val="24"/>
        </w:rPr>
      </w:pPr>
      <w:r w:rsidRPr="00557CB7">
        <w:rPr>
          <w:sz w:val="24"/>
          <w:szCs w:val="24"/>
        </w:rPr>
        <w:t>The industries generating the highest revenue (Retail, Software) also carry the highest support-ticket downtime, exposing the business's most valuable accounts to the greatest support risk.</w:t>
      </w:r>
    </w:p>
    <w:p w14:paraId="5B5938DB" w14:textId="77777777" w:rsidR="003B1271" w:rsidRPr="00557CB7" w:rsidRDefault="00000000" w:rsidP="00FB0DCC">
      <w:pPr>
        <w:pStyle w:val="Heading2"/>
        <w:spacing w:before="200" w:after="90"/>
        <w:jc w:val="both"/>
        <w:rPr>
          <w:color w:val="auto"/>
          <w:sz w:val="24"/>
          <w:szCs w:val="24"/>
        </w:rPr>
      </w:pPr>
      <w:r w:rsidRPr="00557CB7">
        <w:rPr>
          <w:b/>
          <w:bCs/>
          <w:color w:val="auto"/>
          <w:sz w:val="24"/>
          <w:szCs w:val="24"/>
        </w:rPr>
        <w:t>Recommended Next Steps</w:t>
      </w:r>
    </w:p>
    <w:p w14:paraId="08E70C51" w14:textId="77777777" w:rsidR="003B1271" w:rsidRPr="00557CB7" w:rsidRDefault="00000000" w:rsidP="00FB0DCC">
      <w:pPr>
        <w:pStyle w:val="ListParagraph"/>
        <w:numPr>
          <w:ilvl w:val="0"/>
          <w:numId w:val="3"/>
        </w:numPr>
        <w:spacing w:after="70"/>
        <w:jc w:val="both"/>
        <w:rPr>
          <w:sz w:val="24"/>
          <w:szCs w:val="24"/>
        </w:rPr>
      </w:pPr>
      <w:r w:rsidRPr="00557CB7">
        <w:rPr>
          <w:sz w:val="24"/>
          <w:szCs w:val="24"/>
        </w:rPr>
        <w:t xml:space="preserve">Shift a portion of Digital </w:t>
      </w:r>
      <w:proofErr w:type="spellStart"/>
      <w:r w:rsidRPr="00557CB7">
        <w:rPr>
          <w:sz w:val="24"/>
          <w:szCs w:val="24"/>
        </w:rPr>
        <w:t>Retarget's</w:t>
      </w:r>
      <w:proofErr w:type="spellEnd"/>
      <w:r w:rsidRPr="00557CB7">
        <w:rPr>
          <w:sz w:val="24"/>
          <w:szCs w:val="24"/>
        </w:rPr>
        <w:t xml:space="preserve"> budget toward </w:t>
      </w:r>
      <w:proofErr w:type="spellStart"/>
      <w:r w:rsidRPr="00557CB7">
        <w:rPr>
          <w:sz w:val="24"/>
          <w:szCs w:val="24"/>
        </w:rPr>
        <w:t>NovaPulse</w:t>
      </w:r>
      <w:proofErr w:type="spellEnd"/>
      <w:r w:rsidRPr="00557CB7">
        <w:rPr>
          <w:sz w:val="24"/>
          <w:szCs w:val="24"/>
        </w:rPr>
        <w:t xml:space="preserve"> Launch-style campaigns and audit why high lead volume isn't translating into proportional conversion, by next quarter.</w:t>
      </w:r>
    </w:p>
    <w:p w14:paraId="22D04257" w14:textId="77777777" w:rsidR="003B1271" w:rsidRPr="00557CB7" w:rsidRDefault="00000000" w:rsidP="00FB0DCC">
      <w:pPr>
        <w:pStyle w:val="ListParagraph"/>
        <w:numPr>
          <w:ilvl w:val="0"/>
          <w:numId w:val="3"/>
        </w:numPr>
        <w:spacing w:after="70"/>
        <w:jc w:val="both"/>
        <w:rPr>
          <w:sz w:val="24"/>
          <w:szCs w:val="24"/>
        </w:rPr>
      </w:pPr>
      <w:r w:rsidRPr="00557CB7">
        <w:rPr>
          <w:sz w:val="24"/>
          <w:szCs w:val="24"/>
        </w:rPr>
        <w:lastRenderedPageBreak/>
        <w:t>Launch a pipeline-diversification push targeting Retail and Technology accounts to reduce revenue dependency on the Healthcare vertical.</w:t>
      </w:r>
    </w:p>
    <w:p w14:paraId="2A8DBEF3" w14:textId="77777777" w:rsidR="003B1271" w:rsidRPr="00557CB7" w:rsidRDefault="00000000" w:rsidP="00FB0DCC">
      <w:pPr>
        <w:pStyle w:val="ListParagraph"/>
        <w:numPr>
          <w:ilvl w:val="0"/>
          <w:numId w:val="3"/>
        </w:numPr>
        <w:spacing w:after="70"/>
        <w:jc w:val="both"/>
        <w:rPr>
          <w:sz w:val="24"/>
          <w:szCs w:val="24"/>
        </w:rPr>
      </w:pPr>
      <w:r w:rsidRPr="00557CB7">
        <w:rPr>
          <w:sz w:val="24"/>
          <w:szCs w:val="24"/>
        </w:rPr>
        <w:t>Stand up a proactive account-health program for high-revenue, high-downtime accounts in Retail and Software ahead of renewal conversations.</w:t>
      </w:r>
    </w:p>
    <w:p w14:paraId="1BD03BE2" w14:textId="77777777" w:rsidR="003B1271" w:rsidRPr="00557CB7" w:rsidRDefault="00000000" w:rsidP="00FB0DCC">
      <w:pPr>
        <w:pStyle w:val="ListParagraph"/>
        <w:numPr>
          <w:ilvl w:val="0"/>
          <w:numId w:val="3"/>
        </w:numPr>
        <w:spacing w:after="70"/>
        <w:jc w:val="both"/>
        <w:rPr>
          <w:sz w:val="24"/>
          <w:szCs w:val="24"/>
        </w:rPr>
      </w:pPr>
      <w:r w:rsidRPr="00557CB7">
        <w:rPr>
          <w:sz w:val="24"/>
          <w:szCs w:val="24"/>
        </w:rPr>
        <w:t>Check the Average ROI and Total Campaign Spend field definitions before these figures are cited, as their values are inconsistent with a standard ROI ratio.</w:t>
      </w:r>
    </w:p>
    <w:p w14:paraId="1E961C4E" w14:textId="77777777" w:rsidR="003B1271" w:rsidRPr="00557CB7" w:rsidRDefault="00000000" w:rsidP="00FB0DCC">
      <w:pPr>
        <w:pStyle w:val="Heading2"/>
        <w:spacing w:before="200" w:after="90"/>
        <w:jc w:val="both"/>
        <w:rPr>
          <w:color w:val="auto"/>
          <w:sz w:val="24"/>
          <w:szCs w:val="24"/>
        </w:rPr>
      </w:pPr>
      <w:r w:rsidRPr="00557CB7">
        <w:rPr>
          <w:b/>
          <w:bCs/>
          <w:color w:val="auto"/>
          <w:sz w:val="24"/>
          <w:szCs w:val="24"/>
        </w:rPr>
        <w:t>Key Insights</w:t>
      </w:r>
    </w:p>
    <w:p w14:paraId="7FC88F95" w14:textId="77777777" w:rsidR="003B1271" w:rsidRPr="00557CB7" w:rsidRDefault="00000000" w:rsidP="00FB0DCC">
      <w:pPr>
        <w:pStyle w:val="Heading3"/>
        <w:spacing w:before="140" w:after="80"/>
        <w:jc w:val="both"/>
        <w:rPr>
          <w:color w:val="auto"/>
        </w:rPr>
      </w:pPr>
      <w:r w:rsidRPr="00557CB7">
        <w:rPr>
          <w:b/>
          <w:bCs/>
          <w:color w:val="auto"/>
        </w:rPr>
        <w:t>1. Marketing Conversion Efficiency vs. Lead Volume</w:t>
      </w:r>
    </w:p>
    <w:p w14:paraId="4C39509F" w14:textId="3EAEC36E" w:rsidR="003B1271" w:rsidRPr="00557CB7" w:rsidRDefault="00000000" w:rsidP="00FB0DCC">
      <w:pPr>
        <w:spacing w:after="60"/>
        <w:jc w:val="both"/>
        <w:rPr>
          <w:sz w:val="24"/>
          <w:szCs w:val="24"/>
        </w:rPr>
      </w:pPr>
      <w:r w:rsidRPr="00557CB7">
        <w:rPr>
          <w:b/>
          <w:bCs/>
          <w:sz w:val="24"/>
          <w:szCs w:val="24"/>
        </w:rPr>
        <w:t xml:space="preserve">Observation: </w:t>
      </w:r>
      <w:r w:rsidRPr="00557CB7">
        <w:rPr>
          <w:bCs/>
          <w:sz w:val="24"/>
          <w:szCs w:val="24"/>
        </w:rPr>
        <w:t>Digital Retarget (~420 leads) and NovaPulse Launch (~410 leads) generate almost identical lead volume, yet NovaPulse converts at ~34% against Digital Retarget's ~16%; NovaEdge Awareness is lowest at ~5% on ~270 leads. Overall, 412 of 2,240 leads (18.39%) reach Closed Won.</w:t>
      </w:r>
    </w:p>
    <w:p w14:paraId="4DD6C997" w14:textId="272390EF" w:rsidR="003B1271" w:rsidRPr="00557CB7" w:rsidRDefault="00000000" w:rsidP="00FB0DCC">
      <w:pPr>
        <w:spacing w:after="60"/>
        <w:jc w:val="both"/>
        <w:rPr>
          <w:sz w:val="24"/>
          <w:szCs w:val="24"/>
        </w:rPr>
      </w:pPr>
      <w:r w:rsidRPr="00557CB7">
        <w:rPr>
          <w:b/>
          <w:bCs/>
          <w:sz w:val="24"/>
          <w:szCs w:val="24"/>
        </w:rPr>
        <w:t xml:space="preserve">Meaning: </w:t>
      </w:r>
      <w:r w:rsidRPr="00557CB7">
        <w:rPr>
          <w:bCs/>
          <w:sz w:val="24"/>
          <w:szCs w:val="24"/>
        </w:rPr>
        <w:t>Lead volume is not a proxy for value: two campaigns of equal size deliver a 2x difference in closed business, so budget set on volume alone is misallocated.</w:t>
      </w:r>
    </w:p>
    <w:p w14:paraId="440079ED" w14:textId="77777777" w:rsidR="003B1271" w:rsidRPr="00557CB7" w:rsidRDefault="00000000" w:rsidP="00FB0DCC">
      <w:pPr>
        <w:spacing w:after="60"/>
        <w:jc w:val="both"/>
        <w:rPr>
          <w:sz w:val="24"/>
          <w:szCs w:val="24"/>
        </w:rPr>
      </w:pPr>
      <w:r w:rsidRPr="00557CB7">
        <w:rPr>
          <w:b/>
          <w:bCs/>
          <w:sz w:val="24"/>
          <w:szCs w:val="24"/>
        </w:rPr>
        <w:t xml:space="preserve">Action: </w:t>
      </w:r>
      <w:r w:rsidRPr="00557CB7">
        <w:rPr>
          <w:sz w:val="24"/>
          <w:szCs w:val="24"/>
        </w:rPr>
        <w:t xml:space="preserve">Reallocate a portion of budget from Digital Retarget toward campaigns matching </w:t>
      </w:r>
      <w:proofErr w:type="spellStart"/>
      <w:r w:rsidRPr="00557CB7">
        <w:rPr>
          <w:sz w:val="24"/>
          <w:szCs w:val="24"/>
        </w:rPr>
        <w:t>NovaPulse</w:t>
      </w:r>
      <w:proofErr w:type="spellEnd"/>
      <w:r w:rsidRPr="00557CB7">
        <w:rPr>
          <w:sz w:val="24"/>
          <w:szCs w:val="24"/>
        </w:rPr>
        <w:t xml:space="preserve"> Launch's profile, and audit Digital </w:t>
      </w:r>
      <w:proofErr w:type="spellStart"/>
      <w:r w:rsidRPr="00557CB7">
        <w:rPr>
          <w:sz w:val="24"/>
          <w:szCs w:val="24"/>
        </w:rPr>
        <w:t>Retarget's</w:t>
      </w:r>
      <w:proofErr w:type="spellEnd"/>
      <w:r w:rsidRPr="00557CB7">
        <w:rPr>
          <w:sz w:val="24"/>
          <w:szCs w:val="24"/>
        </w:rPr>
        <w:t xml:space="preserve"> targeting/qualification process to close the efficiency gap.</w:t>
      </w:r>
    </w:p>
    <w:p w14:paraId="61524B4B" w14:textId="77777777" w:rsidR="003B1271" w:rsidRPr="00557CB7" w:rsidRDefault="00000000" w:rsidP="00FB0DCC">
      <w:pPr>
        <w:pStyle w:val="Heading3"/>
        <w:spacing w:before="140" w:after="80"/>
        <w:jc w:val="both"/>
        <w:rPr>
          <w:color w:val="auto"/>
        </w:rPr>
      </w:pPr>
      <w:r w:rsidRPr="00557CB7">
        <w:rPr>
          <w:b/>
          <w:bCs/>
          <w:color w:val="auto"/>
        </w:rPr>
        <w:t>2. Sales Revenue Concentration by Industry</w:t>
      </w:r>
    </w:p>
    <w:p w14:paraId="2D1F600D" w14:textId="77777777" w:rsidR="003B1271" w:rsidRPr="00557CB7" w:rsidRDefault="00000000" w:rsidP="00FB0DCC">
      <w:pPr>
        <w:spacing w:after="60"/>
        <w:jc w:val="both"/>
        <w:rPr>
          <w:sz w:val="24"/>
          <w:szCs w:val="24"/>
        </w:rPr>
      </w:pPr>
      <w:r w:rsidRPr="00557CB7">
        <w:rPr>
          <w:b/>
          <w:bCs/>
          <w:sz w:val="24"/>
          <w:szCs w:val="24"/>
        </w:rPr>
        <w:t xml:space="preserve">Observation: </w:t>
      </w:r>
      <w:r w:rsidRPr="00557CB7">
        <w:rPr>
          <w:sz w:val="24"/>
          <w:szCs w:val="24"/>
        </w:rPr>
        <w:t>Win rate stands at 63.13% (315 Won vs. 184 Lost) with $707,201 in total revenue won and an average of 66.76 days to close. Revenue by Industry shows Healthcare as the clear leader at roughly $140K, well ahead of Retail, Technology, and the remaining eight industries.</w:t>
      </w:r>
    </w:p>
    <w:p w14:paraId="27B4AA77" w14:textId="77777777" w:rsidR="003B1271" w:rsidRPr="00557CB7" w:rsidRDefault="00000000" w:rsidP="00FB0DCC">
      <w:pPr>
        <w:spacing w:after="60"/>
        <w:jc w:val="both"/>
        <w:rPr>
          <w:sz w:val="24"/>
          <w:szCs w:val="24"/>
        </w:rPr>
      </w:pPr>
      <w:r w:rsidRPr="00557CB7">
        <w:rPr>
          <w:b/>
          <w:bCs/>
          <w:sz w:val="24"/>
          <w:szCs w:val="24"/>
        </w:rPr>
        <w:t xml:space="preserve">Meaning: </w:t>
      </w:r>
      <w:r w:rsidRPr="00557CB7">
        <w:rPr>
          <w:sz w:val="24"/>
          <w:szCs w:val="24"/>
        </w:rPr>
        <w:t xml:space="preserve">A strong overall win rate is masking a concentration risk: a large share of won revenue depends on a single vertical, so a slowdown in </w:t>
      </w:r>
      <w:proofErr w:type="gramStart"/>
      <w:r w:rsidRPr="00557CB7">
        <w:rPr>
          <w:sz w:val="24"/>
          <w:szCs w:val="24"/>
        </w:rPr>
        <w:t>Healthcare</w:t>
      </w:r>
      <w:proofErr w:type="gramEnd"/>
      <w:r w:rsidRPr="00557CB7">
        <w:rPr>
          <w:sz w:val="24"/>
          <w:szCs w:val="24"/>
        </w:rPr>
        <w:t xml:space="preserve"> would disproportionately affect total pipeline performance.</w:t>
      </w:r>
    </w:p>
    <w:p w14:paraId="58FC659B" w14:textId="77777777" w:rsidR="003B1271" w:rsidRPr="00557CB7" w:rsidRDefault="00000000" w:rsidP="00FB0DCC">
      <w:pPr>
        <w:spacing w:after="60"/>
        <w:jc w:val="both"/>
        <w:rPr>
          <w:sz w:val="24"/>
          <w:szCs w:val="24"/>
        </w:rPr>
      </w:pPr>
      <w:r w:rsidRPr="00557CB7">
        <w:rPr>
          <w:b/>
          <w:bCs/>
          <w:sz w:val="24"/>
          <w:szCs w:val="24"/>
        </w:rPr>
        <w:t xml:space="preserve">Action: </w:t>
      </w:r>
      <w:r w:rsidRPr="00557CB7">
        <w:rPr>
          <w:sz w:val="24"/>
          <w:szCs w:val="24"/>
        </w:rPr>
        <w:t xml:space="preserve">Prioritize business development in Retail and Technology to build a second and third revenue </w:t>
      </w:r>
      <w:proofErr w:type="gramStart"/>
      <w:r w:rsidRPr="00557CB7">
        <w:rPr>
          <w:sz w:val="24"/>
          <w:szCs w:val="24"/>
        </w:rPr>
        <w:t>pillar, and</w:t>
      </w:r>
      <w:proofErr w:type="gramEnd"/>
      <w:r w:rsidRPr="00557CB7">
        <w:rPr>
          <w:sz w:val="24"/>
          <w:szCs w:val="24"/>
        </w:rPr>
        <w:t xml:space="preserve"> review the 66.76-day average close time specifically within lower-performing industries to identify where deals stall.</w:t>
      </w:r>
    </w:p>
    <w:p w14:paraId="65D2C4FF" w14:textId="77777777" w:rsidR="003B1271" w:rsidRPr="00557CB7" w:rsidRDefault="00000000" w:rsidP="00FB0DCC">
      <w:pPr>
        <w:pStyle w:val="Heading3"/>
        <w:spacing w:before="140" w:after="80"/>
        <w:jc w:val="both"/>
        <w:rPr>
          <w:color w:val="auto"/>
        </w:rPr>
      </w:pPr>
      <w:r w:rsidRPr="00557CB7">
        <w:rPr>
          <w:b/>
          <w:bCs/>
          <w:color w:val="auto"/>
        </w:rPr>
        <w:t>3. Revenue-at-Risk: High-Value Accounts with High Support Burden</w:t>
      </w:r>
    </w:p>
    <w:p w14:paraId="61DC54BC" w14:textId="72F42C33" w:rsidR="003B1271" w:rsidRPr="00557CB7" w:rsidRDefault="00000000" w:rsidP="00FB0DCC">
      <w:pPr>
        <w:spacing w:after="60"/>
        <w:jc w:val="both"/>
        <w:rPr>
          <w:sz w:val="24"/>
          <w:szCs w:val="24"/>
        </w:rPr>
      </w:pPr>
      <w:r w:rsidRPr="00557CB7">
        <w:rPr>
          <w:b/>
          <w:bCs/>
          <w:sz w:val="24"/>
          <w:szCs w:val="24"/>
        </w:rPr>
        <w:t xml:space="preserve">Observation: </w:t>
      </w:r>
      <w:r w:rsidRPr="00557CB7">
        <w:rPr>
          <w:sz w:val="24"/>
          <w:szCs w:val="24"/>
        </w:rPr>
        <w:t>The Total Downtime vs. Annual Revenue scatter shows Retail and Software as clear outliers, sitting at both the highest revenue band (~$280K-300K) and the highest total downtime (~95K-100K) of any industry, while all others cluster at lower levels on both measures. Separately, average resolution time is nearly flat across priority</w:t>
      </w:r>
      <w:r w:rsidR="007106B4">
        <w:rPr>
          <w:sz w:val="24"/>
          <w:szCs w:val="24"/>
        </w:rPr>
        <w:t xml:space="preserve">; </w:t>
      </w:r>
      <w:r w:rsidRPr="00557CB7">
        <w:rPr>
          <w:sz w:val="24"/>
          <w:szCs w:val="24"/>
        </w:rPr>
        <w:t>59 hours (low), 57 hours (medium), 56 hours (critical)</w:t>
      </w:r>
      <w:r w:rsidR="007106B4">
        <w:rPr>
          <w:sz w:val="24"/>
          <w:szCs w:val="24"/>
        </w:rPr>
        <w:t xml:space="preserve">. This </w:t>
      </w:r>
      <w:proofErr w:type="gramStart"/>
      <w:r w:rsidR="007106B4">
        <w:rPr>
          <w:sz w:val="24"/>
          <w:szCs w:val="24"/>
        </w:rPr>
        <w:t xml:space="preserve">is </w:t>
      </w:r>
      <w:r w:rsidRPr="00557CB7">
        <w:rPr>
          <w:sz w:val="24"/>
          <w:szCs w:val="24"/>
        </w:rPr>
        <w:t xml:space="preserve"> across</w:t>
      </w:r>
      <w:proofErr w:type="gramEnd"/>
      <w:r w:rsidRPr="00557CB7">
        <w:rPr>
          <w:sz w:val="24"/>
          <w:szCs w:val="24"/>
        </w:rPr>
        <w:t xml:space="preserve"> 3,000 total tickets and 14 security incidents.</w:t>
      </w:r>
    </w:p>
    <w:p w14:paraId="5CAB91ED" w14:textId="77777777" w:rsidR="003B1271" w:rsidRPr="00557CB7" w:rsidRDefault="00000000" w:rsidP="00FB0DCC">
      <w:pPr>
        <w:spacing w:after="60"/>
        <w:jc w:val="both"/>
        <w:rPr>
          <w:sz w:val="24"/>
          <w:szCs w:val="24"/>
        </w:rPr>
      </w:pPr>
      <w:r w:rsidRPr="00557CB7">
        <w:rPr>
          <w:b/>
          <w:bCs/>
          <w:sz w:val="24"/>
          <w:szCs w:val="24"/>
        </w:rPr>
        <w:t xml:space="preserve">Meaning: </w:t>
      </w:r>
      <w:r w:rsidRPr="00557CB7">
        <w:rPr>
          <w:sz w:val="24"/>
          <w:szCs w:val="24"/>
        </w:rPr>
        <w:t>The business's most valuable industries are simultaneously its most support-burdened, creating a retention risk concentrated exactly where it would be most costly. The near-flat resolution time across priority levels further suggests critical issues aren't being fast-tracked as intended.</w:t>
      </w:r>
    </w:p>
    <w:p w14:paraId="3D0A24F0" w14:textId="77777777" w:rsidR="003B1271" w:rsidRPr="00557CB7" w:rsidRDefault="00000000" w:rsidP="00FB0DCC">
      <w:pPr>
        <w:spacing w:after="60"/>
        <w:jc w:val="both"/>
        <w:rPr>
          <w:sz w:val="24"/>
          <w:szCs w:val="24"/>
        </w:rPr>
      </w:pPr>
      <w:r w:rsidRPr="00557CB7">
        <w:rPr>
          <w:b/>
          <w:bCs/>
          <w:sz w:val="24"/>
          <w:szCs w:val="24"/>
        </w:rPr>
        <w:t xml:space="preserve">Action: </w:t>
      </w:r>
      <w:r w:rsidRPr="00557CB7">
        <w:rPr>
          <w:sz w:val="24"/>
          <w:szCs w:val="24"/>
        </w:rPr>
        <w:t>Assign dedicated account management and escalation paths to Retail and Software accounts showing high downtime, and revise ticket-priority SLAs so critical issues are demonstrably resolved faster than low-priority ones.</w:t>
      </w:r>
    </w:p>
    <w:p w14:paraId="4937DDFC" w14:textId="77777777" w:rsidR="003B1271" w:rsidRPr="00557CB7" w:rsidRDefault="00000000" w:rsidP="00FB0DCC">
      <w:pPr>
        <w:pStyle w:val="Heading2"/>
        <w:spacing w:before="200" w:after="90"/>
        <w:jc w:val="both"/>
        <w:rPr>
          <w:color w:val="auto"/>
          <w:sz w:val="24"/>
          <w:szCs w:val="24"/>
        </w:rPr>
      </w:pPr>
      <w:r w:rsidRPr="00557CB7">
        <w:rPr>
          <w:b/>
          <w:bCs/>
          <w:color w:val="auto"/>
          <w:sz w:val="24"/>
          <w:szCs w:val="24"/>
        </w:rPr>
        <w:t>Confidence Summary</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tblGrid>
      <w:tr w:rsidR="003B1271" w:rsidRPr="00557CB7" w14:paraId="51F1B9C0" w14:textId="77777777">
        <w:trPr>
          <w:tblHeader/>
        </w:trPr>
        <w:tc>
          <w:tcPr>
            <w:tcW w:w="3500" w:type="dxa"/>
            <w:shd w:val="clear" w:color="auto" w:fill="1F3B57"/>
            <w:tcMar>
              <w:top w:w="90" w:type="dxa"/>
              <w:left w:w="110" w:type="dxa"/>
              <w:bottom w:w="90" w:type="dxa"/>
              <w:right w:w="110" w:type="dxa"/>
            </w:tcMar>
            <w:vAlign w:val="center"/>
          </w:tcPr>
          <w:p w14:paraId="7F4BDB5E" w14:textId="77777777" w:rsidR="003B1271" w:rsidRPr="00557CB7" w:rsidRDefault="00000000" w:rsidP="00FB0DCC">
            <w:pPr>
              <w:jc w:val="both"/>
              <w:rPr>
                <w:sz w:val="24"/>
                <w:szCs w:val="24"/>
              </w:rPr>
            </w:pPr>
            <w:r w:rsidRPr="00557CB7">
              <w:rPr>
                <w:b/>
                <w:bCs/>
                <w:sz w:val="24"/>
                <w:szCs w:val="24"/>
              </w:rPr>
              <w:t>Insight</w:t>
            </w:r>
          </w:p>
        </w:tc>
        <w:tc>
          <w:tcPr>
            <w:tcW w:w="1500" w:type="dxa"/>
            <w:shd w:val="clear" w:color="auto" w:fill="1F3B57"/>
            <w:tcMar>
              <w:top w:w="90" w:type="dxa"/>
              <w:left w:w="110" w:type="dxa"/>
              <w:bottom w:w="90" w:type="dxa"/>
              <w:right w:w="110" w:type="dxa"/>
            </w:tcMar>
            <w:vAlign w:val="center"/>
          </w:tcPr>
          <w:p w14:paraId="1C2BA8A6" w14:textId="77777777" w:rsidR="003B1271" w:rsidRPr="00557CB7" w:rsidRDefault="00000000" w:rsidP="00FB0DCC">
            <w:pPr>
              <w:jc w:val="both"/>
              <w:rPr>
                <w:sz w:val="24"/>
                <w:szCs w:val="24"/>
              </w:rPr>
            </w:pPr>
            <w:r w:rsidRPr="00557CB7">
              <w:rPr>
                <w:b/>
                <w:bCs/>
                <w:sz w:val="24"/>
                <w:szCs w:val="24"/>
              </w:rPr>
              <w:t>Confidence</w:t>
            </w:r>
          </w:p>
        </w:tc>
      </w:tr>
      <w:tr w:rsidR="003B1271" w:rsidRPr="00557CB7" w14:paraId="1EAED79E" w14:textId="77777777">
        <w:tc>
          <w:tcPr>
            <w:tcW w:w="3500" w:type="dxa"/>
            <w:shd w:val="clear" w:color="auto" w:fill="FFFFFF"/>
            <w:tcMar>
              <w:top w:w="90" w:type="dxa"/>
              <w:left w:w="110" w:type="dxa"/>
              <w:bottom w:w="90" w:type="dxa"/>
              <w:right w:w="110" w:type="dxa"/>
            </w:tcMar>
            <w:vAlign w:val="center"/>
          </w:tcPr>
          <w:p w14:paraId="416FE599" w14:textId="77777777" w:rsidR="003B1271" w:rsidRPr="00557CB7" w:rsidRDefault="00000000" w:rsidP="00FB0DCC">
            <w:pPr>
              <w:jc w:val="both"/>
              <w:rPr>
                <w:sz w:val="24"/>
                <w:szCs w:val="24"/>
              </w:rPr>
            </w:pPr>
            <w:r w:rsidRPr="00557CB7">
              <w:rPr>
                <w:sz w:val="24"/>
                <w:szCs w:val="24"/>
              </w:rPr>
              <w:t>Marketing Conversion Efficiency vs. Lead Volume</w:t>
            </w:r>
          </w:p>
        </w:tc>
        <w:tc>
          <w:tcPr>
            <w:tcW w:w="1500" w:type="dxa"/>
            <w:shd w:val="clear" w:color="auto" w:fill="FFFFFF"/>
            <w:tcMar>
              <w:top w:w="90" w:type="dxa"/>
              <w:left w:w="110" w:type="dxa"/>
              <w:bottom w:w="90" w:type="dxa"/>
              <w:right w:w="110" w:type="dxa"/>
            </w:tcMar>
            <w:vAlign w:val="center"/>
          </w:tcPr>
          <w:p w14:paraId="7CC7F92B" w14:textId="77777777" w:rsidR="003B1271" w:rsidRPr="00557CB7" w:rsidRDefault="00000000" w:rsidP="00FB0DCC">
            <w:pPr>
              <w:jc w:val="both"/>
              <w:rPr>
                <w:sz w:val="24"/>
                <w:szCs w:val="24"/>
              </w:rPr>
            </w:pPr>
            <w:r w:rsidRPr="00557CB7">
              <w:rPr>
                <w:sz w:val="24"/>
                <w:szCs w:val="24"/>
              </w:rPr>
              <w:t>High</w:t>
            </w:r>
          </w:p>
        </w:tc>
      </w:tr>
      <w:tr w:rsidR="003B1271" w:rsidRPr="00557CB7" w14:paraId="1A51FC90" w14:textId="77777777">
        <w:tc>
          <w:tcPr>
            <w:tcW w:w="3500" w:type="dxa"/>
            <w:shd w:val="clear" w:color="auto" w:fill="EFF3F6"/>
            <w:tcMar>
              <w:top w:w="90" w:type="dxa"/>
              <w:left w:w="110" w:type="dxa"/>
              <w:bottom w:w="90" w:type="dxa"/>
              <w:right w:w="110" w:type="dxa"/>
            </w:tcMar>
            <w:vAlign w:val="center"/>
          </w:tcPr>
          <w:p w14:paraId="34927894" w14:textId="77777777" w:rsidR="003B1271" w:rsidRPr="00557CB7" w:rsidRDefault="00000000" w:rsidP="00FB0DCC">
            <w:pPr>
              <w:jc w:val="both"/>
              <w:rPr>
                <w:sz w:val="24"/>
                <w:szCs w:val="24"/>
              </w:rPr>
            </w:pPr>
            <w:r w:rsidRPr="00557CB7">
              <w:rPr>
                <w:sz w:val="24"/>
                <w:szCs w:val="24"/>
              </w:rPr>
              <w:t>Sales Revenue Concentration by Industry</w:t>
            </w:r>
          </w:p>
        </w:tc>
        <w:tc>
          <w:tcPr>
            <w:tcW w:w="1500" w:type="dxa"/>
            <w:shd w:val="clear" w:color="auto" w:fill="EFF3F6"/>
            <w:tcMar>
              <w:top w:w="90" w:type="dxa"/>
              <w:left w:w="110" w:type="dxa"/>
              <w:bottom w:w="90" w:type="dxa"/>
              <w:right w:w="110" w:type="dxa"/>
            </w:tcMar>
            <w:vAlign w:val="center"/>
          </w:tcPr>
          <w:p w14:paraId="722897BC" w14:textId="77777777" w:rsidR="003B1271" w:rsidRPr="00557CB7" w:rsidRDefault="00000000" w:rsidP="00FB0DCC">
            <w:pPr>
              <w:jc w:val="both"/>
              <w:rPr>
                <w:sz w:val="24"/>
                <w:szCs w:val="24"/>
              </w:rPr>
            </w:pPr>
            <w:r w:rsidRPr="00557CB7">
              <w:rPr>
                <w:sz w:val="24"/>
                <w:szCs w:val="24"/>
              </w:rPr>
              <w:t>High</w:t>
            </w:r>
          </w:p>
        </w:tc>
      </w:tr>
      <w:tr w:rsidR="003B1271" w:rsidRPr="00557CB7" w14:paraId="2AE40D63" w14:textId="77777777">
        <w:tc>
          <w:tcPr>
            <w:tcW w:w="3500" w:type="dxa"/>
            <w:shd w:val="clear" w:color="auto" w:fill="FFFFFF"/>
            <w:tcMar>
              <w:top w:w="90" w:type="dxa"/>
              <w:left w:w="110" w:type="dxa"/>
              <w:bottom w:w="90" w:type="dxa"/>
              <w:right w:w="110" w:type="dxa"/>
            </w:tcMar>
            <w:vAlign w:val="center"/>
          </w:tcPr>
          <w:p w14:paraId="5652DE21" w14:textId="77777777" w:rsidR="003B1271" w:rsidRPr="00557CB7" w:rsidRDefault="00000000" w:rsidP="00FB0DCC">
            <w:pPr>
              <w:jc w:val="both"/>
              <w:rPr>
                <w:sz w:val="24"/>
                <w:szCs w:val="24"/>
              </w:rPr>
            </w:pPr>
            <w:r w:rsidRPr="00557CB7">
              <w:rPr>
                <w:sz w:val="24"/>
                <w:szCs w:val="24"/>
              </w:rPr>
              <w:lastRenderedPageBreak/>
              <w:t>Revenue-at-Risk: High-Value, High-Support-Burden Accounts</w:t>
            </w:r>
          </w:p>
        </w:tc>
        <w:tc>
          <w:tcPr>
            <w:tcW w:w="1500" w:type="dxa"/>
            <w:shd w:val="clear" w:color="auto" w:fill="FFFFFF"/>
            <w:tcMar>
              <w:top w:w="90" w:type="dxa"/>
              <w:left w:w="110" w:type="dxa"/>
              <w:bottom w:w="90" w:type="dxa"/>
              <w:right w:w="110" w:type="dxa"/>
            </w:tcMar>
            <w:vAlign w:val="center"/>
          </w:tcPr>
          <w:p w14:paraId="44206C35" w14:textId="77777777" w:rsidR="003B1271" w:rsidRPr="00557CB7" w:rsidRDefault="00000000" w:rsidP="00FB0DCC">
            <w:pPr>
              <w:jc w:val="both"/>
              <w:rPr>
                <w:sz w:val="24"/>
                <w:szCs w:val="24"/>
              </w:rPr>
            </w:pPr>
            <w:r w:rsidRPr="00557CB7">
              <w:rPr>
                <w:sz w:val="24"/>
                <w:szCs w:val="24"/>
              </w:rPr>
              <w:t>High</w:t>
            </w:r>
          </w:p>
        </w:tc>
      </w:tr>
    </w:tbl>
    <w:p w14:paraId="09E26A88" w14:textId="77777777" w:rsidR="003B1271" w:rsidRPr="00557CB7" w:rsidRDefault="00000000" w:rsidP="00FB0DCC">
      <w:pPr>
        <w:pStyle w:val="Heading2"/>
        <w:spacing w:before="200" w:after="90"/>
        <w:jc w:val="both"/>
        <w:rPr>
          <w:color w:val="auto"/>
          <w:sz w:val="24"/>
          <w:szCs w:val="24"/>
        </w:rPr>
      </w:pPr>
      <w:r w:rsidRPr="00557CB7">
        <w:rPr>
          <w:b/>
          <w:bCs/>
          <w:color w:val="auto"/>
          <w:sz w:val="24"/>
          <w:szCs w:val="24"/>
        </w:rPr>
        <w:t>Emerging Risks</w:t>
      </w:r>
    </w:p>
    <w:p w14:paraId="4E1D9588" w14:textId="77777777" w:rsidR="003B1271" w:rsidRPr="00557CB7" w:rsidRDefault="00000000" w:rsidP="00FB0DCC">
      <w:pPr>
        <w:pStyle w:val="ListParagraph"/>
        <w:numPr>
          <w:ilvl w:val="0"/>
          <w:numId w:val="2"/>
        </w:numPr>
        <w:spacing w:after="70"/>
        <w:jc w:val="both"/>
        <w:rPr>
          <w:sz w:val="24"/>
          <w:szCs w:val="24"/>
        </w:rPr>
      </w:pPr>
      <w:r w:rsidRPr="00557CB7">
        <w:rPr>
          <w:sz w:val="24"/>
          <w:szCs w:val="24"/>
        </w:rPr>
        <w:t>Marketing budget concentrated in a high-volume, comparatively lower-converting campaign.</w:t>
      </w:r>
    </w:p>
    <w:p w14:paraId="5FFE701A" w14:textId="77777777" w:rsidR="003B1271" w:rsidRPr="00557CB7" w:rsidRDefault="00000000" w:rsidP="00FB0DCC">
      <w:pPr>
        <w:pStyle w:val="ListParagraph"/>
        <w:numPr>
          <w:ilvl w:val="0"/>
          <w:numId w:val="2"/>
        </w:numPr>
        <w:spacing w:after="70"/>
        <w:jc w:val="both"/>
        <w:rPr>
          <w:sz w:val="24"/>
          <w:szCs w:val="24"/>
        </w:rPr>
      </w:pPr>
      <w:r w:rsidRPr="00557CB7">
        <w:rPr>
          <w:sz w:val="24"/>
          <w:szCs w:val="24"/>
        </w:rPr>
        <w:t>Won revenue heavily reliant on a single industry vertical (Healthcare).</w:t>
      </w:r>
    </w:p>
    <w:p w14:paraId="3F1F6C4A" w14:textId="77777777" w:rsidR="003B1271" w:rsidRPr="00557CB7" w:rsidRDefault="00000000" w:rsidP="00FB0DCC">
      <w:pPr>
        <w:pStyle w:val="ListParagraph"/>
        <w:numPr>
          <w:ilvl w:val="0"/>
          <w:numId w:val="2"/>
        </w:numPr>
        <w:spacing w:after="70"/>
        <w:jc w:val="both"/>
        <w:rPr>
          <w:sz w:val="24"/>
          <w:szCs w:val="24"/>
        </w:rPr>
      </w:pPr>
      <w:r w:rsidRPr="00557CB7">
        <w:rPr>
          <w:sz w:val="24"/>
          <w:szCs w:val="24"/>
        </w:rPr>
        <w:t>Highest-revenue industries (Retail, Software) also show the highest support-ticket downtime, elevating churn exposure on top accounts.</w:t>
      </w:r>
    </w:p>
    <w:p w14:paraId="338A1A5E" w14:textId="77777777" w:rsidR="003B1271" w:rsidRPr="00557CB7" w:rsidRDefault="00000000" w:rsidP="00FB0DCC">
      <w:pPr>
        <w:pStyle w:val="ListParagraph"/>
        <w:numPr>
          <w:ilvl w:val="0"/>
          <w:numId w:val="2"/>
        </w:numPr>
        <w:spacing w:after="70"/>
        <w:jc w:val="both"/>
        <w:rPr>
          <w:sz w:val="24"/>
          <w:szCs w:val="24"/>
        </w:rPr>
      </w:pPr>
      <w:r w:rsidRPr="00557CB7">
        <w:rPr>
          <w:sz w:val="24"/>
          <w:szCs w:val="24"/>
        </w:rPr>
        <w:t>Critical-priority tickets show no meaningful resolution-speed advantage over low-priority tickets, risking SLA and reputational exposure on urgent issues.</w:t>
      </w:r>
    </w:p>
    <w:p w14:paraId="54224690" w14:textId="77777777" w:rsidR="003B1271" w:rsidRPr="00557CB7" w:rsidRDefault="00000000" w:rsidP="00FB0DCC">
      <w:pPr>
        <w:pStyle w:val="ListParagraph"/>
        <w:numPr>
          <w:ilvl w:val="0"/>
          <w:numId w:val="2"/>
        </w:numPr>
        <w:spacing w:after="70"/>
        <w:jc w:val="both"/>
        <w:rPr>
          <w:sz w:val="24"/>
          <w:szCs w:val="24"/>
        </w:rPr>
      </w:pPr>
      <w:r w:rsidRPr="00557CB7">
        <w:rPr>
          <w:sz w:val="24"/>
          <w:szCs w:val="24"/>
        </w:rPr>
        <w:t>Average ROI and Total Campaign Spend figures warrant a data-quality check before being cited externally.</w:t>
      </w:r>
    </w:p>
    <w:p w14:paraId="1CBBECC9" w14:textId="77777777" w:rsidR="00CE5CB7" w:rsidRDefault="00CE5CB7" w:rsidP="00CE5CB7">
      <w:pPr>
        <w:spacing w:after="70"/>
        <w:jc w:val="both"/>
        <w:rPr>
          <w:sz w:val="24"/>
          <w:szCs w:val="24"/>
        </w:rPr>
      </w:pPr>
    </w:p>
    <w:p w14:paraId="6AC3C345" w14:textId="77777777" w:rsidR="00CE5CB7" w:rsidRPr="00CE5CB7" w:rsidRDefault="00CE5CB7" w:rsidP="00CE5CB7">
      <w:pPr>
        <w:spacing w:after="70"/>
        <w:jc w:val="both"/>
        <w:rPr>
          <w:sz w:val="24"/>
          <w:szCs w:val="24"/>
        </w:rPr>
      </w:pPr>
      <w:r w:rsidRPr="00CE5CB7">
        <w:rPr>
          <w:b/>
          <w:bCs/>
          <w:sz w:val="24"/>
          <w:szCs w:val="24"/>
        </w:rPr>
        <w:t>Where the AI and the Dashboard Agreed — and Didn't</w:t>
      </w:r>
    </w:p>
    <w:p w14:paraId="73270C19" w14:textId="5E0C3EEB" w:rsidR="00CE5CB7" w:rsidRPr="00CE5CB7" w:rsidRDefault="00CE5CB7" w:rsidP="00CE5CB7">
      <w:pPr>
        <w:spacing w:after="70"/>
        <w:jc w:val="both"/>
        <w:rPr>
          <w:sz w:val="24"/>
          <w:szCs w:val="24"/>
        </w:rPr>
      </w:pPr>
      <w:r w:rsidRPr="00CE5CB7">
        <w:rPr>
          <w:sz w:val="24"/>
          <w:szCs w:val="24"/>
        </w:rPr>
        <w:t xml:space="preserve">For most tested questions </w:t>
      </w:r>
      <w:r>
        <w:rPr>
          <w:sz w:val="24"/>
          <w:szCs w:val="24"/>
        </w:rPr>
        <w:t xml:space="preserve">like </w:t>
      </w:r>
      <w:r w:rsidRPr="00CE5CB7">
        <w:rPr>
          <w:sz w:val="24"/>
          <w:szCs w:val="24"/>
        </w:rPr>
        <w:t>"which campaign drove the most leads," "what is our win rate by region"</w:t>
      </w:r>
      <w:r>
        <w:rPr>
          <w:sz w:val="24"/>
          <w:szCs w:val="24"/>
        </w:rPr>
        <w:t xml:space="preserve">, </w:t>
      </w:r>
      <w:r w:rsidRPr="00CE5CB7">
        <w:rPr>
          <w:sz w:val="24"/>
          <w:szCs w:val="24"/>
        </w:rPr>
        <w:t>the AI's answer matched the dashboard's curated charts exactly, giving confidence that either can be trusted for straightforward, single-topic questions.</w:t>
      </w:r>
    </w:p>
    <w:p w14:paraId="3C0819B6" w14:textId="35CBE559" w:rsidR="00CE5CB7" w:rsidRPr="00CE5CB7" w:rsidRDefault="00CE5CB7" w:rsidP="00CE5CB7">
      <w:pPr>
        <w:spacing w:after="70"/>
        <w:jc w:val="both"/>
        <w:rPr>
          <w:sz w:val="24"/>
          <w:szCs w:val="24"/>
        </w:rPr>
      </w:pPr>
      <w:r w:rsidRPr="00CE5CB7">
        <w:rPr>
          <w:sz w:val="24"/>
          <w:szCs w:val="24"/>
        </w:rPr>
        <w:t>Before configuring the Topic, the AI disagreed with (or simply failed to answer) several cross-system questions</w:t>
      </w:r>
      <w:r>
        <w:rPr>
          <w:sz w:val="24"/>
          <w:szCs w:val="24"/>
        </w:rPr>
        <w:t>. F</w:t>
      </w:r>
      <w:r w:rsidRPr="00CE5CB7">
        <w:rPr>
          <w:sz w:val="24"/>
          <w:szCs w:val="24"/>
        </w:rPr>
        <w:t>or example, identifying accounts that were both high-revenue and high-support-burden</w:t>
      </w:r>
      <w:r>
        <w:rPr>
          <w:sz w:val="24"/>
          <w:szCs w:val="24"/>
        </w:rPr>
        <w:t xml:space="preserve"> </w:t>
      </w:r>
      <w:r w:rsidRPr="00CE5CB7">
        <w:rPr>
          <w:sz w:val="24"/>
          <w:szCs w:val="24"/>
        </w:rPr>
        <w:t xml:space="preserve">because it lacked the business context to connect the two systems correctly. After configuring the Topic, most of these were resolved. </w:t>
      </w:r>
    </w:p>
    <w:p w14:paraId="64D97EBD" w14:textId="77777777" w:rsidR="00CE5CB7" w:rsidRPr="00CE5CB7" w:rsidRDefault="00CE5CB7" w:rsidP="00CE5CB7">
      <w:pPr>
        <w:spacing w:after="70"/>
        <w:jc w:val="both"/>
        <w:rPr>
          <w:sz w:val="24"/>
          <w:szCs w:val="24"/>
        </w:rPr>
      </w:pPr>
    </w:p>
    <w:sectPr w:rsidR="00CE5CB7" w:rsidRPr="00CE5CB7">
      <w:pgSz w:w="11906" w:h="16838"/>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7663D"/>
    <w:multiLevelType w:val="hybridMultilevel"/>
    <w:tmpl w:val="DFDECFB6"/>
    <w:lvl w:ilvl="0" w:tplc="1A5EDDCA">
      <w:start w:val="1"/>
      <w:numFmt w:val="bullet"/>
      <w:lvlText w:val="●"/>
      <w:lvlJc w:val="left"/>
      <w:pPr>
        <w:ind w:left="720" w:hanging="360"/>
      </w:pPr>
    </w:lvl>
    <w:lvl w:ilvl="1" w:tplc="2E2A5F0E">
      <w:start w:val="1"/>
      <w:numFmt w:val="bullet"/>
      <w:lvlText w:val="○"/>
      <w:lvlJc w:val="left"/>
      <w:pPr>
        <w:ind w:left="1440" w:hanging="360"/>
      </w:pPr>
    </w:lvl>
    <w:lvl w:ilvl="2" w:tplc="F348D41C">
      <w:start w:val="1"/>
      <w:numFmt w:val="bullet"/>
      <w:lvlText w:val="■"/>
      <w:lvlJc w:val="left"/>
      <w:pPr>
        <w:ind w:left="2160" w:hanging="360"/>
      </w:pPr>
    </w:lvl>
    <w:lvl w:ilvl="3" w:tplc="DF94DDC0">
      <w:start w:val="1"/>
      <w:numFmt w:val="bullet"/>
      <w:lvlText w:val="●"/>
      <w:lvlJc w:val="left"/>
      <w:pPr>
        <w:ind w:left="2880" w:hanging="360"/>
      </w:pPr>
    </w:lvl>
    <w:lvl w:ilvl="4" w:tplc="8F8A2AAA">
      <w:start w:val="1"/>
      <w:numFmt w:val="bullet"/>
      <w:lvlText w:val="○"/>
      <w:lvlJc w:val="left"/>
      <w:pPr>
        <w:ind w:left="3600" w:hanging="360"/>
      </w:pPr>
    </w:lvl>
    <w:lvl w:ilvl="5" w:tplc="292E2370">
      <w:start w:val="1"/>
      <w:numFmt w:val="bullet"/>
      <w:lvlText w:val="■"/>
      <w:lvlJc w:val="left"/>
      <w:pPr>
        <w:ind w:left="4320" w:hanging="360"/>
      </w:pPr>
    </w:lvl>
    <w:lvl w:ilvl="6" w:tplc="E8B05EDA">
      <w:start w:val="1"/>
      <w:numFmt w:val="bullet"/>
      <w:lvlText w:val="●"/>
      <w:lvlJc w:val="left"/>
      <w:pPr>
        <w:ind w:left="5040" w:hanging="360"/>
      </w:pPr>
    </w:lvl>
    <w:lvl w:ilvl="7" w:tplc="65B41C3A">
      <w:start w:val="1"/>
      <w:numFmt w:val="bullet"/>
      <w:lvlText w:val="●"/>
      <w:lvlJc w:val="left"/>
      <w:pPr>
        <w:ind w:left="5760" w:hanging="360"/>
      </w:pPr>
    </w:lvl>
    <w:lvl w:ilvl="8" w:tplc="2D62737C">
      <w:start w:val="1"/>
      <w:numFmt w:val="bullet"/>
      <w:lvlText w:val="●"/>
      <w:lvlJc w:val="left"/>
      <w:pPr>
        <w:ind w:left="6480" w:hanging="360"/>
      </w:pPr>
    </w:lvl>
  </w:abstractNum>
  <w:abstractNum w:abstractNumId="1" w15:restartNumberingAfterBreak="0">
    <w:nsid w:val="3AD82C2E"/>
    <w:multiLevelType w:val="hybridMultilevel"/>
    <w:tmpl w:val="2E246178"/>
    <w:lvl w:ilvl="0" w:tplc="AD1218AA">
      <w:start w:val="1"/>
      <w:numFmt w:val="bullet"/>
      <w:lvlText w:val="•"/>
      <w:lvlJc w:val="left"/>
      <w:pPr>
        <w:ind w:left="360" w:hanging="260"/>
      </w:pPr>
    </w:lvl>
    <w:lvl w:ilvl="1" w:tplc="B9103496">
      <w:numFmt w:val="decimal"/>
      <w:lvlText w:val=""/>
      <w:lvlJc w:val="left"/>
    </w:lvl>
    <w:lvl w:ilvl="2" w:tplc="D7BE153C">
      <w:numFmt w:val="decimal"/>
      <w:lvlText w:val=""/>
      <w:lvlJc w:val="left"/>
    </w:lvl>
    <w:lvl w:ilvl="3" w:tplc="E792699C">
      <w:numFmt w:val="decimal"/>
      <w:lvlText w:val=""/>
      <w:lvlJc w:val="left"/>
    </w:lvl>
    <w:lvl w:ilvl="4" w:tplc="147E6834">
      <w:numFmt w:val="decimal"/>
      <w:lvlText w:val=""/>
      <w:lvlJc w:val="left"/>
    </w:lvl>
    <w:lvl w:ilvl="5" w:tplc="EA2E85F4">
      <w:numFmt w:val="decimal"/>
      <w:lvlText w:val=""/>
      <w:lvlJc w:val="left"/>
    </w:lvl>
    <w:lvl w:ilvl="6" w:tplc="88780D4E">
      <w:numFmt w:val="decimal"/>
      <w:lvlText w:val=""/>
      <w:lvlJc w:val="left"/>
    </w:lvl>
    <w:lvl w:ilvl="7" w:tplc="CF70753E">
      <w:numFmt w:val="decimal"/>
      <w:lvlText w:val=""/>
      <w:lvlJc w:val="left"/>
    </w:lvl>
    <w:lvl w:ilvl="8" w:tplc="67AC8A00">
      <w:numFmt w:val="decimal"/>
      <w:lvlText w:val=""/>
      <w:lvlJc w:val="left"/>
    </w:lvl>
  </w:abstractNum>
  <w:abstractNum w:abstractNumId="2" w15:restartNumberingAfterBreak="0">
    <w:nsid w:val="55B53C5C"/>
    <w:multiLevelType w:val="hybridMultilevel"/>
    <w:tmpl w:val="A6E0730C"/>
    <w:lvl w:ilvl="0" w:tplc="0C80D28A">
      <w:start w:val="1"/>
      <w:numFmt w:val="decimal"/>
      <w:lvlText w:val="%1."/>
      <w:lvlJc w:val="left"/>
      <w:pPr>
        <w:ind w:left="360" w:hanging="260"/>
      </w:pPr>
    </w:lvl>
    <w:lvl w:ilvl="1" w:tplc="769CD2B4">
      <w:numFmt w:val="decimal"/>
      <w:lvlText w:val=""/>
      <w:lvlJc w:val="left"/>
    </w:lvl>
    <w:lvl w:ilvl="2" w:tplc="D01E89D8">
      <w:numFmt w:val="decimal"/>
      <w:lvlText w:val=""/>
      <w:lvlJc w:val="left"/>
    </w:lvl>
    <w:lvl w:ilvl="3" w:tplc="B7C6DB72">
      <w:numFmt w:val="decimal"/>
      <w:lvlText w:val=""/>
      <w:lvlJc w:val="left"/>
    </w:lvl>
    <w:lvl w:ilvl="4" w:tplc="4B186422">
      <w:numFmt w:val="decimal"/>
      <w:lvlText w:val=""/>
      <w:lvlJc w:val="left"/>
    </w:lvl>
    <w:lvl w:ilvl="5" w:tplc="CEDE8F74">
      <w:numFmt w:val="decimal"/>
      <w:lvlText w:val=""/>
      <w:lvlJc w:val="left"/>
    </w:lvl>
    <w:lvl w:ilvl="6" w:tplc="01AEE84A">
      <w:numFmt w:val="decimal"/>
      <w:lvlText w:val=""/>
      <w:lvlJc w:val="left"/>
    </w:lvl>
    <w:lvl w:ilvl="7" w:tplc="01823F82">
      <w:numFmt w:val="decimal"/>
      <w:lvlText w:val=""/>
      <w:lvlJc w:val="left"/>
    </w:lvl>
    <w:lvl w:ilvl="8" w:tplc="D780C956">
      <w:numFmt w:val="decimal"/>
      <w:lvlText w:val=""/>
      <w:lvlJc w:val="left"/>
    </w:lvl>
  </w:abstractNum>
  <w:num w:numId="1" w16cid:durableId="1875077394">
    <w:abstractNumId w:val="0"/>
    <w:lvlOverride w:ilvl="0">
      <w:startOverride w:val="1"/>
    </w:lvlOverride>
  </w:num>
  <w:num w:numId="2" w16cid:durableId="1913731917">
    <w:abstractNumId w:val="1"/>
    <w:lvlOverride w:ilvl="0">
      <w:startOverride w:val="1"/>
    </w:lvlOverride>
  </w:num>
  <w:num w:numId="3" w16cid:durableId="4063901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271"/>
    <w:rsid w:val="00007491"/>
    <w:rsid w:val="001A7A2E"/>
    <w:rsid w:val="001D2AD5"/>
    <w:rsid w:val="003B1271"/>
    <w:rsid w:val="00557CB7"/>
    <w:rsid w:val="005B68A2"/>
    <w:rsid w:val="006678B4"/>
    <w:rsid w:val="007106B4"/>
    <w:rsid w:val="00CE5CB7"/>
    <w:rsid w:val="00E977FE"/>
    <w:rsid w:val="00EC2FA9"/>
    <w:rsid w:val="00FB0DC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F625B"/>
  <w15:docId w15:val="{67183F45-3EF8-4F62-8FA1-7CFDB4CB5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1077</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Gideon Ewa</dc:creator>
  <cp:lastModifiedBy>Gideon Ewa</cp:lastModifiedBy>
  <cp:revision>3</cp:revision>
  <dcterms:created xsi:type="dcterms:W3CDTF">2026-10-11T22:22:00Z</dcterms:created>
  <dcterms:modified xsi:type="dcterms:W3CDTF">2026-10-11T22:23:00Z</dcterms:modified>
</cp:coreProperties>
</file>