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Attorney Work-Product</w:t>
      </w:r>
    </w:p>
    <w:p>
      <w:pPr>
        <w:pStyle w:val="BodyText"/>
      </w:pPr>
      <w:r>
        <w:t xml:space="preserve">From: Andrew Morganti</w:t>
      </w:r>
    </w:p>
    <w:p>
      <w:pPr>
        <w:pStyle w:val="BodyText"/>
      </w:pPr>
      <w:r>
        <w:t xml:space="preserve">To: File</w:t>
      </w:r>
    </w:p>
    <w:p>
      <w:pPr>
        <w:pStyle w:val="BodyText"/>
      </w:pPr>
      <w:r>
        <w:t xml:space="preserve">Re: In re Global Atomic Corporation ("GLO") Securities Litigation</w:t>
      </w:r>
    </w:p>
    <w:p>
      <w:pPr>
        <w:pStyle w:val="BodyText"/>
      </w:pPr>
      <w:r>
        <w:rPr>
          <w:bCs/>
          <w:b/>
        </w:rPr>
        <w:t xml:space="preserve">Preamble</w:t>
      </w:r>
    </w:p>
    <w:p>
      <w:pPr>
        <w:pStyle w:val="BodyText"/>
      </w:pPr>
      <w:r>
        <w:t xml:space="preserve">An Issuer reports that in order for it to build its flagship mining project it required project debt from a government development bank. The Issuer reported, quarter after quarter, that the bank had authorized the financing to proceed, that the bank's credit committee and board would approve the loan on dated schedules, and finally that it was in the final stages of approval and had answered all of the bank's geo-political concerns. None of the dated approvals occurred, and the Issuer then told the market that the major component of its funding would come from either a bank financing or a joint venture, alongside a discounted private placement.</w:t>
      </w:r>
    </w:p>
    <w:p>
      <w:pPr>
        <w:pStyle w:val="BodyText"/>
      </w:pPr>
      <w:r>
        <w:t xml:space="preserve">During the Class Period the Issuer reported the dates, the bank's support and its intention to approve, but omitted to disclose why each date was missed, what questions and conditions stood between the application and the bank's credit committee, how the deteriorating relationship between the host country and the bank's government bore on the loan, and that the bank's process had paused before the U.S. presidential election. It is my submission that the status of the application before the bank, the reasons for the serial delays and the pre-conditions of approval were Material Facts and were required to have been disclosed.</w:t>
      </w:r>
    </w:p>
    <w:p>
      <w:pPr>
        <w:pStyle w:val="BodyText"/>
      </w:pPr>
      <w:r>
        <w:rPr>
          <w:bCs/>
          <w:b/>
        </w:rPr>
        <w:t xml:space="preserve">Proposed Class Period</w:t>
      </w:r>
    </w:p>
    <w:p>
      <w:pPr>
        <w:pStyle w:val="BodyText"/>
      </w:pPr>
      <w:r>
        <w:t xml:space="preserve">Suggested to be November 10, 2023 through January 23, 2025; two public corrections.</w:t>
      </w:r>
    </w:p>
    <w:p>
      <w:pPr>
        <w:pStyle w:val="BodyText"/>
      </w:pPr>
      <w:r>
        <w:rPr>
          <w:bCs/>
          <w:b/>
        </w:rPr>
        <w:t xml:space="preserve">Defined Terms</w:t>
      </w:r>
    </w:p>
    <w:p>
      <w:pPr>
        <w:pStyle w:val="BodyText"/>
      </w:pPr>
      <w:r>
        <w:t xml:space="preserve">Global Atomic Corporation ("GLO") is a corporation incorporated under the Business Corporations Act (Ontario) on May 27, 1994, with its registered and principal office at 8 King Street East, Suite 1700, Toronto, Ontario; it is a reporting issuer in all provinces and territories of Canada and its common shares are listed on TSX: GLO, OTCQX: GLATF and FRA: G12; ISIN CA37957M1068 and CUSIP 37957M106.</w:t>
      </w:r>
      <w:r>
        <w:rPr>
          <w:rStyle w:val="FootnoteReference"/>
        </w:rPr>
        <w:footnoteReference w:id="20"/>
      </w:r>
    </w:p>
    <w:p>
      <w:pPr>
        <w:pStyle w:val="BodyText"/>
      </w:pPr>
      <w:r>
        <w:t xml:space="preserve">The Dasa Project ("Dasa") is GLO's uranium project in the Republic of Niger, held through Société Minière de DASA S.A. ("SOMIDA"), which is 80% owned by GLO through Global Atomic Fuels Corporation and 20% by the Government of Niger.</w:t>
      </w:r>
      <w:r>
        <w:rPr>
          <w:rStyle w:val="FootnoteReference"/>
        </w:rPr>
        <w:footnoteReference w:id="22"/>
      </w:r>
    </w:p>
    <w:p>
      <w:pPr>
        <w:pStyle w:val="BodyText"/>
      </w:pPr>
      <w:r>
        <w:t xml:space="preserve">The U.S. International Development Finance Corporation ("DFC") is the U.S. development bank that GLO referred to during the Class Period as the "U.S. development bank" or the "Bank".</w:t>
      </w:r>
      <w:r>
        <w:rPr>
          <w:rStyle w:val="FootnoteReference"/>
        </w:rPr>
        <w:footnoteReference w:id="24"/>
      </w:r>
    </w:p>
    <w:p>
      <w:pPr>
        <w:pStyle w:val="BodyText"/>
      </w:pPr>
      <w:r>
        <w:t xml:space="preserve">Stephen G. Roman ("Roman") is GLO's Chairman, President and CEO, a director since 2005 and the speaker of each CEO quotation in the Impugned Documents.</w:t>
      </w:r>
      <w:r>
        <w:rPr>
          <w:rStyle w:val="FootnoteReference"/>
        </w:rPr>
        <w:footnoteReference w:id="27"/>
      </w:r>
    </w:p>
    <w:p>
      <w:pPr>
        <w:pStyle w:val="BodyText"/>
      </w:pPr>
      <w:r>
        <w:t xml:space="preserve">Rein A. Lehari ("Lehari") is GLO's Chief Financial Officer.</w:t>
      </w:r>
      <w:r>
        <w:rPr>
          <w:rStyle w:val="FootnoteReference"/>
        </w:rPr>
        <w:footnoteReference w:id="28"/>
      </w:r>
    </w:p>
    <w:p>
      <w:pPr>
        <w:pStyle w:val="BodyText"/>
      </w:pPr>
      <w:r>
        <w:t xml:space="preserve">Red Cloud Securities Inc. ("Red Cloud") was the lead underwriter and sole bookrunner of the October 2024 prospectus offering of units (the "October 2024 Offering").</w:t>
      </w:r>
      <w:r>
        <w:rPr>
          <w:rStyle w:val="FootnoteReference"/>
        </w:rPr>
        <w:footnoteReference w:id="29"/>
      </w:r>
    </w:p>
    <w:p>
      <w:pPr>
        <w:pStyle w:val="BodyText"/>
      </w:pPr>
      <w:r>
        <w:t xml:space="preserve">The "Class Period" is November 10, 2023 through January 23, 2025.</w:t>
      </w:r>
    </w:p>
    <w:p>
      <w:pPr>
        <w:pStyle w:val="BodyText"/>
      </w:pPr>
      <w:r>
        <w:t xml:space="preserve">The "Impugned Documents" are the quarterly and annual MD&amp;A filed during the Class Period, the results news releases filed with them, and the prospectus supplement for the October 2024 Offering.</w:t>
      </w:r>
    </w:p>
    <w:p>
      <w:pPr>
        <w:pStyle w:val="BodyText"/>
      </w:pPr>
      <w:r>
        <w:t xml:space="preserve">The "Public Corrective Disclosures" are the news releases issued after the close of trading on July 16, 2024 and January 23, 2025.</w:t>
      </w:r>
    </w:p>
    <w:p>
      <w:pPr>
        <w:pStyle w:val="BodyText"/>
      </w:pPr>
      <w:r>
        <w:rPr>
          <w:bCs/>
          <w:b/>
        </w:rPr>
        <w:t xml:space="preserve">Overview</w:t>
      </w:r>
    </w:p>
    <w:p>
      <w:pPr>
        <w:pStyle w:val="BodyText"/>
      </w:pPr>
      <w:r>
        <w:t xml:space="preserve">GLO describes itself as "a Toronto-based company that provides a unique combination of cash-flowing zinc concentrate production and high-grade uranium development."</w:t>
      </w:r>
      <w:r>
        <w:rPr>
          <w:rStyle w:val="FootnoteReference"/>
        </w:rPr>
        <w:footnoteReference w:id="31"/>
      </w:r>
      <w:r>
        <w:t xml:space="preserve"> </w:t>
      </w:r>
      <w:r>
        <w:t xml:space="preserve">Its investment thesis (total mix of information) was the construction of Dasa, for which the 60% debt portion of the project financing was to come from Export Development Canada and a U.S. development bank.</w:t>
      </w:r>
      <w:r>
        <w:rPr>
          <w:rStyle w:val="FootnoteReference"/>
        </w:rPr>
        <w:footnoteReference w:id="32"/>
      </w:r>
      <w:r>
        <w:t xml:space="preserve"> </w:t>
      </w:r>
      <w:r>
        <w:t xml:space="preserve">The U.S. development bank's facility was to be US$295 million, covering 60% of the planned project costs.</w:t>
      </w:r>
      <w:r>
        <w:rPr>
          <w:rStyle w:val="FootnoteReference"/>
        </w:rPr>
        <w:footnoteReference w:id="34"/>
      </w:r>
      <w:r>
        <w:t xml:space="preserve"> </w:t>
      </w:r>
      <w:r>
        <w:t xml:space="preserve">GLO's cash was $4.2 million at September 30, 2024, before the October 2024 Offering.</w:t>
      </w:r>
      <w:r>
        <w:rPr>
          <w:rStyle w:val="FootnoteReference"/>
        </w:rPr>
        <w:footnoteReference w:id="36"/>
      </w:r>
    </w:p>
    <w:p>
      <w:pPr>
        <w:pStyle w:val="BodyText"/>
      </w:pPr>
      <w:r>
        <w:t xml:space="preserve">The DFC's letter of interest dated from June 2022,</w:t>
      </w:r>
      <w:r>
        <w:rPr>
          <w:rStyle w:val="FootnoteReference"/>
        </w:rPr>
        <w:footnoteReference w:id="38"/>
      </w:r>
      <w:r>
        <w:t xml:space="preserve"> </w:t>
      </w:r>
      <w:r>
        <w:t xml:space="preserve">and the Dasa environmental and social impact assessment was posted on the DFC's website in February 2023 for the public review tied to GLO's application to Export Development Canada and the DFC.</w:t>
      </w:r>
      <w:r>
        <w:rPr>
          <w:rStyle w:val="FootnoteReference"/>
        </w:rPr>
        <w:footnoteReference w:id="40"/>
      </w:r>
      <w:r>
        <w:t xml:space="preserve"> </w:t>
      </w:r>
      <w:r>
        <w:t xml:space="preserve">Throughout the Class Period, GLO presented the DFC loan as the major component of Dasa's construction financing and gave the market dated credit committee and board approvals.</w:t>
      </w:r>
    </w:p>
    <w:p>
      <w:pPr>
        <w:pStyle w:val="BodyText"/>
      </w:pPr>
      <w:r>
        <w:t xml:space="preserve">The theme of the causes of action is three-fold:</w:t>
      </w:r>
    </w:p>
    <w:p>
      <w:pPr>
        <w:numPr>
          <w:ilvl w:val="0"/>
          <w:numId w:val="1001"/>
        </w:numPr>
      </w:pPr>
      <w:r>
        <w:t xml:space="preserve">the status of the application before the DFC, i.e., that the loan had not been placed before the DFC's credit committee or board on any of the dates reported;</w:t>
      </w:r>
      <w:r>
        <w:rPr>
          <w:rStyle w:val="FootnoteReference"/>
        </w:rPr>
        <w:footnoteReference w:id="41"/>
      </w:r>
    </w:p>
    <w:p>
      <w:pPr>
        <w:numPr>
          <w:ilvl w:val="0"/>
          <w:numId w:val="1001"/>
        </w:numPr>
      </w:pPr>
      <w:r>
        <w:t xml:space="preserve">the reasons for each delay and the pre-conditions to approval, including the effect of the breakdown in relations between Niger and the United States on the loan; and</w:t>
      </w:r>
    </w:p>
    <w:p>
      <w:pPr>
        <w:numPr>
          <w:ilvl w:val="0"/>
          <w:numId w:val="1001"/>
        </w:numPr>
      </w:pPr>
      <w:r>
        <w:t xml:space="preserve">the timing of the DFC's pause, which GLO later admitted began before the 2024 U.S. presidential election, while GLO was reporting that the loan was in its final stages.</w:t>
      </w:r>
    </w:p>
    <w:p>
      <w:pPr>
        <w:pStyle w:val="FirstParagraph"/>
      </w:pPr>
      <w:r>
        <w:t xml:space="preserve">The specific misrepresentations that are relevant to the proposed legal proceeding are when GLO negligently reported that:</w:t>
      </w:r>
    </w:p>
    <w:p>
      <w:pPr>
        <w:numPr>
          <w:ilvl w:val="0"/>
          <w:numId w:val="1002"/>
        </w:numPr>
      </w:pPr>
      <w:r>
        <w:t xml:space="preserve">the DFC's credit committee approval would happen during January 2024,</w:t>
      </w:r>
      <w:r>
        <w:rPr>
          <w:rStyle w:val="FootnoteReference"/>
        </w:rPr>
        <w:footnoteReference w:id="44"/>
      </w:r>
      <w:r>
        <w:t xml:space="preserve"> </w:t>
      </w:r>
      <w:r>
        <w:t xml:space="preserve">April 2024,</w:t>
      </w:r>
      <w:r>
        <w:rPr>
          <w:rStyle w:val="FootnoteReference"/>
        </w:rPr>
        <w:footnoteReference w:id="46"/>
      </w:r>
      <w:r>
        <w:t xml:space="preserve"> </w:t>
      </w:r>
      <w:r>
        <w:t xml:space="preserve">Q2 2024,</w:t>
      </w:r>
      <w:r>
        <w:rPr>
          <w:rStyle w:val="FootnoteReference"/>
        </w:rPr>
        <w:footnoteReference w:id="48"/>
      </w:r>
      <w:r>
        <w:t xml:space="preserve"> </w:t>
      </w:r>
      <w:r>
        <w:t xml:space="preserve">mid-July 2024,</w:t>
      </w:r>
      <w:r>
        <w:rPr>
          <w:rStyle w:val="FootnoteReference"/>
        </w:rPr>
        <w:footnoteReference w:id="51"/>
      </w:r>
      <w:r>
        <w:t xml:space="preserve"> </w:t>
      </w:r>
      <w:r>
        <w:t xml:space="preserve">Q4 2024</w:t>
      </w:r>
      <w:r>
        <w:rPr>
          <w:rStyle w:val="FootnoteReference"/>
        </w:rPr>
        <w:footnoteReference w:id="53"/>
      </w:r>
      <w:r>
        <w:t xml:space="preserve"> </w:t>
      </w:r>
      <w:r>
        <w:t xml:space="preserve">and early Q1 2025;</w:t>
      </w:r>
      <w:r>
        <w:rPr>
          <w:rStyle w:val="FootnoteReference"/>
        </w:rPr>
        <w:footnoteReference w:id="55"/>
      </w:r>
      <w:r>
        <w:t xml:space="preserve"> </w:t>
      </w:r>
      <w:r>
        <w:t xml:space="preserve">and</w:t>
      </w:r>
    </w:p>
    <w:p>
      <w:pPr>
        <w:numPr>
          <w:ilvl w:val="0"/>
          <w:numId w:val="1002"/>
        </w:numPr>
      </w:pPr>
      <w:r>
        <w:t xml:space="preserve">the DFC board's final approval would happen during March 2024,</w:t>
      </w:r>
      <w:r>
        <w:rPr>
          <w:rStyle w:val="FootnoteReference"/>
        </w:rPr>
        <w:footnoteReference w:id="57"/>
      </w:r>
      <w:r>
        <w:t xml:space="preserve"> </w:t>
      </w:r>
      <w:r>
        <w:t xml:space="preserve">June 2024,</w:t>
      </w:r>
      <w:r>
        <w:rPr>
          <w:rStyle w:val="FootnoteReference"/>
        </w:rPr>
        <w:footnoteReference w:id="58"/>
      </w:r>
      <w:r>
        <w:t xml:space="preserve"> </w:t>
      </w:r>
      <w:r>
        <w:t xml:space="preserve">Q2 2024,</w:t>
      </w:r>
      <w:r>
        <w:rPr>
          <w:rStyle w:val="FootnoteReference"/>
        </w:rPr>
        <w:footnoteReference w:id="59"/>
      </w:r>
      <w:r>
        <w:t xml:space="preserve"> </w:t>
      </w:r>
      <w:r>
        <w:t xml:space="preserve">September 2024,</w:t>
      </w:r>
      <w:r>
        <w:rPr>
          <w:rStyle w:val="FootnoteReference"/>
        </w:rPr>
        <w:footnoteReference w:id="60"/>
      </w:r>
      <w:r>
        <w:t xml:space="preserve"> </w:t>
      </w:r>
      <w:r>
        <w:t xml:space="preserve">October 2024,</w:t>
      </w:r>
      <w:r>
        <w:rPr>
          <w:rStyle w:val="FootnoteReference"/>
        </w:rPr>
        <w:footnoteReference w:id="61"/>
      </w:r>
      <w:r>
        <w:t xml:space="preserve"> </w:t>
      </w:r>
      <w:r>
        <w:t xml:space="preserve">Q3 2024,</w:t>
      </w:r>
      <w:r>
        <w:rPr>
          <w:rStyle w:val="FootnoteReference"/>
        </w:rPr>
        <w:footnoteReference w:id="63"/>
      </w:r>
      <w:r>
        <w:t xml:space="preserve"> </w:t>
      </w:r>
      <w:r>
        <w:t xml:space="preserve">Q4 2024,</w:t>
      </w:r>
      <w:r>
        <w:rPr>
          <w:rStyle w:val="FootnoteReference"/>
        </w:rPr>
        <w:footnoteReference w:id="65"/>
      </w:r>
      <w:r>
        <w:t xml:space="preserve"> </w:t>
      </w:r>
      <w:r>
        <w:t xml:space="preserve">early Q1 2025</w:t>
      </w:r>
      <w:r>
        <w:rPr>
          <w:rStyle w:val="FootnoteReference"/>
        </w:rPr>
        <w:footnoteReference w:id="66"/>
      </w:r>
      <w:r>
        <w:t xml:space="preserve"> </w:t>
      </w:r>
      <w:r>
        <w:t xml:space="preserve">and Q1 2025.</w:t>
      </w:r>
      <w:r>
        <w:rPr>
          <w:rStyle w:val="FootnoteReference"/>
        </w:rPr>
        <w:footnoteReference w:id="67"/>
      </w:r>
    </w:p>
    <w:p>
      <w:pPr>
        <w:pStyle w:val="FirstParagraph"/>
      </w:pPr>
      <w:r>
        <w:t xml:space="preserve">Conducting the deep-dive due diligence exercise independent of GLO's disclosures, and primarily at the DFC's own published board records, my conclusion is that the Dasa loan did not come before the DFC board at any board meeting or notational vote in 2024 (March 6, June 5, September 5 and December 4, 2024, and the notational votes through October 28, 2024), and that the DFC's credit committee did not review the loan until about December 2025.</w:t>
      </w:r>
      <w:r>
        <w:rPr>
          <w:rStyle w:val="FootnoteReference"/>
        </w:rPr>
        <w:footnoteReference w:id="69"/>
      </w:r>
    </w:p>
    <w:p>
      <w:pPr>
        <w:pStyle w:val="BodyText"/>
      </w:pPr>
      <w:r>
        <w:t xml:space="preserve">The Class Period would be November 10, 2023 through January 23, 2025, with two Public Corrective Disclosures (i.e., the final being $0.94 to $0.64).</w:t>
      </w:r>
      <w:r>
        <w:rPr>
          <w:rStyle w:val="FootnoteReference"/>
        </w:rPr>
        <w:footnoteReference w:id="71"/>
      </w:r>
    </w:p>
    <w:p>
      <w:pPr>
        <w:pStyle w:val="BodyText"/>
      </w:pPr>
      <w:r>
        <w:rPr>
          <w:bCs/>
          <w:b/>
        </w:rPr>
        <w:t xml:space="preserve">PART A. FACTS</w:t>
      </w:r>
    </w:p>
    <w:p>
      <w:pPr>
        <w:pStyle w:val="BodyText"/>
      </w:pPr>
      <w:r>
        <w:rPr>
          <w:bCs/>
          <w:b/>
        </w:rPr>
        <w:t xml:space="preserve">Background</w:t>
      </w:r>
    </w:p>
    <w:p>
      <w:pPr>
        <w:pStyle w:val="BodyText"/>
      </w:pPr>
      <w:r>
        <w:t xml:space="preserve">On February 24, 2023, GLO posted the Dasa environmental and social impact assessment on the DFC's website for a 60-day public review tied to its application to Export Development Canada and the DFC; the DFC screened Dasa as Category A.</w:t>
      </w:r>
      <w:r>
        <w:rPr>
          <w:rStyle w:val="FootnoteReference"/>
        </w:rPr>
        <w:footnoteReference w:id="72"/>
      </w:r>
    </w:p>
    <w:p>
      <w:pPr>
        <w:pStyle w:val="BodyText"/>
      </w:pPr>
      <w:r>
        <w:t xml:space="preserve">On October 10, 2023, $2.44 to $1.99 (down 18.4%), GLO reported that the U.S. State Department had designated the July 2023 events in Niger a coup d'état, and that:</w:t>
      </w:r>
      <w:r>
        <w:rPr>
          <w:rStyle w:val="FootnoteReference"/>
        </w:rPr>
        <w:footnoteReference w:id="73"/>
      </w:r>
    </w:p>
    <w:p>
      <w:pPr>
        <w:pStyle w:val="BlockText"/>
      </w:pPr>
      <w:r>
        <w:t xml:space="preserve">This designation will put a temporary hold on US Development Bank financing pending visibility of a return to democratic elections.</w:t>
      </w:r>
    </w:p>
    <w:p>
      <w:pPr>
        <w:pStyle w:val="FirstParagraph"/>
      </w:pPr>
      <w:r>
        <w:t xml:space="preserve">This is an Act of State and not a public correction; however, from this date the market knew that the DFC loan depended on the relationship between Niger and the United States, and every later statement by GLO about U.S. Government support must be read against it.</w:t>
      </w:r>
    </w:p>
    <w:p>
      <w:pPr>
        <w:pStyle w:val="BodyText"/>
      </w:pPr>
      <w:r>
        <w:rPr>
          <w:bCs/>
          <w:b/>
        </w:rPr>
        <w:t xml:space="preserve">The Beginning of the Class Period</w:t>
      </w:r>
    </w:p>
    <w:p>
      <w:pPr>
        <w:pStyle w:val="BodyText"/>
      </w:pPr>
      <w:r>
        <w:t xml:space="preserve">On November 10, 2023, $2.05 to $2.13 (increased 3.9%), GLO published its Q3 2023 results and reported that "the U.S. Government has expressed support for the project financing to proceed and both development banks have been authorized to re-engage with the Company and finalize funding arrangements."</w:t>
      </w:r>
      <w:r>
        <w:rPr>
          <w:rStyle w:val="FootnoteReference"/>
        </w:rPr>
        <w:footnoteReference w:id="75"/>
      </w:r>
      <w:r>
        <w:t xml:space="preserve"> </w:t>
      </w:r>
      <w:r>
        <w:t xml:space="preserve">The other material facts include:</w:t>
      </w:r>
    </w:p>
    <w:p>
      <w:pPr>
        <w:numPr>
          <w:ilvl w:val="0"/>
          <w:numId w:val="1003"/>
        </w:numPr>
      </w:pPr>
      <w:r>
        <w:t xml:space="preserve">"With the re-engagement of the development banks, the schedule for project financing is targeted for credit committee approval in January followed by final approval in March 2024.";</w:t>
      </w:r>
      <w:r>
        <w:rPr>
          <w:rStyle w:val="FootnoteReference"/>
        </w:rPr>
        <w:footnoteReference w:id="76"/>
      </w:r>
    </w:p>
    <w:p>
      <w:pPr>
        <w:numPr>
          <w:ilvl w:val="0"/>
          <w:numId w:val="1003"/>
        </w:numPr>
      </w:pPr>
      <w:r>
        <w:t xml:space="preserve">"The Company is well advanced in negotiating a term sheet and expects this to be concluded shortly.";</w:t>
      </w:r>
      <w:r>
        <w:rPr>
          <w:rStyle w:val="FootnoteReference"/>
        </w:rPr>
        <w:footnoteReference w:id="77"/>
      </w:r>
      <w:r>
        <w:t xml:space="preserve"> </w:t>
      </w:r>
      <w:r>
        <w:t xml:space="preserve">and</w:t>
      </w:r>
    </w:p>
    <w:p>
      <w:pPr>
        <w:numPr>
          <w:ilvl w:val="0"/>
          <w:numId w:val="1003"/>
        </w:numPr>
      </w:pPr>
      <w:r>
        <w:t xml:space="preserve">"In view of the uncertainties about the timing of completion of a project financing, the Company has commenced a process to review alternative funding options." [No reference to what the uncertainties were].</w:t>
      </w:r>
      <w:r>
        <w:rPr>
          <w:rStyle w:val="FootnoteReference"/>
        </w:rPr>
        <w:footnoteReference w:id="78"/>
      </w:r>
    </w:p>
    <w:p>
      <w:pPr>
        <w:pStyle w:val="FirstParagraph"/>
      </w:pPr>
      <w:r>
        <w:t xml:space="preserve">On December 19, 2023, $2.80 to $2.58 (down 7.9%), GLO announced a C$15 million strategic investment by Regent Mercantile and Stephen Dattels, and Roman stated that the investment "coincides with better visibility on timelines associated with democratic elections and the restoration of supply lines".</w:t>
      </w:r>
      <w:r>
        <w:rPr>
          <w:rStyle w:val="FootnoteReference"/>
        </w:rPr>
        <w:footnoteReference w:id="79"/>
      </w:r>
    </w:p>
    <w:p>
      <w:pPr>
        <w:pStyle w:val="BodyText"/>
      </w:pPr>
      <w:r>
        <w:t xml:space="preserve">On January 10, 2024, $3.08 to $3.19 on the next session (increased 3.6%), GLO reported that with its third offtake agreement it "has satisfied the "pre-sales" requirement of its banking syndicate."</w:t>
      </w:r>
      <w:r>
        <w:rPr>
          <w:rStyle w:val="FootnoteReference"/>
        </w:rPr>
        <w:footnoteReference w:id="81"/>
      </w:r>
    </w:p>
    <w:p>
      <w:pPr>
        <w:pStyle w:val="BodyText"/>
      </w:pPr>
      <w:r>
        <w:t xml:space="preserve">On March 5, 2024, $3.21 to $3.21 (nil%), GLO reported that "the 60% debt portion of the project financing is expected to be satisfied in Q2 2024" and Roman stated: "We expect to have full project financing in place soon".</w:t>
      </w:r>
      <w:r>
        <w:rPr>
          <w:rStyle w:val="FootnoteReference"/>
        </w:rPr>
        <w:footnoteReference w:id="83"/>
      </w:r>
    </w:p>
    <w:p>
      <w:pPr>
        <w:pStyle w:val="BodyText"/>
      </w:pPr>
      <w:r>
        <w:t xml:space="preserve">On March 16, 2024, Niger announced the end of its military cooperation with the United States. On March 18, 2024, $3.13 down to $2.17 (down 30.7%) on volume 6.9 times the 30-day average, GLO responded that "in addition to current advanced discussions with project lenders, the Company is also pursuing other financing strategies".</w:t>
      </w:r>
      <w:r>
        <w:rPr>
          <w:rStyle w:val="FootnoteReference"/>
        </w:rPr>
        <w:footnoteReference w:id="84"/>
      </w:r>
      <w:r>
        <w:t xml:space="preserve"> </w:t>
      </w:r>
      <w:r>
        <w:t xml:space="preserve">This is an Act of State and not a public correction; however, it was later reported that Niger's decision followed a mid-March meeting at which senior U.S. officials raised "reports of Iran seeking raw materials in the country, including uranium."</w:t>
      </w:r>
      <w:r>
        <w:rPr>
          <w:rStyle w:val="FootnoteReference"/>
        </w:rPr>
        <w:footnoteReference w:id="86"/>
      </w:r>
    </w:p>
    <w:p>
      <w:pPr>
        <w:pStyle w:val="BodyText"/>
      </w:pPr>
      <w:r>
        <w:t xml:space="preserve">On March 27, 2024, $2.20 to $2.27 on the next session (increased 3.2%), GLO published its 2023 MD&amp;A and reported that "The Company has been advised by this banking syndicate that Credit Committee approval may occur in April 2024, followed by final approval by the Board of Directors in June 2024."</w:t>
      </w:r>
      <w:r>
        <w:rPr>
          <w:rStyle w:val="FootnoteReference"/>
        </w:rPr>
        <w:footnoteReference w:id="88"/>
      </w:r>
      <w:r>
        <w:t xml:space="preserve"> </w:t>
      </w:r>
      <w:r>
        <w:t xml:space="preserve">The other material facts include:</w:t>
      </w:r>
    </w:p>
    <w:p>
      <w:pPr>
        <w:numPr>
          <w:ilvl w:val="0"/>
          <w:numId w:val="1004"/>
        </w:numPr>
      </w:pPr>
      <w:r>
        <w:t xml:space="preserve">on Niger's termination of military cooperation: "Global Atomic understands the two countries are in discussions to reach a mutually acceptable resolution." [No reference to the effect on the DFC loan];</w:t>
      </w:r>
      <w:r>
        <w:rPr>
          <w:rStyle w:val="FootnoteReference"/>
        </w:rPr>
        <w:footnoteReference w:id="89"/>
      </w:r>
      <w:r>
        <w:t xml:space="preserve"> </w:t>
      </w:r>
      <w:r>
        <w:t xml:space="preserve">and</w:t>
      </w:r>
    </w:p>
    <w:p>
      <w:pPr>
        <w:numPr>
          <w:ilvl w:val="0"/>
          <w:numId w:val="1004"/>
        </w:numPr>
      </w:pPr>
      <w:r>
        <w:t xml:space="preserve">in the risk section, the same April and June 2024 dates, "but there is no certainty that the Project Financing will be completed on the terms or in the amounts anticipated by the Company or at all."</w:t>
      </w:r>
      <w:r>
        <w:rPr>
          <w:rStyle w:val="FootnoteReference"/>
        </w:rPr>
        <w:footnoteReference w:id="90"/>
      </w:r>
    </w:p>
    <w:p>
      <w:pPr>
        <w:pStyle w:val="FirstParagraph"/>
      </w:pPr>
      <w:r>
        <w:t xml:space="preserve">On May 13, 2024, $2.20 to $2.10 on the next session (down 4.5%), GLO published its Q1 2024 results and Roman stated: "The banking syndicate has informed us that they anticipate credit committee and final Board approval this quarter."</w:t>
      </w:r>
      <w:r>
        <w:rPr>
          <w:rStyle w:val="FootnoteReference"/>
        </w:rPr>
        <w:footnoteReference w:id="91"/>
      </w:r>
    </w:p>
    <w:p>
      <w:pPr>
        <w:pStyle w:val="BodyText"/>
      </w:pPr>
      <w:r>
        <w:t xml:space="preserve">On May 19, 2024, Niger and the U.S. Department of Defense announced that U.S. troops would withdraw from Niger by September 15, 2024.</w:t>
      </w:r>
      <w:r>
        <w:rPr>
          <w:rStyle w:val="FootnoteReference"/>
        </w:rPr>
        <w:footnoteReference w:id="92"/>
      </w:r>
      <w:r>
        <w:t xml:space="preserve"> </w:t>
      </w:r>
      <w:r>
        <w:t xml:space="preserve">GLO's MD&amp;A through Q3 2024 does not discuss the effect of the withdrawal on the DFC loan.</w:t>
      </w:r>
      <w:r>
        <w:rPr>
          <w:rStyle w:val="FootnoteReference"/>
        </w:rPr>
        <w:footnoteReference w:id="94"/>
      </w:r>
    </w:p>
    <w:p>
      <w:pPr>
        <w:pStyle w:val="BodyText"/>
      </w:pPr>
      <w:r>
        <w:t xml:space="preserve">On June 17, 2024, $2.00 to $2.09 (increased 4.5%), GLO reported that the bank "is completing the final documentation to submit to its Credit Committee for approval, which has now been scheduled to take place in mid-July 2024", that it "expects final review by the bank's Board of Directors in September", and Roman stated: "We believe the U.S. Government recognizes the significance of the Dasa Project".</w:t>
      </w:r>
      <w:r>
        <w:rPr>
          <w:rStyle w:val="FootnoteReference"/>
        </w:rPr>
        <w:footnoteReference w:id="95"/>
      </w:r>
    </w:p>
    <w:p>
      <w:pPr>
        <w:pStyle w:val="BodyText"/>
      </w:pPr>
      <w:r>
        <w:t xml:space="preserve">On July 16, 2024, after the close, $2.02 down to $1.67 (down 17.3%) on volume of 2.0 million shares (4.5 times the 30-day average) being traded on the TSX on July 17, 2024, GLO reported that "The Bank decided not to bring this project to the Credit Committee in July, citing a need to answer and confirm additional questions" and that "final approval by the Bank's Board of Directors is now expected in October 2024."</w:t>
      </w:r>
      <w:r>
        <w:rPr>
          <w:rStyle w:val="FootnoteReference"/>
        </w:rPr>
        <w:footnoteReference w:id="96"/>
      </w:r>
    </w:p>
    <w:p>
      <w:pPr>
        <w:pStyle w:val="BodyText"/>
      </w:pPr>
      <w:r>
        <w:t xml:space="preserve">On July 31, 2024, GLO closed a non-brokered private placement of $19.9 million, 14,764,815 units at $1.35 per unit, in which Roman, Lehari and other insiders subscribed.</w:t>
      </w:r>
      <w:r>
        <w:rPr>
          <w:rStyle w:val="FootnoteReference"/>
        </w:rPr>
        <w:footnoteReference w:id="97"/>
      </w:r>
    </w:p>
    <w:p>
      <w:pPr>
        <w:pStyle w:val="BodyText"/>
      </w:pPr>
      <w:r>
        <w:t xml:space="preserve">On August 12, 2024, $1.31 to $1.29 on the next session (down 1.5%), GLO published its Q2 2024 results; Roman stated "we remain confident that the bank will eventually approve our Project", the news release outlook said the bank was "expected to approve the Debt Financing facility" in Q3 2024, and the MD&amp;A filed the same day said "target credit committee approval and final Board approval in Q4 2024".</w:t>
      </w:r>
      <w:r>
        <w:rPr>
          <w:rStyle w:val="FootnoteReference"/>
        </w:rPr>
        <w:footnoteReference w:id="99"/>
      </w:r>
    </w:p>
    <w:p>
      <w:pPr>
        <w:pStyle w:val="BodyText"/>
      </w:pPr>
      <w:r>
        <w:t xml:space="preserve">On August 15 through August 23, 2024, after exercising options at $0.50, Lehari sold 107,000 shares at $1.26 to $1.37 and Roman sold 400,000 shares at $1.36 to $1.41 in the public market.</w:t>
      </w:r>
      <w:r>
        <w:rPr>
          <w:rStyle w:val="FootnoteReference"/>
        </w:rPr>
        <w:footnoteReference w:id="100"/>
      </w:r>
    </w:p>
    <w:p>
      <w:pPr>
        <w:pStyle w:val="BodyText"/>
      </w:pPr>
      <w:r>
        <w:t xml:space="preserve">On September 5, 2024, the DFC board met and approved its transactions; Dasa is not among them.</w:t>
      </w:r>
      <w:r>
        <w:rPr>
          <w:rStyle w:val="FootnoteReference"/>
        </w:rPr>
        <w:footnoteReference w:id="101"/>
      </w:r>
      <w:r>
        <w:t xml:space="preserve"> </w:t>
      </w:r>
      <w:r>
        <w:t xml:space="preserve">U.S. forces completed their withdrawal from Niger by September 15, 2024.</w:t>
      </w:r>
      <w:r>
        <w:rPr>
          <w:rStyle w:val="FootnoteReference"/>
        </w:rPr>
        <w:footnoteReference w:id="102"/>
      </w:r>
    </w:p>
    <w:p>
      <w:pPr>
        <w:pStyle w:val="BodyText"/>
      </w:pPr>
      <w:r>
        <w:t xml:space="preserve">On October 3, 2024, after the close, $1.33 to $1.45 on the next session (increased 9.0%), GLO reported that "confirmation of the approval schedule [is] expected in October 2024" and that "The bank continues to voice support of the project and its intention to approve a debt facility for US$295 million".</w:t>
      </w:r>
      <w:r>
        <w:rPr>
          <w:rStyle w:val="FootnoteReference"/>
        </w:rPr>
        <w:footnoteReference w:id="103"/>
      </w:r>
    </w:p>
    <w:p>
      <w:pPr>
        <w:pStyle w:val="BodyText"/>
      </w:pPr>
      <w:r>
        <w:t xml:space="preserve">On October 7, 2024, GLO announced a public offering of units under a prospectus supplement to its November 21, 2023 base shelf prospectus, with Red Cloud as lead underwriter; on October 8, 2024, $1.40 down to $1.09 (down 22.1%) on volume 12.4 times the 30-day average.</w:t>
      </w:r>
      <w:r>
        <w:rPr>
          <w:rStyle w:val="FootnoteReference"/>
        </w:rPr>
        <w:footnoteReference w:id="105"/>
      </w:r>
      <w:r>
        <w:t xml:space="preserve"> </w:t>
      </w:r>
      <w:r>
        <w:t xml:space="preserve">On October 16, 2024, GLO closed the October 2024 Offering for gross proceeds of $40.25 million from the sale of 33,542,050 units at $1.20 per unit.</w:t>
      </w:r>
      <w:r>
        <w:rPr>
          <w:rStyle w:val="FootnoteReference"/>
        </w:rPr>
        <w:footnoteReference w:id="106"/>
      </w:r>
    </w:p>
    <w:p>
      <w:pPr>
        <w:pStyle w:val="BodyText"/>
      </w:pPr>
      <w:r>
        <w:t xml:space="preserve">On October 29, 2024, $1.13 to $1.15 (increased 1.8%), GLO reported: "In recent positive meetings with the Company, the Bank confirmed its support for Dasa and its intention to approve a debt facility for US$295 million … By early Q1 2025, the Bank intends to conclude its approval process, including Committee and Board level approvals."</w:t>
      </w:r>
      <w:r>
        <w:rPr>
          <w:rStyle w:val="FootnoteReference"/>
        </w:rPr>
        <w:footnoteReference w:id="107"/>
      </w:r>
    </w:p>
    <w:p>
      <w:pPr>
        <w:pStyle w:val="BodyText"/>
      </w:pPr>
      <w:r>
        <w:t xml:space="preserve">On November 12, 2024, $1.05 to $1.04 on the next session (down 1.0%), GLO published its Q3 2024 results and Roman stated: "The financing by a U.S. development bank has taken longer than anticipated. We have, however,</w:t>
      </w:r>
      <w:r>
        <w:t xml:space="preserve"> </w:t>
      </w:r>
      <w:r>
        <w:rPr>
          <w:iCs/>
          <w:i/>
        </w:rPr>
        <w:t xml:space="preserve">answered all geo-political concerns raised by the bank</w:t>
      </w:r>
      <w:r>
        <w:t xml:space="preserve">" and "Dasa is fully permitted and</w:t>
      </w:r>
      <w:r>
        <w:t xml:space="preserve"> </w:t>
      </w:r>
      <w:r>
        <w:rPr>
          <w:iCs/>
          <w:i/>
        </w:rPr>
        <w:t xml:space="preserve">in the final stages of obtaining approval</w:t>
      </w:r>
      <w:r>
        <w:t xml:space="preserve"> </w:t>
      </w:r>
      <w:r>
        <w:t xml:space="preserve">for the major component of its construction financing." [Emphasis added].</w:t>
      </w:r>
      <w:r>
        <w:rPr>
          <w:rStyle w:val="FootnoteReference"/>
        </w:rPr>
        <w:footnoteReference w:id="108"/>
      </w:r>
    </w:p>
    <w:p>
      <w:pPr>
        <w:pStyle w:val="BodyText"/>
      </w:pPr>
      <w:r>
        <w:t xml:space="preserve">On December 17, 2024, $0.80 to $0.78 (down 2.5%), GLO reported: "Due to the recent U.S. Presidential election, timelines have moved to Q1, 2025 as certain administrative changes will take place post inauguration", and that joint venture negotiations were "well advanced, such that the Company anticipates receipt of a Definitive Agreement in Q1 2025."</w:t>
      </w:r>
      <w:r>
        <w:rPr>
          <w:rStyle w:val="FootnoteReference"/>
        </w:rPr>
        <w:footnoteReference w:id="109"/>
      </w:r>
    </w:p>
    <w:p>
      <w:pPr>
        <w:pStyle w:val="BodyText"/>
      </w:pPr>
      <w:r>
        <w:t xml:space="preserve">In January 2025, GLO's corporate presentation stated: "Financing: project financing well advanced and progressing".</w:t>
      </w:r>
      <w:r>
        <w:rPr>
          <w:rStyle w:val="FootnoteReference"/>
        </w:rPr>
        <w:footnoteReference w:id="110"/>
      </w:r>
    </w:p>
    <w:p>
      <w:pPr>
        <w:pStyle w:val="BodyText"/>
      </w:pPr>
      <w:r>
        <w:t xml:space="preserve">On January 23, 2025, after the close, $0.94 down to $0.64 (down 31.9%) on volume of 14.4 million shares (13.6 times the 30-day average) being traded on the TSX on January 24, 2025, GLO announced a non-brokered private placement of up to $30 million in units at $0.80, each with a full $1.00 warrant, and Roman stated:</w:t>
      </w:r>
      <w:r>
        <w:rPr>
          <w:rStyle w:val="FootnoteReference"/>
        </w:rPr>
        <w:footnoteReference w:id="112"/>
      </w:r>
    </w:p>
    <w:p>
      <w:pPr>
        <w:pStyle w:val="BlockText"/>
      </w:pPr>
      <w:r>
        <w:t xml:space="preserve">We remain confident that in Q1 2025 we will have positive news regarding the major component of funding for our Dasa Project in the form of</w:t>
      </w:r>
      <w:r>
        <w:t xml:space="preserve"> </w:t>
      </w:r>
      <w:r>
        <w:rPr>
          <w:iCs/>
          <w:i/>
        </w:rPr>
        <w:t xml:space="preserve">either a bank financing or a joint venture agreement</w:t>
      </w:r>
      <w:r>
        <w:t xml:space="preserve">. [Emphasis added]</w:t>
      </w:r>
    </w:p>
    <w:p>
      <w:pPr>
        <w:pStyle w:val="FirstParagraph"/>
      </w:pPr>
      <w:r>
        <w:t xml:space="preserve">On January 24, 2025, GLO increased the placement to up to $36 million citing investor demand, and it closed on January 31, 2025 at $35.6 million.</w:t>
      </w:r>
      <w:r>
        <w:rPr>
          <w:rStyle w:val="FootnoteReference"/>
        </w:rPr>
        <w:footnoteReference w:id="114"/>
      </w:r>
    </w:p>
    <w:p>
      <w:pPr>
        <w:pStyle w:val="BodyText"/>
      </w:pPr>
      <w:r>
        <w:t xml:space="preserve">Importantly, GLO omits to disclose why the DFC loan, which the bank was to approve by early Q1 2025, had become one of two alternatives three weeks into that quarter, and why the bank had not yet brought the loan to its credit committee.</w:t>
      </w:r>
    </w:p>
    <w:p>
      <w:pPr>
        <w:pStyle w:val="BodyText"/>
      </w:pPr>
      <w:r>
        <w:rPr>
          <w:bCs/>
          <w:b/>
        </w:rPr>
        <w:t xml:space="preserve">Post Class Disclosures</w:t>
      </w:r>
    </w:p>
    <w:p>
      <w:pPr>
        <w:pStyle w:val="BodyText"/>
      </w:pPr>
      <w:r>
        <w:t xml:space="preserve">On February 12, 2025, $0.47 to $0.58 (increased 23.4%), GLO reported that "Since the inauguration of President Trump in the United States of America, the market reaction has been that debt funding for the Dasa Project is unlikely to come from the USA."</w:t>
      </w:r>
      <w:r>
        <w:rPr>
          <w:rStyle w:val="FootnoteReference"/>
        </w:rPr>
        <w:footnoteReference w:id="117"/>
      </w:r>
    </w:p>
    <w:p>
      <w:pPr>
        <w:pStyle w:val="BodyText"/>
      </w:pPr>
      <w:r>
        <w:t xml:space="preserve">On March 27, 2025, $0.54 to $0.58 on the next session (increased 7.4%), GLO published its 2024 results and reported: "Following a pause</w:t>
      </w:r>
      <w:r>
        <w:t xml:space="preserve"> </w:t>
      </w:r>
      <w:r>
        <w:rPr>
          <w:iCs/>
          <w:i/>
        </w:rPr>
        <w:t xml:space="preserve">before and after</w:t>
      </w:r>
      <w:r>
        <w:t xml:space="preserve"> </w:t>
      </w:r>
      <w:r>
        <w:t xml:space="preserve">the 2024 U.S. presidential election, the development bank has re-engaged with the Company". [Emphasis added].</w:t>
      </w:r>
      <w:r>
        <w:rPr>
          <w:rStyle w:val="FootnoteReference"/>
        </w:rPr>
        <w:footnoteReference w:id="119"/>
      </w:r>
    </w:p>
    <w:p>
      <w:pPr>
        <w:pStyle w:val="BodyText"/>
      </w:pPr>
      <w:r>
        <w:t xml:space="preserve">On August 12, 2025, $0.56 to $0.51 on the next session (down 8.9%), GLO disclosed that "The Bank provided its letter of interest in June 2022" and that "several events … occurred in Niger that served to slow progress on our file."</w:t>
      </w:r>
      <w:r>
        <w:rPr>
          <w:rStyle w:val="FootnoteReference"/>
        </w:rPr>
        <w:footnoteReference w:id="121"/>
      </w:r>
    </w:p>
    <w:p>
      <w:pPr>
        <w:pStyle w:val="BodyText"/>
      </w:pPr>
      <w:r>
        <w:t xml:space="preserve">On December 11, 2025, $0.51 to $0.63 on the next session (increased 23.5%), GLO reported that "funding for the Dasa Project was reviewed at a meeting of the Bank's Credit Committee and forwarded to the Investment Committee for review."</w:t>
      </w:r>
      <w:r>
        <w:rPr>
          <w:rStyle w:val="FootnoteReference"/>
        </w:rPr>
        <w:footnoteReference w:id="122"/>
      </w:r>
    </w:p>
    <w:p>
      <w:pPr>
        <w:pStyle w:val="BodyText"/>
      </w:pPr>
      <w:r>
        <w:t xml:space="preserve">On February 19, 2026, a proposed class action was issued in the Ontario Superior Court of Justice against GLO and Roman for the period November 10, 2023 to January 23, 2025; on February 25, 2026, $0.88 to $0.87 on the next session (down 1.1%), GLO announced that it had received the statement of claim and denied the allegations.</w:t>
      </w:r>
      <w:r>
        <w:rPr>
          <w:rStyle w:val="FootnoteReference"/>
        </w:rPr>
        <w:footnoteReference w:id="123"/>
      </w:r>
    </w:p>
    <w:p>
      <w:pPr>
        <w:pStyle w:val="BodyText"/>
      </w:pPr>
      <w:r>
        <w:t xml:space="preserve">On September 16, 2026, $0.49 to $0.71 (increased 44.9%), GLO reported that the DFC board had approved a debt facility of up to US$414.2 million, and that "Entry into the DFC Facility and any disbursement thereunder is subject to several material conditions", including an export route, extension of the mining convention and permit, repayment assurances and a direct agreement with Niger.</w:t>
      </w:r>
      <w:r>
        <w:rPr>
          <w:rStyle w:val="FootnoteReference"/>
        </w:rPr>
        <w:footnoteReference w:id="126"/>
      </w:r>
    </w:p>
    <w:p>
      <w:pPr>
        <w:pStyle w:val="BodyText"/>
      </w:pPr>
      <w:r>
        <w:rPr>
          <w:bCs/>
          <w:b/>
        </w:rPr>
        <w:t xml:space="preserve">PART B. ISSUES</w:t>
      </w:r>
    </w:p>
    <w:p>
      <w:pPr>
        <w:pStyle w:val="BodyText"/>
      </w:pPr>
      <w:r>
        <w:t xml:space="preserve">Did GLO release statements that negligently omitted material facts about the status, timing and pre-conditions of the DFC loan for Dasa in breach of common law and the Ontario Securities Act ("OSA"):</w:t>
      </w:r>
    </w:p>
    <w:p>
      <w:pPr>
        <w:numPr>
          <w:ilvl w:val="0"/>
          <w:numId w:val="1005"/>
        </w:numPr>
      </w:pPr>
      <w:r>
        <w:t xml:space="preserve">that the DFC had not scheduled, and did not hold, the credit committee and board approvals on the dates GLO reported, and why; and</w:t>
      </w:r>
    </w:p>
    <w:p>
      <w:pPr>
        <w:numPr>
          <w:ilvl w:val="0"/>
          <w:numId w:val="1005"/>
        </w:numPr>
      </w:pPr>
      <w:r>
        <w:t xml:space="preserve">that the DFC's questions and pause concerned matters, including the relationship between Niger and the United States, that GLO described as answered and as in their final stages?</w:t>
      </w:r>
    </w:p>
    <w:p>
      <w:pPr>
        <w:pStyle w:val="FirstParagraph"/>
      </w:pPr>
      <w:r>
        <w:t xml:space="preserve">The affirmative defences will be that each date was attributed to the bank and carried cautionary language, that the July 16, 2024 postponement was disclosed promptly, that the coup designation and the U.S. withdrawal were Acts of State known to the market, that the 2024 election and the change of administration were new events, and that the DFC did approve the loan in September 2026.</w:t>
      </w:r>
      <w:r>
        <w:rPr>
          <w:rStyle w:val="FootnoteReference"/>
        </w:rPr>
        <w:footnoteReference w:id="127"/>
      </w:r>
      <w:r>
        <w:t xml:space="preserve"> </w:t>
      </w:r>
      <w:r>
        <w:t xml:space="preserve">GLO will also rely on the reasonable investigation defence and on Mask v. Silvercorp for forecast-type statements.</w:t>
      </w:r>
      <w:r>
        <w:rPr>
          <w:rStyle w:val="FootnoteReference"/>
        </w:rPr>
        <w:footnoteReference w:id="128"/>
      </w:r>
      <w:r>
        <w:t xml:space="preserve"> </w:t>
      </w:r>
      <w:r>
        <w:t xml:space="preserve">Framing the claim on GLO's own statements of present fact (the bank "confirmed", "final stages", "answered all geo-political concerns") and on the omission of the reasons for each missed date, rather than on the geopolitical events themselves, neutralizes the Act of State defence; the 2026 approval is subject to conditions and came twenty months after the final correction.</w:t>
      </w:r>
    </w:p>
    <w:p>
      <w:pPr>
        <w:pStyle w:val="BodyText"/>
      </w:pPr>
      <w:r>
        <w:rPr>
          <w:bCs/>
          <w:b/>
        </w:rPr>
        <w:t xml:space="preserve">PART C. RULES ~ LAW</w:t>
      </w:r>
    </w:p>
    <w:p>
      <w:pPr>
        <w:pStyle w:val="BodyText"/>
      </w:pPr>
      <w:r>
        <w:rPr>
          <w:bCs/>
          <w:b/>
        </w:rPr>
        <w:t xml:space="preserve">The Causes of Action</w:t>
      </w:r>
    </w:p>
    <w:p>
      <w:pPr>
        <w:pStyle w:val="BodyText"/>
      </w:pPr>
      <w:r>
        <w:t xml:space="preserve">The causes of action would be primary and secondary market negligent misrepresentations:</w:t>
      </w:r>
      <w:r>
        <w:rPr>
          <w:rStyle w:val="FootnoteReference"/>
        </w:rPr>
        <w:footnoteReference w:id="129"/>
      </w:r>
    </w:p>
    <w:p>
      <w:pPr>
        <w:numPr>
          <w:ilvl w:val="0"/>
          <w:numId w:val="1006"/>
        </w:numPr>
      </w:pPr>
      <w:r>
        <w:t xml:space="preserve">The Impugned Offerings for the primary market causes of action occurred on October 16, 2024 (the October 2024 Offering, with Red Cloud as underwriter).</w:t>
      </w:r>
    </w:p>
    <w:p>
      <w:pPr>
        <w:numPr>
          <w:ilvl w:val="0"/>
          <w:numId w:val="1006"/>
        </w:numPr>
      </w:pPr>
      <w:r>
        <w:t xml:space="preserve">The Class Period for the secondary market causes of action would be November 10, 2023 through January 23, 2025.</w:t>
      </w:r>
    </w:p>
    <w:p>
      <w:pPr>
        <w:pStyle w:val="FirstParagraph"/>
      </w:pPr>
      <w:r>
        <w:rPr>
          <w:bCs/>
          <w:b/>
        </w:rPr>
        <w:t xml:space="preserve">The Rules and Laws</w:t>
      </w:r>
    </w:p>
    <w:p>
      <w:pPr>
        <w:pStyle w:val="BodyText"/>
      </w:pPr>
      <w:r>
        <w:t xml:space="preserve">The relevant rules and laws are:</w:t>
      </w:r>
    </w:p>
    <w:p>
      <w:pPr>
        <w:numPr>
          <w:ilvl w:val="0"/>
          <w:numId w:val="1007"/>
        </w:numPr>
      </w:pPr>
      <w:r>
        <w:t xml:space="preserve">Common law. The common law misrepresentation cause of action for negligent misrepresentation are:</w:t>
      </w:r>
    </w:p>
    <w:p>
      <w:pPr>
        <w:numPr>
          <w:ilvl w:val="0"/>
          <w:numId w:val="1007"/>
        </w:numPr>
      </w:pPr>
      <w:r>
        <w:t xml:space="preserve">Duty of care based on a special relationship between the plaintiff and the defendant;</w:t>
      </w:r>
    </w:p>
    <w:p>
      <w:pPr>
        <w:numPr>
          <w:ilvl w:val="0"/>
          <w:numId w:val="1008"/>
        </w:numPr>
      </w:pPr>
      <w:r>
        <w:t xml:space="preserve">An untrue, inaccurate, or misleading representation;</w:t>
      </w:r>
    </w:p>
    <w:p>
      <w:pPr>
        <w:numPr>
          <w:ilvl w:val="0"/>
          <w:numId w:val="1008"/>
        </w:numPr>
      </w:pPr>
      <w:r>
        <w:t xml:space="preserve">The defendant making the representation negligently;</w:t>
      </w:r>
    </w:p>
    <w:p>
      <w:pPr>
        <w:numPr>
          <w:ilvl w:val="0"/>
          <w:numId w:val="1008"/>
        </w:numPr>
      </w:pPr>
      <w:r>
        <w:t xml:space="preserve">The plaintiff having reasonably relied on the misrepresentation;</w:t>
      </w:r>
      <w:r>
        <w:rPr>
          <w:rStyle w:val="FootnoteReference"/>
        </w:rPr>
        <w:footnoteReference w:id="130"/>
      </w:r>
      <w:r>
        <w:t xml:space="preserve"> </w:t>
      </w:r>
      <w:r>
        <w:t xml:space="preserve">and,</w:t>
      </w:r>
    </w:p>
    <w:p>
      <w:pPr>
        <w:numPr>
          <w:ilvl w:val="0"/>
          <w:numId w:val="1008"/>
        </w:numPr>
      </w:pPr>
      <w:r>
        <w:t xml:space="preserve">The plaintiff suffered damages as a consequence of relying on the misrepresentation.</w:t>
      </w:r>
    </w:p>
    <w:p>
      <w:pPr>
        <w:numPr>
          <w:ilvl w:val="0"/>
          <w:numId w:val="1009"/>
        </w:numPr>
      </w:pPr>
      <w:r>
        <w:t xml:space="preserve">Securities Act, Part XXIII, s. 130 primary market; and</w:t>
      </w:r>
    </w:p>
    <w:p>
      <w:pPr>
        <w:numPr>
          <w:ilvl w:val="0"/>
          <w:numId w:val="1009"/>
        </w:numPr>
      </w:pPr>
      <w:r>
        <w:t xml:space="preserve">Securities Act, Part XXIII.1, s. 138.3 secondary market, if leave is granted, the constituent elements of the statutory cause of action are:</w:t>
      </w:r>
    </w:p>
    <w:p>
      <w:pPr>
        <w:numPr>
          <w:ilvl w:val="0"/>
          <w:numId w:val="1009"/>
        </w:numPr>
      </w:pPr>
      <w:r>
        <w:t xml:space="preserve">the making of a misrepresentation or the failure to disclose a material fact;</w:t>
      </w:r>
    </w:p>
    <w:p>
      <w:pPr>
        <w:numPr>
          <w:ilvl w:val="0"/>
          <w:numId w:val="1010"/>
        </w:numPr>
      </w:pPr>
      <w:r>
        <w:t xml:space="preserve">a public correction of the false information; and</w:t>
      </w:r>
    </w:p>
    <w:p>
      <w:pPr>
        <w:numPr>
          <w:ilvl w:val="0"/>
          <w:numId w:val="1010"/>
        </w:numPr>
      </w:pPr>
      <w:r>
        <w:t xml:space="preserve">the trading of a security between the time of the misrepresentation or the failure to disclose a material fact.</w:t>
      </w:r>
    </w:p>
    <w:p>
      <w:pPr>
        <w:pStyle w:val="FirstParagraph"/>
      </w:pPr>
      <w:r>
        <w:t xml:space="preserve">To plead the statutory causes of action, the plaintiff should: (1) identify the inculpatory statement or omission and when it was made or ought to have been made; (2) specify the falseness of the inculpatory statement; and (3) identify the public correction and when it was made.</w:t>
      </w:r>
    </w:p>
    <w:p>
      <w:pPr>
        <w:pStyle w:val="BodyText"/>
      </w:pPr>
      <w:r>
        <w:t xml:space="preserve">While reliance would not be a constituent element of the cause of action, there is a liability limit measured by 5% of the Company's market capitalization at the commencement of the release of the first or each of the Impugned Documents.</w:t>
      </w:r>
      <w:r>
        <w:rPr>
          <w:rStyle w:val="FootnoteReference"/>
        </w:rPr>
        <w:footnoteReference w:id="131"/>
      </w:r>
    </w:p>
    <w:p>
      <w:pPr>
        <w:pStyle w:val="BodyText"/>
      </w:pPr>
      <w:r>
        <w:rPr>
          <w:bCs/>
          <w:b/>
        </w:rPr>
        <w:t xml:space="preserve">PART D. ANALYSIS</w:t>
      </w:r>
    </w:p>
    <w:p>
      <w:pPr>
        <w:pStyle w:val="BodyText"/>
      </w:pPr>
      <w:r>
        <w:t xml:space="preserve">The core theme of the misrepresentations across all of the Impugned Documents is that GLO consistently omitted material facts about the status of its application before the DFC (e.g., that no credit committee date had been fixed, why each date was missed, and what questions remained, the same theme as Li-Cycle):</w:t>
      </w:r>
    </w:p>
    <w:p>
      <w:pPr>
        <w:numPr>
          <w:ilvl w:val="0"/>
          <w:numId w:val="1011"/>
        </w:numPr>
      </w:pPr>
      <w:r>
        <w:t xml:space="preserve">First, from November 10, 2023 to November 12, 2024, GLO gave the market a credit committee date or a board date in every quarter, and moved it every quarter: January and March 2024, then April and June 2024, then Q2 2024, then mid-July and September 2024, then October 2024, then Q3 and Q4 2024 in two documents released the same day, then early Q1 2025.</w:t>
      </w:r>
      <w:r>
        <w:rPr>
          <w:rStyle w:val="FootnoteReference"/>
        </w:rPr>
        <w:footnoteReference w:id="132"/>
      </w:r>
      <w:r>
        <w:t xml:space="preserve"> </w:t>
      </w:r>
      <w:r>
        <w:t xml:space="preserve">None of those approvals occurred, the DFC board did not consider Dasa at any 2024 meeting, and the credit committee first reviewed the loan in about December 2025.</w:t>
      </w:r>
      <w:r>
        <w:rPr>
          <w:rStyle w:val="FootnoteReference"/>
        </w:rPr>
        <w:footnoteReference w:id="133"/>
      </w:r>
      <w:r>
        <w:t xml:space="preserve"> </w:t>
      </w:r>
      <w:r>
        <w:t xml:space="preserve">Only once, on July 16, 2024, did GLO give a reason ("additional questions"), and it never said what the questions were. It is my submission that the reasons for each delay and the status of the application were material facts. If they are material facts GLO had an obligation to disclose them so investors could make informed decisions about their investment in GLO.</w:t>
      </w:r>
    </w:p>
    <w:p>
      <w:pPr>
        <w:numPr>
          <w:ilvl w:val="0"/>
          <w:numId w:val="1011"/>
        </w:numPr>
      </w:pPr>
      <w:r>
        <w:t xml:space="preserve">Second, after the July 2024 postponement GLO did not retreat to forecasts; it escalated to statements of present fact. On October 29, 2024 the bank had "confirmed" its intention to approve; on November 12, 2024 Dasa was "in the final stages of obtaining approval" and GLO had "answered all geo-political concerns raised by the bank".</w:t>
      </w:r>
      <w:r>
        <w:rPr>
          <w:rStyle w:val="FootnoteReference"/>
        </w:rPr>
        <w:footnoteReference w:id="134"/>
      </w:r>
      <w:r>
        <w:t xml:space="preserve"> </w:t>
      </w:r>
      <w:r>
        <w:t xml:space="preserve">On March 27, 2025, GLO disclosed that the bank's process had paused "before and after" the November 5, 2024 election, which places the pause over those same statements; on December 17, 2024 GLO had attributed the delay to the "recent" election only after the fact.</w:t>
      </w:r>
      <w:r>
        <w:rPr>
          <w:rStyle w:val="FootnoteReference"/>
        </w:rPr>
        <w:footnoteReference w:id="135"/>
      </w:r>
      <w:r>
        <w:t xml:space="preserve"> </w:t>
      </w:r>
      <w:r>
        <w:t xml:space="preserve">It is my submission that the pause, and the questions that remained before the bank, were material facts. If they are material facts GLO had an obligation to disclose them so investors could make informed decisions about their investment in GLO.</w:t>
      </w:r>
    </w:p>
    <w:p>
      <w:pPr>
        <w:numPr>
          <w:ilvl w:val="0"/>
          <w:numId w:val="1011"/>
        </w:numPr>
      </w:pPr>
      <w:r>
        <w:t xml:space="preserve">Third, GLO continued to report U.S. Government support while the relationship between Niger and the United States broke down: the coup designation of October 2023, the termination of military cooperation in March 2024 after U.S. officials raised concerns about uranium, and the agreed withdrawal of U.S. forces by September 15, 2024.</w:t>
      </w:r>
      <w:r>
        <w:rPr>
          <w:rStyle w:val="FootnoteReference"/>
        </w:rPr>
        <w:footnoteReference w:id="136"/>
      </w:r>
      <w:r>
        <w:t xml:space="preserve"> </w:t>
      </w:r>
      <w:r>
        <w:t xml:space="preserve">The 2026 approval was made subject to conditions on an export route, the mining convention, repayment assurances and a direct agreement with Niger.</w:t>
      </w:r>
      <w:r>
        <w:rPr>
          <w:rStyle w:val="FootnoteReference"/>
        </w:rPr>
        <w:footnoteReference w:id="137"/>
      </w:r>
      <w:r>
        <w:t xml:space="preserve"> </w:t>
      </w:r>
      <w:r>
        <w:t xml:space="preserve">It is my submission that the effect of these events on the loan was a material fact. If it is a material fact GLO had an obligation to disclose it so investors could make informed decisions about their investment in GLO.</w:t>
      </w:r>
    </w:p>
    <w:p>
      <w:pPr>
        <w:pStyle w:val="FirstParagraph"/>
      </w:pPr>
      <w:r>
        <w:t xml:space="preserve">The Class Period starts on November 10, 2023, the first document reporting that the banks were authorized to "finalize funding arrangements" and the first dated schedule; an alternative start is March 27, 2024, the 2023 MD&amp;A, the first core document with dated credit committee and board months.</w:t>
      </w:r>
      <w:r>
        <w:rPr>
          <w:rStyle w:val="FootnoteReference"/>
        </w:rPr>
        <w:footnoteReference w:id="138"/>
      </w:r>
      <w:r>
        <w:t xml:space="preserve"> </w:t>
      </w:r>
      <w:r>
        <w:t xml:space="preserve">It is my submission that referring documents beyond the quarter MD&amp;A and prospectus/offering memoranda are unnecessary and only create additional work at the s. 138.3 OSA submission/hearing (e.g., the "Impugned Documents"). The October 29 and December 17, 2024 news releases are pleaded as part of the total mix of information.</w:t>
      </w:r>
    </w:p>
    <w:p>
      <w:pPr>
        <w:pStyle w:val="BodyText"/>
      </w:pPr>
      <w:r>
        <w:t xml:space="preserve">For each Impugned Document, the allegation would be:</w:t>
      </w:r>
    </w:p>
    <w:p>
      <w:pPr>
        <w:pStyle w:val="BodyText"/>
      </w:pPr>
      <w:r>
        <w:t xml:space="preserve">This statement contained a misrepresentation because it omitted the material facts of:</w:t>
      </w:r>
    </w:p>
    <w:p>
      <w:pPr>
        <w:numPr>
          <w:ilvl w:val="0"/>
          <w:numId w:val="1012"/>
        </w:numPr>
      </w:pPr>
      <w:r>
        <w:t xml:space="preserve">the status of GLO's application before the DFC, including that no credit committee or board date had been fixed by the DFC on the dates reported;</w:t>
      </w:r>
    </w:p>
    <w:p>
      <w:pPr>
        <w:numPr>
          <w:ilvl w:val="0"/>
          <w:numId w:val="1012"/>
        </w:numPr>
      </w:pPr>
      <w:r>
        <w:t xml:space="preserve">the reasons each reported date was missed, including the questions the DFC required GLO to answer and the pause in the DFC's process before and after the 2024 U.S. presidential election; and</w:t>
      </w:r>
    </w:p>
    <w:p>
      <w:pPr>
        <w:numPr>
          <w:ilvl w:val="0"/>
          <w:numId w:val="1012"/>
        </w:numPr>
      </w:pPr>
      <w:r>
        <w:t xml:space="preserve">the effect of the breakdown in relations between Niger and the United States on the DFC loan, and the pre-conditions of the DFC's approval.</w:t>
      </w:r>
    </w:p>
    <w:p>
      <w:pPr>
        <w:pStyle w:val="FirstParagraph"/>
      </w:pPr>
      <w:r>
        <w:t xml:space="preserve">For each of the Public Corrective Statements, the allegation to link the statements to the Impugned Documents would be:</w:t>
      </w:r>
    </w:p>
    <w:p>
      <w:pPr>
        <w:numPr>
          <w:ilvl w:val="0"/>
          <w:numId w:val="1013"/>
        </w:numPr>
      </w:pPr>
      <w:r>
        <w:t xml:space="preserve">On July 16, 2024, $2.02 down to $1.67 (down 17.3%) on the next session, GLO reported that the bank decided not to bring Dasa to its July credit committee, citing a need to answer and confirm additional questions.</w:t>
      </w:r>
      <w:r>
        <w:rPr>
          <w:rStyle w:val="FootnoteReference"/>
        </w:rPr>
        <w:footnoteReference w:id="139"/>
      </w:r>
    </w:p>
    <w:p>
      <w:pPr>
        <w:numPr>
          <w:ilvl w:val="0"/>
          <w:numId w:val="1013"/>
        </w:numPr>
      </w:pPr>
      <w:r>
        <w:t xml:space="preserve">The importance of the July 16, 2024 disclosure is that it was the first time GLO told the market that a reported date was missed because of the bank's unanswered questions, against the June 17, 2024 report that final documentation was being completed for a scheduled credit committee.</w:t>
      </w:r>
    </w:p>
    <w:p>
      <w:pPr>
        <w:numPr>
          <w:ilvl w:val="0"/>
          <w:numId w:val="1013"/>
        </w:numPr>
      </w:pPr>
      <w:r>
        <w:t xml:space="preserve">On January 23, 2025, $0.94 down to $0.64 (down 31.9%) on the next session, GLO reported that the major component of Dasa's funding would come as "either a bank financing or a joint venture agreement", together with a discounted, fully warranted placement.</w:t>
      </w:r>
      <w:r>
        <w:rPr>
          <w:rStyle w:val="FootnoteReference"/>
        </w:rPr>
        <w:footnoteReference w:id="140"/>
      </w:r>
    </w:p>
    <w:p>
      <w:pPr>
        <w:numPr>
          <w:ilvl w:val="0"/>
          <w:numId w:val="1013"/>
        </w:numPr>
      </w:pPr>
      <w:r>
        <w:t xml:space="preserve">The importance of the January 23, 2025 disclosure is that the DFC loan, which GLO had reported as confirmed and in its final stages with approval by early Q1 2025, was now one of two alternatives three weeks into that quarter. The market's reaction was harsh and immediate: the abnormal return was −31.3% with no recovery over the ten-day look-back.</w:t>
      </w:r>
      <w:r>
        <w:rPr>
          <w:rStyle w:val="FootnoteReference"/>
        </w:rPr>
        <w:footnoteReference w:id="141"/>
      </w:r>
    </w:p>
    <w:p>
      <w:pPr>
        <w:pStyle w:val="FirstParagraph"/>
      </w:pPr>
      <w:r>
        <w:rPr>
          <w:bCs/>
          <w:b/>
        </w:rPr>
        <w:t xml:space="preserve">PART E. CONCLUSION</w:t>
      </w:r>
    </w:p>
    <w:p>
      <w:pPr>
        <w:pStyle w:val="BodyText"/>
      </w:pPr>
      <w:r>
        <w:t xml:space="preserve">At the commencement of the Class Period GLO had 202,253,352 common shares outstanding.</w:t>
      </w:r>
      <w:r>
        <w:rPr>
          <w:rStyle w:val="FootnoteReference"/>
        </w:rPr>
        <w:footnoteReference w:id="142"/>
      </w:r>
      <w:r>
        <w:t xml:space="preserve"> </w:t>
      </w:r>
      <w:r>
        <w:t xml:space="preserve">GLO's market capitalization was $407.3 million, using the average closing price of $2.014 over the ten trading days before November 10, 2023.</w:t>
      </w:r>
      <w:r>
        <w:rPr>
          <w:rStyle w:val="FootnoteReference"/>
        </w:rPr>
        <w:footnoteReference w:id="144"/>
      </w:r>
    </w:p>
    <w:p>
      <w:pPr>
        <w:pStyle w:val="BodyText"/>
      </w:pPr>
      <w:r>
        <w:t xml:space="preserve">On July 17, 2024, GLO's share price closed at $1.67 from $2.02 (down 17.3%), on 2,044,704 share volume just on the TSX, alone. By July 30, 2024, the ten-day look-back, GLO's share price on the TSX was at $1.29, for a maximum of $0.73 per share for any investor that purchased shares during the Class Period and held them beyond the tenth-trading day.</w:t>
      </w:r>
      <w:r>
        <w:rPr>
          <w:rStyle w:val="FootnoteReference"/>
        </w:rPr>
        <w:footnoteReference w:id="145"/>
      </w:r>
    </w:p>
    <w:p>
      <w:pPr>
        <w:pStyle w:val="BodyText"/>
      </w:pPr>
      <w:r>
        <w:t xml:space="preserve">On January 24, 2025, GLO's share price closed at $0.64 from $0.94 (down 31.9%), on 14,400,673 share volume just on the TSX, alone. By February 6, 2025, the ten-day look-back, GLO's share price on the TSX was at $0.53, for a maximum of $0.41 per share for any investor that purchased shares during the Class Period and held them beyond the tenth-trading day.</w:t>
      </w:r>
      <w:r>
        <w:rPr>
          <w:rStyle w:val="FootnoteReference"/>
        </w:rPr>
        <w:footnoteReference w:id="146"/>
      </w:r>
    </w:p>
    <w:p>
      <w:pPr>
        <w:pStyle w:val="BodyText"/>
      </w:pPr>
      <w:r>
        <w:t xml:space="preserve">During the Class Period 260,208,469 GLO shares traded on the TSX, about 73% of the volume across the TSX, OTCQX and Frankfurt. Rough common law damages are about $92.0 million (range $30.9 million to $115.0 million) on the TSX alone, and the statutory claim would be limited by the 5% cap to $20.4 million. The primary market claim on the October 2024 Offering is about $20.2 million ($1.20 less the $0.597 ten-day look-back average, on 33,542,050 units). The s. 138.14 limitation for the first Impugned Document runs on November 10, 2026; the notice of motion for leave should be served with the claim.</w:t>
      </w:r>
      <w:r>
        <w:rPr>
          <w:rStyle w:val="FootnoteReference"/>
        </w:rPr>
        <w:footnoteReference w:id="147"/>
      </w:r>
    </w:p>
    <w:p>
      <w:pPr>
        <w:pStyle w:val="BodyText"/>
      </w:pPr>
      <w:r>
        <w:t xml:space="preserve">I believe that the facts and quantum of damages justify an investor to lodge a claim against GLO and Roman, Chairman, President and CEO, and Lehari, Chief Financial Officer, who certified each of the Impugned Documents.</w:t>
      </w:r>
      <w:r>
        <w:rPr>
          <w:rStyle w:val="FootnoteReference"/>
        </w:rPr>
        <w:footnoteReference w:id="148"/>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F/2024 AIF (March 27, 2025), at page 5, Corporate Structure – Incorporation,</w:t>
      </w:r>
      <w:r>
        <w:t xml:space="preserve"> </w:t>
      </w:r>
      <w:hyperlink r:id="rId21">
        <w:r>
          <w:rPr>
            <w:rStyle w:val="Hyperlink"/>
          </w:rPr>
          <w:t xml:space="preserve">AIF</w:t>
        </w:r>
      </w:hyperlink>
      <w:r>
        <w:t xml:space="preserve">; identifiers per Bigdata.com security master.</w:t>
      </w:r>
    </w:p>
  </w:footnote>
  <w:footnote w:id="22">
    <w:p>
      <w:pPr>
        <w:pStyle w:val="FootnoteText"/>
      </w:pPr>
      <w:r>
        <w:rPr>
          <w:rStyle w:val="FootnoteReference"/>
        </w:rPr>
        <w:footnoteRef/>
      </w:r>
      <w:r>
        <w:t xml:space="preserve"> </w:t>
      </w:r>
      <w:r>
        <w:t xml:space="preserve">Notice to readers of the Dasa Project ESIA (February 24, 2023), at paragraph 1,</w:t>
      </w:r>
      <w:r>
        <w:t xml:space="preserve"> </w:t>
      </w:r>
      <w:hyperlink r:id="rId23">
        <w:r>
          <w:rPr>
            <w:rStyle w:val="Hyperlink"/>
          </w:rPr>
          <w:t xml:space="preserve">Cover Letter</w:t>
        </w:r>
      </w:hyperlink>
      <w:r>
        <w:t xml:space="preserve">.</w:t>
      </w:r>
    </w:p>
  </w:footnote>
  <w:footnote w:id="24">
    <w:p>
      <w:pPr>
        <w:pStyle w:val="FootnoteText"/>
      </w:pPr>
      <w:r>
        <w:rPr>
          <w:rStyle w:val="FootnoteReference"/>
        </w:rPr>
        <w:footnoteRef/>
      </w:r>
      <w:r>
        <w:t xml:space="preserve"> </w:t>
      </w:r>
      <w:r>
        <w:t xml:space="preserve">News Release, Global Atomic Announces Dasa Uranium Project Financing Update (September 16, 2026), at page 1,</w:t>
      </w:r>
      <w:r>
        <w:t xml:space="preserve"> </w:t>
      </w:r>
      <w:hyperlink r:id="rId25">
        <w:r>
          <w:rPr>
            <w:rStyle w:val="Hyperlink"/>
          </w:rPr>
          <w:t xml:space="preserve">News Release</w:t>
        </w:r>
      </w:hyperlink>
      <w:r>
        <w:t xml:space="preserve">; DFC, Board of Directors Meeting Notification (Supplement) (September 22, 2026), at pages 1–2,</w:t>
      </w:r>
      <w:r>
        <w:t xml:space="preserve"> </w:t>
      </w:r>
      <w:hyperlink r:id="rId26">
        <w:r>
          <w:rPr>
            <w:rStyle w:val="Hyperlink"/>
          </w:rPr>
          <w:t xml:space="preserve">DFC Notice</w:t>
        </w:r>
      </w:hyperlink>
      <w:r>
        <w:t xml:space="preserve">. GLO never named the DFC during the Class Period.</w:t>
      </w:r>
    </w:p>
  </w:footnote>
  <w:footnote w:id="27">
    <w:p>
      <w:pPr>
        <w:pStyle w:val="FootnoteText"/>
      </w:pPr>
      <w:r>
        <w:rPr>
          <w:rStyle w:val="FootnoteReference"/>
        </w:rPr>
        <w:footnoteRef/>
      </w:r>
      <w:r>
        <w:t xml:space="preserve"> </w:t>
      </w:r>
      <w:r>
        <w:t xml:space="preserve">F/2024 AIF (March 27, 2025), at pages 55–56, Directors and Officers.</w:t>
      </w:r>
    </w:p>
  </w:footnote>
  <w:footnote w:id="28">
    <w:p>
      <w:pPr>
        <w:pStyle w:val="FootnoteText"/>
      </w:pPr>
      <w:r>
        <w:rPr>
          <w:rStyle w:val="FootnoteReference"/>
        </w:rPr>
        <w:footnoteRef/>
      </w:r>
      <w:r>
        <w:t xml:space="preserve"> </w:t>
      </w:r>
      <w:r>
        <w:t xml:space="preserve">F/2024 AIF (March 27, 2025), at pages 55–56, Directors and Officers.</w:t>
      </w:r>
    </w:p>
  </w:footnote>
  <w:footnote w:id="29">
    <w:p>
      <w:pPr>
        <w:pStyle w:val="FootnoteText"/>
      </w:pPr>
      <w:r>
        <w:rPr>
          <w:rStyle w:val="FootnoteReference"/>
        </w:rPr>
        <w:footnoteRef/>
      </w:r>
      <w:r>
        <w:t xml:space="preserve"> </w:t>
      </w:r>
      <w:r>
        <w:t xml:space="preserve">News Release, Global Atomic Announces Proposed Public Offering of Units (October 7, 2024), at page 1,</w:t>
      </w:r>
      <w:r>
        <w:t xml:space="preserve"> </w:t>
      </w:r>
      <w:hyperlink r:id="rId30">
        <w:r>
          <w:rPr>
            <w:rStyle w:val="Hyperlink"/>
          </w:rPr>
          <w:t xml:space="preserve">News Release</w:t>
        </w:r>
      </w:hyperlink>
      <w:r>
        <w:t xml:space="preserve">.</w:t>
      </w:r>
    </w:p>
  </w:footnote>
  <w:footnote w:id="31">
    <w:p>
      <w:pPr>
        <w:pStyle w:val="FootnoteText"/>
      </w:pPr>
      <w:r>
        <w:rPr>
          <w:rStyle w:val="FootnoteReference"/>
        </w:rPr>
        <w:footnoteRef/>
      </w:r>
      <w:r>
        <w:t xml:space="preserve"> </w:t>
      </w:r>
      <w:r>
        <w:t xml:space="preserve">F/2024 AIF (March 27, 2025), General Development of the Business – Overview.</w:t>
      </w:r>
    </w:p>
  </w:footnote>
  <w:footnote w:id="32">
    <w:p>
      <w:pPr>
        <w:pStyle w:val="FootnoteText"/>
      </w:pPr>
      <w:r>
        <w:rPr>
          <w:rStyle w:val="FootnoteReference"/>
        </w:rPr>
        <w:footnoteRef/>
      </w:r>
      <w:r>
        <w:t xml:space="preserve"> </w:t>
      </w:r>
      <w:r>
        <w:t xml:space="preserve">News Release, Global Atomic Updates its Dasa Project Feasibility Study and Announces Off-Take Agreement (March 5, 2024), Project Financing Update,</w:t>
      </w:r>
      <w:r>
        <w:t xml:space="preserve"> </w:t>
      </w:r>
      <w:hyperlink r:id="rId33">
        <w:r>
          <w:rPr>
            <w:rStyle w:val="Hyperlink"/>
          </w:rPr>
          <w:t xml:space="preserve">News Release</w:t>
        </w:r>
      </w:hyperlink>
      <w:r>
        <w:t xml:space="preserve">.</w:t>
      </w:r>
    </w:p>
  </w:footnote>
  <w:footnote w:id="34">
    <w:p>
      <w:pPr>
        <w:pStyle w:val="FootnoteText"/>
      </w:pPr>
      <w:r>
        <w:rPr>
          <w:rStyle w:val="FootnoteReference"/>
        </w:rPr>
        <w:footnoteRef/>
      </w:r>
      <w:r>
        <w:t xml:space="preserve"> </w:t>
      </w:r>
      <w:r>
        <w:t xml:space="preserve">News Release, Global Atomic Provides Update on the Dasa Project – U.S. Development Bank Confirms Schedule for Dasa Funding Approval (October 29, 2024), Project Financing,</w:t>
      </w:r>
      <w:r>
        <w:t xml:space="preserve"> </w:t>
      </w:r>
      <w:hyperlink r:id="rId35">
        <w:r>
          <w:rPr>
            <w:rStyle w:val="Hyperlink"/>
          </w:rPr>
          <w:t xml:space="preserve">News Release</w:t>
        </w:r>
      </w:hyperlink>
      <w:r>
        <w:t xml:space="preserve">.</w:t>
      </w:r>
    </w:p>
  </w:footnote>
  <w:footnote w:id="36">
    <w:p>
      <w:pPr>
        <w:pStyle w:val="FootnoteText"/>
      </w:pPr>
      <w:r>
        <w:rPr>
          <w:rStyle w:val="FootnoteReference"/>
        </w:rPr>
        <w:footnoteRef/>
      </w:r>
      <w:r>
        <w:t xml:space="preserve"> </w:t>
      </w:r>
      <w:r>
        <w:t xml:space="preserve">News Release, Global Atomic Announces Q3 2024 Results (November 12, 2024), CEO quotation,</w:t>
      </w:r>
      <w:r>
        <w:t xml:space="preserve"> </w:t>
      </w:r>
      <w:hyperlink r:id="rId37">
        <w:r>
          <w:rPr>
            <w:rStyle w:val="Hyperlink"/>
          </w:rPr>
          <w:t xml:space="preserve">News Release</w:t>
        </w:r>
      </w:hyperlink>
      <w:r>
        <w:t xml:space="preserve">.</w:t>
      </w:r>
    </w:p>
  </w:footnote>
  <w:footnote w:id="38">
    <w:p>
      <w:pPr>
        <w:pStyle w:val="FootnoteText"/>
      </w:pPr>
      <w:r>
        <w:rPr>
          <w:rStyle w:val="FootnoteReference"/>
        </w:rPr>
        <w:footnoteRef/>
      </w:r>
      <w:r>
        <w:t xml:space="preserve"> </w:t>
      </w:r>
      <w:r>
        <w:t xml:space="preserve">News Release, Global Atomic Announces Q2 2025 Results (August 12, 2025), Outlook,</w:t>
      </w:r>
      <w:r>
        <w:t xml:space="preserve"> </w:t>
      </w:r>
      <w:hyperlink r:id="rId39">
        <w:r>
          <w:rPr>
            <w:rStyle w:val="Hyperlink"/>
          </w:rPr>
          <w:t xml:space="preserve">News Release</w:t>
        </w:r>
      </w:hyperlink>
      <w:r>
        <w:t xml:space="preserve">. Disclosed only after the Class Period.</w:t>
      </w:r>
    </w:p>
  </w:footnote>
  <w:footnote w:id="40">
    <w:p>
      <w:pPr>
        <w:pStyle w:val="FootnoteText"/>
      </w:pPr>
      <w:r>
        <w:rPr>
          <w:rStyle w:val="FootnoteReference"/>
        </w:rPr>
        <w:footnoteRef/>
      </w:r>
      <w:r>
        <w:t xml:space="preserve"> </w:t>
      </w:r>
      <w:r>
        <w:t xml:space="preserve">Notice to readers of the Dasa Project ESIA (February 24, 2023), at page 1. A FOIA Request topic, i.e., the DFC's Dasa (SOMIDA) application file, 2022–2025.</w:t>
      </w:r>
    </w:p>
  </w:footnote>
  <w:footnote w:id="41">
    <w:p>
      <w:pPr>
        <w:pStyle w:val="FootnoteText"/>
      </w:pPr>
      <w:r>
        <w:rPr>
          <w:rStyle w:val="FootnoteReference"/>
        </w:rPr>
        <w:footnoteRef/>
      </w:r>
      <w:r>
        <w:t xml:space="preserve"> </w:t>
      </w:r>
      <w:r>
        <w:t xml:space="preserve">News Release, Global Atomic Provides Update on Dasa Project Financing and Recent Visit to Niger (December 11, 2025), at page 1,</w:t>
      </w:r>
      <w:r>
        <w:t xml:space="preserve"> </w:t>
      </w:r>
      <w:hyperlink r:id="rId42">
        <w:r>
          <w:rPr>
            <w:rStyle w:val="Hyperlink"/>
          </w:rPr>
          <w:t xml:space="preserve">News Release</w:t>
        </w:r>
      </w:hyperlink>
      <w:r>
        <w:t xml:space="preserve">; DFC, Summary of the September 5, 2024, DFC Board of Directors Meeting, at page 1,</w:t>
      </w:r>
      <w:r>
        <w:t xml:space="preserve"> </w:t>
      </w:r>
      <w:hyperlink r:id="rId43">
        <w:r>
          <w:rPr>
            <w:rStyle w:val="Hyperlink"/>
          </w:rPr>
          <w:t xml:space="preserve">DFC Summary</w:t>
        </w:r>
      </w:hyperlink>
      <w:r>
        <w:t xml:space="preserve">.</w:t>
      </w:r>
    </w:p>
  </w:footnote>
  <w:footnote w:id="44">
    <w:p>
      <w:pPr>
        <w:pStyle w:val="FootnoteText"/>
      </w:pPr>
      <w:r>
        <w:rPr>
          <w:rStyle w:val="FootnoteReference"/>
        </w:rPr>
        <w:footnoteRef/>
      </w:r>
      <w:r>
        <w:t xml:space="preserve"> </w:t>
      </w:r>
      <w:r>
        <w:t xml:space="preserve">News Release, Global Atomic Announces Q3 2023 Results, Provides Corporate Update and Re-engagement by Development Banks (November 10, 2023), at page 2, Dasa – Financing,</w:t>
      </w:r>
      <w:r>
        <w:t xml:space="preserve"> </w:t>
      </w:r>
      <w:hyperlink r:id="rId45">
        <w:r>
          <w:rPr>
            <w:rStyle w:val="Hyperlink"/>
          </w:rPr>
          <w:t xml:space="preserve">News Release</w:t>
        </w:r>
      </w:hyperlink>
      <w:r>
        <w:t xml:space="preserve">.</w:t>
      </w:r>
    </w:p>
  </w:footnote>
  <w:footnote w:id="46">
    <w:p>
      <w:pPr>
        <w:pStyle w:val="FootnoteText"/>
      </w:pPr>
      <w:r>
        <w:rPr>
          <w:rStyle w:val="FootnoteReference"/>
        </w:rPr>
        <w:footnoteRef/>
      </w:r>
      <w:r>
        <w:t xml:space="preserve"> </w:t>
      </w:r>
      <w:r>
        <w:t xml:space="preserve">2023 MD&amp;A (March 27, 2024), at page 3, Highlights – Dasa Uranium Project Financing,</w:t>
      </w:r>
      <w:r>
        <w:t xml:space="preserve"> </w:t>
      </w:r>
      <w:hyperlink r:id="rId47">
        <w:r>
          <w:rPr>
            <w:rStyle w:val="Hyperlink"/>
          </w:rPr>
          <w:t xml:space="preserve">MD&amp;A</w:t>
        </w:r>
      </w:hyperlink>
      <w:r>
        <w:t xml:space="preserve">.</w:t>
      </w:r>
    </w:p>
  </w:footnote>
  <w:footnote w:id="48">
    <w:p>
      <w:pPr>
        <w:pStyle w:val="FootnoteText"/>
      </w:pPr>
      <w:r>
        <w:rPr>
          <w:rStyle w:val="FootnoteReference"/>
        </w:rPr>
        <w:footnoteRef/>
      </w:r>
      <w:r>
        <w:t xml:space="preserve"> </w:t>
      </w:r>
      <w:r>
        <w:t xml:space="preserve">News Release, Global Atomic Announces Q1 2024 Results (May 13, 2024), CEO quotation,</w:t>
      </w:r>
      <w:r>
        <w:t xml:space="preserve"> </w:t>
      </w:r>
      <w:hyperlink r:id="rId49">
        <w:r>
          <w:rPr>
            <w:rStyle w:val="Hyperlink"/>
          </w:rPr>
          <w:t xml:space="preserve">News Release</w:t>
        </w:r>
      </w:hyperlink>
      <w:r>
        <w:t xml:space="preserve">; Q1 2024 MD&amp;A (May 13, 2024), under Project Financing,</w:t>
      </w:r>
      <w:r>
        <w:t xml:space="preserve"> </w:t>
      </w:r>
      <w:hyperlink r:id="rId50">
        <w:r>
          <w:rPr>
            <w:rStyle w:val="Hyperlink"/>
          </w:rPr>
          <w:t xml:space="preserve">MD&amp;A</w:t>
        </w:r>
      </w:hyperlink>
      <w:r>
        <w:t xml:space="preserve">.</w:t>
      </w:r>
    </w:p>
  </w:footnote>
  <w:footnote w:id="51">
    <w:p>
      <w:pPr>
        <w:pStyle w:val="FootnoteText"/>
      </w:pPr>
      <w:r>
        <w:rPr>
          <w:rStyle w:val="FootnoteReference"/>
        </w:rPr>
        <w:footnoteRef/>
      </w:r>
      <w:r>
        <w:t xml:space="preserve"> </w:t>
      </w:r>
      <w:r>
        <w:t xml:space="preserve">News Release, Global Atomic Continues to Advance the Dasa Project, Including Progressing Financing Options and Positive Engagement with Niger's Mines Minister (June 17, 2024), Dasa Uranium Project – Debt Financing,</w:t>
      </w:r>
      <w:r>
        <w:t xml:space="preserve"> </w:t>
      </w:r>
      <w:hyperlink r:id="rId52">
        <w:r>
          <w:rPr>
            <w:rStyle w:val="Hyperlink"/>
          </w:rPr>
          <w:t xml:space="preserve">News Release</w:t>
        </w:r>
      </w:hyperlink>
      <w:r>
        <w:t xml:space="preserve">.</w:t>
      </w:r>
    </w:p>
  </w:footnote>
  <w:footnote w:id="53">
    <w:p>
      <w:pPr>
        <w:pStyle w:val="FootnoteText"/>
      </w:pPr>
      <w:r>
        <w:rPr>
          <w:rStyle w:val="FootnoteReference"/>
        </w:rPr>
        <w:footnoteRef/>
      </w:r>
      <w:r>
        <w:t xml:space="preserve"> </w:t>
      </w:r>
      <w:r>
        <w:t xml:space="preserve">Q2 2024 MD&amp;A (August 12, 2024), at page 13, Project Financing,</w:t>
      </w:r>
      <w:r>
        <w:t xml:space="preserve"> </w:t>
      </w:r>
      <w:hyperlink r:id="rId54">
        <w:r>
          <w:rPr>
            <w:rStyle w:val="Hyperlink"/>
          </w:rPr>
          <w:t xml:space="preserve">MD&amp;A</w:t>
        </w:r>
      </w:hyperlink>
      <w:r>
        <w:t xml:space="preserve">.</w:t>
      </w:r>
    </w:p>
  </w:footnote>
  <w:footnote w:id="55">
    <w:p>
      <w:pPr>
        <w:pStyle w:val="FootnoteText"/>
      </w:pPr>
      <w:r>
        <w:rPr>
          <w:rStyle w:val="FootnoteReference"/>
        </w:rPr>
        <w:footnoteRef/>
      </w:r>
      <w:r>
        <w:t xml:space="preserve"> </w:t>
      </w:r>
      <w:r>
        <w:t xml:space="preserve">News Release (October 29, 2024), Project Financing; Q3 2024 MD&amp;A (November 12, 2024), at page 14, Project Financing,</w:t>
      </w:r>
      <w:r>
        <w:t xml:space="preserve"> </w:t>
      </w:r>
      <w:hyperlink r:id="rId56">
        <w:r>
          <w:rPr>
            <w:rStyle w:val="Hyperlink"/>
          </w:rPr>
          <w:t xml:space="preserve">MD&amp;A</w:t>
        </w:r>
      </w:hyperlink>
      <w:r>
        <w:t xml:space="preserve">.</w:t>
      </w:r>
    </w:p>
  </w:footnote>
  <w:footnote w:id="57">
    <w:p>
      <w:pPr>
        <w:pStyle w:val="FootnoteText"/>
      </w:pPr>
      <w:r>
        <w:rPr>
          <w:rStyle w:val="FootnoteReference"/>
        </w:rPr>
        <w:footnoteRef/>
      </w:r>
      <w:r>
        <w:t xml:space="preserve"> </w:t>
      </w:r>
      <w:r>
        <w:t xml:space="preserve">News Release (November 10, 2023), at page 2.</w:t>
      </w:r>
    </w:p>
  </w:footnote>
  <w:footnote w:id="58">
    <w:p>
      <w:pPr>
        <w:pStyle w:val="FootnoteText"/>
      </w:pPr>
      <w:r>
        <w:rPr>
          <w:rStyle w:val="FootnoteReference"/>
        </w:rPr>
        <w:footnoteRef/>
      </w:r>
      <w:r>
        <w:t xml:space="preserve"> </w:t>
      </w:r>
      <w:r>
        <w:t xml:space="preserve">2023 MD&amp;A (March 27, 2024), at pages 3 and 32.</w:t>
      </w:r>
    </w:p>
  </w:footnote>
  <w:footnote w:id="59">
    <w:p>
      <w:pPr>
        <w:pStyle w:val="FootnoteText"/>
      </w:pPr>
      <w:r>
        <w:rPr>
          <w:rStyle w:val="FootnoteReference"/>
        </w:rPr>
        <w:footnoteRef/>
      </w:r>
      <w:r>
        <w:t xml:space="preserve"> </w:t>
      </w:r>
      <w:r>
        <w:t xml:space="preserve">News Release (May 13, 2024), CEO quotation; Q1 2024 MD&amp;A (May 13, 2024), under Project Financing.</w:t>
      </w:r>
    </w:p>
  </w:footnote>
  <w:footnote w:id="60">
    <w:p>
      <w:pPr>
        <w:pStyle w:val="FootnoteText"/>
      </w:pPr>
      <w:r>
        <w:rPr>
          <w:rStyle w:val="FootnoteReference"/>
        </w:rPr>
        <w:footnoteRef/>
      </w:r>
      <w:r>
        <w:t xml:space="preserve"> </w:t>
      </w:r>
      <w:r>
        <w:t xml:space="preserve">News Release (June 17, 2024), Dasa Uranium Project – Debt Financing.</w:t>
      </w:r>
    </w:p>
  </w:footnote>
  <w:footnote w:id="61">
    <w:p>
      <w:pPr>
        <w:pStyle w:val="FootnoteText"/>
      </w:pPr>
      <w:r>
        <w:rPr>
          <w:rStyle w:val="FootnoteReference"/>
        </w:rPr>
        <w:footnoteRef/>
      </w:r>
      <w:r>
        <w:t xml:space="preserve"> </w:t>
      </w:r>
      <w:r>
        <w:t xml:space="preserve">News Release, Global Atomic Announces the Credit Committee Meeting to Review the Dasa Funding Opportunity has been Postponed (July 16, 2024), at page 1,</w:t>
      </w:r>
      <w:r>
        <w:t xml:space="preserve"> </w:t>
      </w:r>
      <w:hyperlink r:id="rId62">
        <w:r>
          <w:rPr>
            <w:rStyle w:val="Hyperlink"/>
          </w:rPr>
          <w:t xml:space="preserve">News Release</w:t>
        </w:r>
      </w:hyperlink>
      <w:r>
        <w:t xml:space="preserve">.</w:t>
      </w:r>
    </w:p>
  </w:footnote>
  <w:footnote w:id="63">
    <w:p>
      <w:pPr>
        <w:pStyle w:val="FootnoteText"/>
      </w:pPr>
      <w:r>
        <w:rPr>
          <w:rStyle w:val="FootnoteReference"/>
        </w:rPr>
        <w:footnoteRef/>
      </w:r>
      <w:r>
        <w:t xml:space="preserve"> </w:t>
      </w:r>
      <w:r>
        <w:t xml:space="preserve">News Release, Global Atomic Announces Q2 2024 Results (August 12, 2024), at page 2, Outlook,</w:t>
      </w:r>
      <w:r>
        <w:t xml:space="preserve"> </w:t>
      </w:r>
      <w:hyperlink r:id="rId64">
        <w:r>
          <w:rPr>
            <w:rStyle w:val="Hyperlink"/>
          </w:rPr>
          <w:t xml:space="preserve">News Release</w:t>
        </w:r>
      </w:hyperlink>
      <w:r>
        <w:t xml:space="preserve">. CURIOUS. The news release says Q3 2024 while the MD&amp;A filed the same day says Q4 2024; compare to the Q2 2024 MD&amp;A (August 12, 2024), at page 13.</w:t>
      </w:r>
    </w:p>
  </w:footnote>
  <w:footnote w:id="65">
    <w:p>
      <w:pPr>
        <w:pStyle w:val="FootnoteText"/>
      </w:pPr>
      <w:r>
        <w:rPr>
          <w:rStyle w:val="FootnoteReference"/>
        </w:rPr>
        <w:footnoteRef/>
      </w:r>
      <w:r>
        <w:t xml:space="preserve"> </w:t>
      </w:r>
      <w:r>
        <w:t xml:space="preserve">Q2 2024 MD&amp;A (August 12, 2024), at page 13.</w:t>
      </w:r>
    </w:p>
  </w:footnote>
  <w:footnote w:id="66">
    <w:p>
      <w:pPr>
        <w:pStyle w:val="FootnoteText"/>
      </w:pPr>
      <w:r>
        <w:rPr>
          <w:rStyle w:val="FootnoteReference"/>
        </w:rPr>
        <w:footnoteRef/>
      </w:r>
      <w:r>
        <w:t xml:space="preserve"> </w:t>
      </w:r>
      <w:r>
        <w:t xml:space="preserve">News Release (October 29, 2024), Project Financing.</w:t>
      </w:r>
    </w:p>
  </w:footnote>
  <w:footnote w:id="67">
    <w:p>
      <w:pPr>
        <w:pStyle w:val="FootnoteText"/>
      </w:pPr>
      <w:r>
        <w:rPr>
          <w:rStyle w:val="FootnoteReference"/>
        </w:rPr>
        <w:footnoteRef/>
      </w:r>
      <w:r>
        <w:t xml:space="preserve"> </w:t>
      </w:r>
      <w:r>
        <w:t xml:space="preserve">News Release, Global Atomic Provides Year-End Update (December 17, 2024), at page 1, Project Financing,</w:t>
      </w:r>
      <w:r>
        <w:t xml:space="preserve"> </w:t>
      </w:r>
      <w:hyperlink r:id="rId68">
        <w:r>
          <w:rPr>
            <w:rStyle w:val="Hyperlink"/>
          </w:rPr>
          <w:t xml:space="preserve">News Release</w:t>
        </w:r>
      </w:hyperlink>
      <w:r>
        <w:t xml:space="preserve">.</w:t>
      </w:r>
    </w:p>
  </w:footnote>
  <w:footnote w:id="69">
    <w:p>
      <w:pPr>
        <w:pStyle w:val="FootnoteText"/>
      </w:pPr>
      <w:r>
        <w:rPr>
          <w:rStyle w:val="FootnoteReference"/>
        </w:rPr>
        <w:footnoteRef/>
      </w:r>
      <w:r>
        <w:t xml:space="preserve"> </w:t>
      </w:r>
      <w:r>
        <w:t xml:space="preserve">DFC, Board of Directors page, board meeting notices, notational-vote notices and board meeting summaries for 2024 and 2025,</w:t>
      </w:r>
      <w:r>
        <w:t xml:space="preserve"> </w:t>
      </w:r>
      <w:hyperlink r:id="rId70">
        <w:r>
          <w:rPr>
            <w:rStyle w:val="Hyperlink"/>
          </w:rPr>
          <w:t xml:space="preserve">DFC Board</w:t>
        </w:r>
      </w:hyperlink>
      <w:r>
        <w:t xml:space="preserve">; DFC, Summary of the September 5, 2024, DFC Board of Directors Meeting, at page 1 (the transactions approved that day do not include Dasa); News Release (December 11, 2025), at page 1. The credit committee calendar is not published. A FOIA Request topic, i.e., the DFC credit committee and investment committee calendars and the Dasa (SOMIDA) file, 2023–2025.</w:t>
      </w:r>
    </w:p>
  </w:footnote>
  <w:footnote w:id="71">
    <w:p>
      <w:pPr>
        <w:pStyle w:val="FootnoteText"/>
      </w:pPr>
      <w:r>
        <w:rPr>
          <w:rStyle w:val="FootnoteReference"/>
        </w:rPr>
        <w:footnoteRef/>
      </w:r>
      <w:r>
        <w:t xml:space="preserve"> </w:t>
      </w:r>
      <w:r>
        <w:t xml:space="preserve">TSX closing prices, January 23 and January 24, 2025 (TradingView chart feed, split-adjusted); economics output (October 19, 2026).</w:t>
      </w:r>
    </w:p>
  </w:footnote>
  <w:footnote w:id="72">
    <w:p>
      <w:pPr>
        <w:pStyle w:val="FootnoteText"/>
      </w:pPr>
      <w:r>
        <w:rPr>
          <w:rStyle w:val="FootnoteReference"/>
        </w:rPr>
        <w:footnoteRef/>
      </w:r>
      <w:r>
        <w:t xml:space="preserve"> </w:t>
      </w:r>
      <w:r>
        <w:t xml:space="preserve">Notice to readers of the Dasa Project ESIA (February 24, 2023), at page 1.</w:t>
      </w:r>
    </w:p>
  </w:footnote>
  <w:footnote w:id="73">
    <w:p>
      <w:pPr>
        <w:pStyle w:val="FootnoteText"/>
      </w:pPr>
      <w:r>
        <w:rPr>
          <w:rStyle w:val="FootnoteReference"/>
        </w:rPr>
        <w:footnoteRef/>
      </w:r>
      <w:r>
        <w:t xml:space="preserve"> </w:t>
      </w:r>
      <w:r>
        <w:t xml:space="preserve">News Release, Global Atomic Provides Update (October 10, 2023), at paragraph 1,</w:t>
      </w:r>
      <w:r>
        <w:t xml:space="preserve"> </w:t>
      </w:r>
      <w:hyperlink r:id="rId74">
        <w:r>
          <w:rPr>
            <w:rStyle w:val="Hyperlink"/>
          </w:rPr>
          <w:t xml:space="preserve">News Release</w:t>
        </w:r>
      </w:hyperlink>
      <w:r>
        <w:t xml:space="preserve">; TSX closing prices, October 6 and October 10, 2023.</w:t>
      </w:r>
    </w:p>
  </w:footnote>
  <w:footnote w:id="75">
    <w:p>
      <w:pPr>
        <w:pStyle w:val="FootnoteText"/>
      </w:pPr>
      <w:r>
        <w:rPr>
          <w:rStyle w:val="FootnoteReference"/>
        </w:rPr>
        <w:footnoteRef/>
      </w:r>
      <w:r>
        <w:t xml:space="preserve"> </w:t>
      </w:r>
      <w:r>
        <w:t xml:space="preserve">News Release (November 10, 2023), at page 1, CEO quotation; TSX closing prices, November 9 and November 10, 2023. The Q3 2023 MD&amp;A was not retrieved; the news release carries the MD&amp;A financing passage.</w:t>
      </w:r>
    </w:p>
  </w:footnote>
  <w:footnote w:id="76">
    <w:p>
      <w:pPr>
        <w:pStyle w:val="FootnoteText"/>
      </w:pPr>
      <w:r>
        <w:rPr>
          <w:rStyle w:val="FootnoteReference"/>
        </w:rPr>
        <w:footnoteRef/>
      </w:r>
      <w:r>
        <w:t xml:space="preserve"> </w:t>
      </w:r>
      <w:r>
        <w:t xml:space="preserve">News Release (November 10, 2023), at page 2, Dasa – Financing.</w:t>
      </w:r>
    </w:p>
  </w:footnote>
  <w:footnote w:id="77">
    <w:p>
      <w:pPr>
        <w:pStyle w:val="FootnoteText"/>
      </w:pPr>
      <w:r>
        <w:rPr>
          <w:rStyle w:val="FootnoteReference"/>
        </w:rPr>
        <w:footnoteRef/>
      </w:r>
      <w:r>
        <w:t xml:space="preserve"> </w:t>
      </w:r>
      <w:r>
        <w:t xml:space="preserve">News Release (November 10, 2023), at page 2, Dasa – Financing.</w:t>
      </w:r>
    </w:p>
  </w:footnote>
  <w:footnote w:id="78">
    <w:p>
      <w:pPr>
        <w:pStyle w:val="FootnoteText"/>
      </w:pPr>
      <w:r>
        <w:rPr>
          <w:rStyle w:val="FootnoteReference"/>
        </w:rPr>
        <w:footnoteRef/>
      </w:r>
      <w:r>
        <w:t xml:space="preserve"> </w:t>
      </w:r>
      <w:r>
        <w:t xml:space="preserve">News Release (November 10, 2023), at page 2, Dasa – Financing.</w:t>
      </w:r>
    </w:p>
  </w:footnote>
  <w:footnote w:id="79">
    <w:p>
      <w:pPr>
        <w:pStyle w:val="FootnoteText"/>
      </w:pPr>
      <w:r>
        <w:rPr>
          <w:rStyle w:val="FootnoteReference"/>
        </w:rPr>
        <w:footnoteRef/>
      </w:r>
      <w:r>
        <w:t xml:space="preserve"> </w:t>
      </w:r>
      <w:r>
        <w:t xml:space="preserve">News Release, Global Atomic Raises C$15 Million via Strategic Investment (December 19, 2023), at page 1,</w:t>
      </w:r>
      <w:r>
        <w:t xml:space="preserve"> </w:t>
      </w:r>
      <w:hyperlink r:id="rId80">
        <w:r>
          <w:rPr>
            <w:rStyle w:val="Hyperlink"/>
          </w:rPr>
          <w:t xml:space="preserve">News Release</w:t>
        </w:r>
      </w:hyperlink>
      <w:r>
        <w:t xml:space="preserve">; TSX closing prices, December 18 and December 19, 2023.</w:t>
      </w:r>
    </w:p>
  </w:footnote>
  <w:footnote w:id="81">
    <w:p>
      <w:pPr>
        <w:pStyle w:val="FootnoteText"/>
      </w:pPr>
      <w:r>
        <w:rPr>
          <w:rStyle w:val="FootnoteReference"/>
        </w:rPr>
        <w:footnoteRef/>
      </w:r>
      <w:r>
        <w:t xml:space="preserve"> </w:t>
      </w:r>
      <w:r>
        <w:t xml:space="preserve">News Release, Global Atomic Provides Early Update to Kick Off 2024 (January 10, 2024), at page 1,</w:t>
      </w:r>
      <w:r>
        <w:t xml:space="preserve"> </w:t>
      </w:r>
      <w:hyperlink r:id="rId82">
        <w:r>
          <w:rPr>
            <w:rStyle w:val="Hyperlink"/>
          </w:rPr>
          <w:t xml:space="preserve">News Release</w:t>
        </w:r>
      </w:hyperlink>
      <w:r>
        <w:t xml:space="preserve">; TSX closing prices, January 10 and January 11, 2024. The only lender condition GLO ever named before the final correction.</w:t>
      </w:r>
    </w:p>
  </w:footnote>
  <w:footnote w:id="83">
    <w:p>
      <w:pPr>
        <w:pStyle w:val="FootnoteText"/>
      </w:pPr>
      <w:r>
        <w:rPr>
          <w:rStyle w:val="FootnoteReference"/>
        </w:rPr>
        <w:footnoteRef/>
      </w:r>
      <w:r>
        <w:t xml:space="preserve"> </w:t>
      </w:r>
      <w:r>
        <w:t xml:space="preserve">News Release (March 5, 2024), Project Financing Update and CEO quotation, at page 3; TSX closing prices, March 4 and March 5, 2024.</w:t>
      </w:r>
    </w:p>
  </w:footnote>
  <w:footnote w:id="84">
    <w:p>
      <w:pPr>
        <w:pStyle w:val="FootnoteText"/>
      </w:pPr>
      <w:r>
        <w:rPr>
          <w:rStyle w:val="FootnoteReference"/>
        </w:rPr>
        <w:footnoteRef/>
      </w:r>
      <w:r>
        <w:t xml:space="preserve"> </w:t>
      </w:r>
      <w:r>
        <w:t xml:space="preserve">Article, Update: Global Atomic Down 28% After Niger Says it is Terminating Military Cooperation with the United States (MT Newswires, March 18, 2024), at paragraph 3,</w:t>
      </w:r>
      <w:r>
        <w:t xml:space="preserve"> </w:t>
      </w:r>
      <w:hyperlink r:id="rId85">
        <w:r>
          <w:rPr>
            <w:rStyle w:val="Hyperlink"/>
          </w:rPr>
          <w:t xml:space="preserve">Article</w:t>
        </w:r>
      </w:hyperlink>
      <w:r>
        <w:t xml:space="preserve">; TSX closing prices, March 15 and March 18, 2024; abnormal return −32.4% (t −12.2).</w:t>
      </w:r>
    </w:p>
  </w:footnote>
  <w:footnote w:id="86">
    <w:p>
      <w:pPr>
        <w:pStyle w:val="FootnoteText"/>
      </w:pPr>
      <w:r>
        <w:rPr>
          <w:rStyle w:val="FootnoteReference"/>
        </w:rPr>
        <w:footnoteRef/>
      </w:r>
      <w:r>
        <w:t xml:space="preserve"> </w:t>
      </w:r>
      <w:r>
        <w:t xml:space="preserve">Article, U.S. Military Completes Withdrawal From Key Drone Base in Niger (Reuters / US News, August 5, 2024), at paragraphs 1–5,</w:t>
      </w:r>
      <w:r>
        <w:t xml:space="preserve"> </w:t>
      </w:r>
      <w:hyperlink r:id="rId87">
        <w:r>
          <w:rPr>
            <w:rStyle w:val="Hyperlink"/>
          </w:rPr>
          <w:t xml:space="preserve">Article</w:t>
        </w:r>
      </w:hyperlink>
      <w:r>
        <w:t xml:space="preserve">.</w:t>
      </w:r>
    </w:p>
  </w:footnote>
  <w:footnote w:id="88">
    <w:p>
      <w:pPr>
        <w:pStyle w:val="FootnoteText"/>
      </w:pPr>
      <w:r>
        <w:rPr>
          <w:rStyle w:val="FootnoteReference"/>
        </w:rPr>
        <w:footnoteRef/>
      </w:r>
      <w:r>
        <w:t xml:space="preserve"> </w:t>
      </w:r>
      <w:r>
        <w:t xml:space="preserve">2023 MD&amp;A (March 27, 2024), at page 3; TSX closing prices, March 27 and March 28, 2024.</w:t>
      </w:r>
    </w:p>
  </w:footnote>
  <w:footnote w:id="89">
    <w:p>
      <w:pPr>
        <w:pStyle w:val="FootnoteText"/>
      </w:pPr>
      <w:r>
        <w:rPr>
          <w:rStyle w:val="FootnoteReference"/>
        </w:rPr>
        <w:footnoteRef/>
      </w:r>
      <w:r>
        <w:t xml:space="preserve"> </w:t>
      </w:r>
      <w:r>
        <w:t xml:space="preserve">2023 MD&amp;A (March 27, 2024), at page 5, Highlights.</w:t>
      </w:r>
    </w:p>
  </w:footnote>
  <w:footnote w:id="90">
    <w:p>
      <w:pPr>
        <w:pStyle w:val="FootnoteText"/>
      </w:pPr>
      <w:r>
        <w:rPr>
          <w:rStyle w:val="FootnoteReference"/>
        </w:rPr>
        <w:footnoteRef/>
      </w:r>
      <w:r>
        <w:t xml:space="preserve"> </w:t>
      </w:r>
      <w:r>
        <w:t xml:space="preserve">2023 MD&amp;A (March 27, 2024), at page 32, Risks – Project Financing.</w:t>
      </w:r>
    </w:p>
  </w:footnote>
  <w:footnote w:id="91">
    <w:p>
      <w:pPr>
        <w:pStyle w:val="FootnoteText"/>
      </w:pPr>
      <w:r>
        <w:rPr>
          <w:rStyle w:val="FootnoteReference"/>
        </w:rPr>
        <w:footnoteRef/>
      </w:r>
      <w:r>
        <w:t xml:space="preserve"> </w:t>
      </w:r>
      <w:r>
        <w:t xml:space="preserve">News Release (May 13, 2024), CEO quotation; Q1 2024 MD&amp;A (May 13, 2024), under Project Financing; TSX closing prices, May 13 and May 14, 2024.</w:t>
      </w:r>
    </w:p>
  </w:footnote>
  <w:footnote w:id="92">
    <w:p>
      <w:pPr>
        <w:pStyle w:val="FootnoteText"/>
      </w:pPr>
      <w:r>
        <w:rPr>
          <w:rStyle w:val="FootnoteReference"/>
        </w:rPr>
        <w:footnoteRef/>
      </w:r>
      <w:r>
        <w:t xml:space="preserve"> </w:t>
      </w:r>
      <w:r>
        <w:t xml:space="preserve">Article, The United States will withdraw all its troops from Niger by September 15 (Cailian Press, May 19, 2024), at paragraph 1,</w:t>
      </w:r>
      <w:r>
        <w:t xml:space="preserve"> </w:t>
      </w:r>
      <w:hyperlink r:id="rId93">
        <w:r>
          <w:rPr>
            <w:rStyle w:val="Hyperlink"/>
          </w:rPr>
          <w:t xml:space="preserve">Article</w:t>
        </w:r>
      </w:hyperlink>
      <w:r>
        <w:t xml:space="preserve">.</w:t>
      </w:r>
    </w:p>
  </w:footnote>
  <w:footnote w:id="94">
    <w:p>
      <w:pPr>
        <w:pStyle w:val="FootnoteText"/>
      </w:pPr>
      <w:r>
        <w:rPr>
          <w:rStyle w:val="FootnoteReference"/>
        </w:rPr>
        <w:footnoteRef/>
      </w:r>
      <w:r>
        <w:t xml:space="preserve"> </w:t>
      </w:r>
      <w:r>
        <w:t xml:space="preserve">2023 MD&amp;A (March 27, 2024), at page 5; Q1, Q2 and Q3 2024 MD&amp;A, under Project Financing.</w:t>
      </w:r>
    </w:p>
  </w:footnote>
  <w:footnote w:id="95">
    <w:p>
      <w:pPr>
        <w:pStyle w:val="FootnoteText"/>
      </w:pPr>
      <w:r>
        <w:rPr>
          <w:rStyle w:val="FootnoteReference"/>
        </w:rPr>
        <w:footnoteRef/>
      </w:r>
      <w:r>
        <w:t xml:space="preserve"> </w:t>
      </w:r>
      <w:r>
        <w:t xml:space="preserve">News Release (June 17, 2024), Dasa Uranium Project – Debt Financing and CEO quotation; TSX closing prices, June 14 and June 17, 2024.</w:t>
      </w:r>
    </w:p>
  </w:footnote>
  <w:footnote w:id="96">
    <w:p>
      <w:pPr>
        <w:pStyle w:val="FootnoteText"/>
      </w:pPr>
      <w:r>
        <w:rPr>
          <w:rStyle w:val="FootnoteReference"/>
        </w:rPr>
        <w:footnoteRef/>
      </w:r>
      <w:r>
        <w:t xml:space="preserve"> </w:t>
      </w:r>
      <w:r>
        <w:t xml:space="preserve">News Release (July 16, 2024), at page 1; TSX closing prices, July 16 and July 17, 2024; economics output (October 19, 2026). STORM WARNING. GLO does not say what the additional questions were.</w:t>
      </w:r>
    </w:p>
  </w:footnote>
  <w:footnote w:id="97">
    <w:p>
      <w:pPr>
        <w:pStyle w:val="FootnoteText"/>
      </w:pPr>
      <w:r>
        <w:rPr>
          <w:rStyle w:val="FootnoteReference"/>
        </w:rPr>
        <w:footnoteRef/>
      </w:r>
      <w:r>
        <w:t xml:space="preserve"> </w:t>
      </w:r>
      <w:r>
        <w:t xml:space="preserve">News Release (November 12, 2024), CEO quotation; SEDI insider transaction detail, Global Atomic Corporation (issuer 00010721),</w:t>
      </w:r>
      <w:r>
        <w:t xml:space="preserve"> </w:t>
      </w:r>
      <w:hyperlink r:id="rId98">
        <w:r>
          <w:rPr>
            <w:rStyle w:val="Hyperlink"/>
          </w:rPr>
          <w:t xml:space="preserve">SEDI</w:t>
        </w:r>
      </w:hyperlink>
      <w:r>
        <w:t xml:space="preserve">.</w:t>
      </w:r>
    </w:p>
  </w:footnote>
  <w:footnote w:id="99">
    <w:p>
      <w:pPr>
        <w:pStyle w:val="FootnoteText"/>
      </w:pPr>
      <w:r>
        <w:rPr>
          <w:rStyle w:val="FootnoteReference"/>
        </w:rPr>
        <w:footnoteRef/>
      </w:r>
      <w:r>
        <w:t xml:space="preserve"> </w:t>
      </w:r>
      <w:r>
        <w:t xml:space="preserve">News Release (August 12, 2024), at page 2; Q2 2024 MD&amp;A (August 12, 2024), at page 13; TSX closing prices, August 12 and August 13, 2024. CURIOUS. Two different quarters for the same approval in two documents released the same day, without reason.</w:t>
      </w:r>
    </w:p>
  </w:footnote>
  <w:footnote w:id="100">
    <w:p>
      <w:pPr>
        <w:pStyle w:val="FootnoteText"/>
      </w:pPr>
      <w:r>
        <w:rPr>
          <w:rStyle w:val="FootnoteReference"/>
        </w:rPr>
        <w:footnoteRef/>
      </w:r>
      <w:r>
        <w:t xml:space="preserve"> </w:t>
      </w:r>
      <w:r>
        <w:t xml:space="preserve">SEDI insider transaction detail, Global Atomic Corporation (issuer 00010721), transactions of August 15 to August 23, 2024. The sales follow option exercises and are a small part of their holdings; a discovery topic only.</w:t>
      </w:r>
    </w:p>
  </w:footnote>
  <w:footnote w:id="101">
    <w:p>
      <w:pPr>
        <w:pStyle w:val="FootnoteText"/>
      </w:pPr>
      <w:r>
        <w:rPr>
          <w:rStyle w:val="FootnoteReference"/>
        </w:rPr>
        <w:footnoteRef/>
      </w:r>
      <w:r>
        <w:t xml:space="preserve"> </w:t>
      </w:r>
      <w:r>
        <w:t xml:space="preserve">DFC, Summary of the September 5, 2024, DFC Board of Directors Meeting, at page 1.</w:t>
      </w:r>
    </w:p>
  </w:footnote>
  <w:footnote w:id="102">
    <w:p>
      <w:pPr>
        <w:pStyle w:val="FootnoteText"/>
      </w:pPr>
      <w:r>
        <w:rPr>
          <w:rStyle w:val="FootnoteReference"/>
        </w:rPr>
        <w:footnoteRef/>
      </w:r>
      <w:r>
        <w:t xml:space="preserve"> </w:t>
      </w:r>
      <w:r>
        <w:t xml:space="preserve">Article (Reuters / US News, August 5, 2024), at paragraphs 1–5.</w:t>
      </w:r>
    </w:p>
  </w:footnote>
  <w:footnote w:id="103">
    <w:p>
      <w:pPr>
        <w:pStyle w:val="FootnoteText"/>
      </w:pPr>
      <w:r>
        <w:rPr>
          <w:rStyle w:val="FootnoteReference"/>
        </w:rPr>
        <w:footnoteRef/>
      </w:r>
      <w:r>
        <w:t xml:space="preserve"> </w:t>
      </w:r>
      <w:r>
        <w:t xml:space="preserve">News Release, Global Atomic Provides Update on the Dasa Project (October 3, 2024), Project Financing,</w:t>
      </w:r>
      <w:r>
        <w:t xml:space="preserve"> </w:t>
      </w:r>
      <w:hyperlink r:id="rId104">
        <w:r>
          <w:rPr>
            <w:rStyle w:val="Hyperlink"/>
          </w:rPr>
          <w:t xml:space="preserve">News Release</w:t>
        </w:r>
      </w:hyperlink>
      <w:r>
        <w:t xml:space="preserve">; TSX closing prices, October 3 and October 4, 2024. The bracketed word is mine.</w:t>
      </w:r>
    </w:p>
  </w:footnote>
  <w:footnote w:id="105">
    <w:p>
      <w:pPr>
        <w:pStyle w:val="FootnoteText"/>
      </w:pPr>
      <w:r>
        <w:rPr>
          <w:rStyle w:val="FootnoteReference"/>
        </w:rPr>
        <w:footnoteRef/>
      </w:r>
      <w:r>
        <w:t xml:space="preserve"> </w:t>
      </w:r>
      <w:r>
        <w:t xml:space="preserve">News Release (October 7, 2024), at page 1; TSX closing prices, October 7 and October 8, 2024.</w:t>
      </w:r>
    </w:p>
  </w:footnote>
  <w:footnote w:id="106">
    <w:p>
      <w:pPr>
        <w:pStyle w:val="FootnoteText"/>
      </w:pPr>
      <w:r>
        <w:rPr>
          <w:rStyle w:val="FootnoteReference"/>
        </w:rPr>
        <w:footnoteRef/>
      </w:r>
      <w:r>
        <w:t xml:space="preserve"> </w:t>
      </w:r>
      <w:r>
        <w:t xml:space="preserve">News Release (November 12, 2024), CEO quotation. The prospectus supplement itself was not retrieved (SEDAR+ blocked automated access).</w:t>
      </w:r>
    </w:p>
  </w:footnote>
  <w:footnote w:id="107">
    <w:p>
      <w:pPr>
        <w:pStyle w:val="FootnoteText"/>
      </w:pPr>
      <w:r>
        <w:rPr>
          <w:rStyle w:val="FootnoteReference"/>
        </w:rPr>
        <w:footnoteRef/>
      </w:r>
      <w:r>
        <w:t xml:space="preserve"> </w:t>
      </w:r>
      <w:r>
        <w:t xml:space="preserve">News Release (October 29, 2024), Project Financing; TSX closing prices, October 28 and October 29, 2024. Issued thirteen days after the October 2024 Offering closed.</w:t>
      </w:r>
    </w:p>
  </w:footnote>
  <w:footnote w:id="108">
    <w:p>
      <w:pPr>
        <w:pStyle w:val="FootnoteText"/>
      </w:pPr>
      <w:r>
        <w:rPr>
          <w:rStyle w:val="FootnoteReference"/>
        </w:rPr>
        <w:footnoteRef/>
      </w:r>
      <w:r>
        <w:t xml:space="preserve"> </w:t>
      </w:r>
      <w:r>
        <w:t xml:space="preserve">News Release (November 12, 2024), CEO quotation and Outlook; Q3 2024 MD&amp;A (November 12, 2024), at page 14; TSX closing prices, November 12 and November 13, 2024.</w:t>
      </w:r>
    </w:p>
  </w:footnote>
  <w:footnote w:id="109">
    <w:p>
      <w:pPr>
        <w:pStyle w:val="FootnoteText"/>
      </w:pPr>
      <w:r>
        <w:rPr>
          <w:rStyle w:val="FootnoteReference"/>
        </w:rPr>
        <w:footnoteRef/>
      </w:r>
      <w:r>
        <w:t xml:space="preserve"> </w:t>
      </w:r>
      <w:r>
        <w:t xml:space="preserve">News Release (December 17, 2024), at page 1, Project Financing and Joint Venture; TSX closing prices, December 16 and December 17, 2024.</w:t>
      </w:r>
    </w:p>
  </w:footnote>
  <w:footnote w:id="110">
    <w:p>
      <w:pPr>
        <w:pStyle w:val="FootnoteText"/>
      </w:pPr>
      <w:r>
        <w:rPr>
          <w:rStyle w:val="FootnoteReference"/>
        </w:rPr>
        <w:footnoteRef/>
      </w:r>
      <w:r>
        <w:t xml:space="preserve"> </w:t>
      </w:r>
      <w:r>
        <w:t xml:space="preserve">Corporate Presentation – January 2025, at slide 5,</w:t>
      </w:r>
      <w:r>
        <w:t xml:space="preserve"> </w:t>
      </w:r>
      <w:hyperlink r:id="rId111">
        <w:r>
          <w:rPr>
            <w:rStyle w:val="Hyperlink"/>
          </w:rPr>
          <w:t xml:space="preserve">Presentation</w:t>
        </w:r>
      </w:hyperlink>
      <w:r>
        <w:t xml:space="preserve">.</w:t>
      </w:r>
    </w:p>
  </w:footnote>
  <w:footnote w:id="112">
    <w:p>
      <w:pPr>
        <w:pStyle w:val="FootnoteText"/>
      </w:pPr>
      <w:r>
        <w:rPr>
          <w:rStyle w:val="FootnoteReference"/>
        </w:rPr>
        <w:footnoteRef/>
      </w:r>
      <w:r>
        <w:t xml:space="preserve"> </w:t>
      </w:r>
      <w:r>
        <w:t xml:space="preserve">News Release, Global Atomic Announces Private Placement of up to C$30 Million (January 23, 2025), at page 1,</w:t>
      </w:r>
      <w:r>
        <w:t xml:space="preserve"> </w:t>
      </w:r>
      <w:hyperlink r:id="rId113">
        <w:r>
          <w:rPr>
            <w:rStyle w:val="Hyperlink"/>
          </w:rPr>
          <w:t xml:space="preserve">News Release</w:t>
        </w:r>
      </w:hyperlink>
      <w:r>
        <w:t xml:space="preserve"> </w:t>
      </w:r>
      <w:r>
        <w:t xml:space="preserve">(time-stamped 05:12 PM EST); TSX closing prices, January 23 and January 24, 2025; abnormal return −31.3% (t −10.2). CURIOUS. The share price rose from $0.79 on January 14, 2025 to $0.94 on January 23, 2025 before the release; SEDI reports no insider sales in that window.</w:t>
      </w:r>
    </w:p>
  </w:footnote>
  <w:footnote w:id="114">
    <w:p>
      <w:pPr>
        <w:pStyle w:val="FootnoteText"/>
      </w:pPr>
      <w:r>
        <w:rPr>
          <w:rStyle w:val="FootnoteReference"/>
        </w:rPr>
        <w:footnoteRef/>
      </w:r>
      <w:r>
        <w:t xml:space="preserve"> </w:t>
      </w:r>
      <w:r>
        <w:t xml:space="preserve">News Release, Global Atomic Announces Upsize of Private Placement to up to C$36 Million (January 24, 2025), at page 1,</w:t>
      </w:r>
      <w:r>
        <w:t xml:space="preserve"> </w:t>
      </w:r>
      <w:hyperlink r:id="rId115">
        <w:r>
          <w:rPr>
            <w:rStyle w:val="Hyperlink"/>
          </w:rPr>
          <w:t xml:space="preserve">News Release</w:t>
        </w:r>
      </w:hyperlink>
      <w:r>
        <w:t xml:space="preserve">; Article, Global Atomic closes $35.6-million private placement (Stockwatch), at paragraphs 1–2,</w:t>
      </w:r>
      <w:r>
        <w:t xml:space="preserve"> </w:t>
      </w:r>
      <w:hyperlink r:id="rId116">
        <w:r>
          <w:rPr>
            <w:rStyle w:val="Hyperlink"/>
          </w:rPr>
          <w:t xml:space="preserve">Article</w:t>
        </w:r>
      </w:hyperlink>
      <w:r>
        <w:t xml:space="preserve">.</w:t>
      </w:r>
    </w:p>
  </w:footnote>
  <w:footnote w:id="117">
    <w:p>
      <w:pPr>
        <w:pStyle w:val="FootnoteText"/>
      </w:pPr>
      <w:r>
        <w:rPr>
          <w:rStyle w:val="FootnoteReference"/>
        </w:rPr>
        <w:footnoteRef/>
      </w:r>
      <w:r>
        <w:t xml:space="preserve"> </w:t>
      </w:r>
      <w:r>
        <w:t xml:space="preserve">News Release, Global Atomic Provides Corporate Update (February 12, 2025), at page 1,</w:t>
      </w:r>
      <w:r>
        <w:t xml:space="preserve"> </w:t>
      </w:r>
      <w:hyperlink r:id="rId118">
        <w:r>
          <w:rPr>
            <w:rStyle w:val="Hyperlink"/>
          </w:rPr>
          <w:t xml:space="preserve">News Release</w:t>
        </w:r>
      </w:hyperlink>
      <w:r>
        <w:t xml:space="preserve">; TSX closing prices, February 11 and February 12, 2025.</w:t>
      </w:r>
    </w:p>
  </w:footnote>
  <w:footnote w:id="119">
    <w:p>
      <w:pPr>
        <w:pStyle w:val="FootnoteText"/>
      </w:pPr>
      <w:r>
        <w:rPr>
          <w:rStyle w:val="FootnoteReference"/>
        </w:rPr>
        <w:footnoteRef/>
      </w:r>
      <w:r>
        <w:t xml:space="preserve"> </w:t>
      </w:r>
      <w:r>
        <w:t xml:space="preserve">News Release, Global Atomic Announces 2024 Results (March 27, 2025), Outlook – Dasa Uranium Project Financing,</w:t>
      </w:r>
      <w:r>
        <w:t xml:space="preserve"> </w:t>
      </w:r>
      <w:hyperlink r:id="rId120">
        <w:r>
          <w:rPr>
            <w:rStyle w:val="Hyperlink"/>
          </w:rPr>
          <w:t xml:space="preserve">News Release</w:t>
        </w:r>
      </w:hyperlink>
      <w:r>
        <w:t xml:space="preserve">; TSX closing prices, March 27 and March 28, 2025. CURIOUS. A pause "before" the election of November 5, 2024 covers the October 29 and November 12, 2024 statements, which mention no pause; compare to the December 17, 2024 release, which blames the "recent" election.</w:t>
      </w:r>
    </w:p>
  </w:footnote>
  <w:footnote w:id="121">
    <w:p>
      <w:pPr>
        <w:pStyle w:val="FootnoteText"/>
      </w:pPr>
      <w:r>
        <w:rPr>
          <w:rStyle w:val="FootnoteReference"/>
        </w:rPr>
        <w:footnoteRef/>
      </w:r>
      <w:r>
        <w:t xml:space="preserve"> </w:t>
      </w:r>
      <w:r>
        <w:t xml:space="preserve">News Release (August 12, 2025), Outlook; TSX closing prices, August 12 and August 13, 2025.</w:t>
      </w:r>
    </w:p>
  </w:footnote>
  <w:footnote w:id="122">
    <w:p>
      <w:pPr>
        <w:pStyle w:val="FootnoteText"/>
      </w:pPr>
      <w:r>
        <w:rPr>
          <w:rStyle w:val="FootnoteReference"/>
        </w:rPr>
        <w:footnoteRef/>
      </w:r>
      <w:r>
        <w:t xml:space="preserve"> </w:t>
      </w:r>
      <w:r>
        <w:t xml:space="preserve">News Release (December 11, 2025), at page 1; TSX closing prices, December 11 and December 12, 2025. The first credit committee review, about two years after the first dated target of January 2024.</w:t>
      </w:r>
    </w:p>
  </w:footnote>
  <w:footnote w:id="123">
    <w:p>
      <w:pPr>
        <w:pStyle w:val="FootnoteText"/>
      </w:pPr>
      <w:r>
        <w:rPr>
          <w:rStyle w:val="FootnoteReference"/>
        </w:rPr>
        <w:footnoteRef/>
      </w:r>
      <w:r>
        <w:t xml:space="preserve"> </w:t>
      </w:r>
      <w:r>
        <w:t xml:space="preserve">News Release, Global Atomic Receives Statement of Claim and Denies Allegations (February 25, 2026), at page 1,</w:t>
      </w:r>
      <w:r>
        <w:t xml:space="preserve"> </w:t>
      </w:r>
      <w:hyperlink r:id="rId124">
        <w:r>
          <w:rPr>
            <w:rStyle w:val="Hyperlink"/>
          </w:rPr>
          <w:t xml:space="preserve">News Release</w:t>
        </w:r>
      </w:hyperlink>
      <w:r>
        <w:t xml:space="preserve">; Berger Montague (Canada) PC, Investor Alert (January 29, 2026), at paragraph 2,</w:t>
      </w:r>
      <w:r>
        <w:t xml:space="preserve"> </w:t>
      </w:r>
      <w:hyperlink r:id="rId125">
        <w:r>
          <w:rPr>
            <w:rStyle w:val="Hyperlink"/>
          </w:rPr>
          <w:t xml:space="preserve">Article</w:t>
        </w:r>
      </w:hyperlink>
      <w:r>
        <w:t xml:space="preserve">; TSX closing prices, February 25 and February 26, 2026. Leave under s. 138.8 had not been sought as of February 25, 2026.</w:t>
      </w:r>
    </w:p>
  </w:footnote>
  <w:footnote w:id="126">
    <w:p>
      <w:pPr>
        <w:pStyle w:val="FootnoteText"/>
      </w:pPr>
      <w:r>
        <w:rPr>
          <w:rStyle w:val="FootnoteReference"/>
        </w:rPr>
        <w:footnoteRef/>
      </w:r>
      <w:r>
        <w:t xml:space="preserve"> </w:t>
      </w:r>
      <w:r>
        <w:t xml:space="preserve">News Release (September 16, 2026), at page 1; DFC, Board of Directors Meeting Notification (Supplement) (September 22, 2026), at pages 1–2 (total project costs US$698 million); TSX closing prices, September 15 and September 16, 2026. Several of these conditions concern Niger government matters that existed during the Class Period.</w:t>
      </w:r>
    </w:p>
  </w:footnote>
  <w:footnote w:id="127">
    <w:p>
      <w:pPr>
        <w:pStyle w:val="FootnoteText"/>
      </w:pPr>
      <w:r>
        <w:rPr>
          <w:rStyle w:val="FootnoteReference"/>
        </w:rPr>
        <w:footnoteRef/>
      </w:r>
      <w:r>
        <w:t xml:space="preserve"> </w:t>
      </w:r>
      <w:r>
        <w:t xml:space="preserve">2023 MD&amp;A (March 27, 2024), at page 32; News Release (July 16, 2024), at page 1; News Release (September 16, 2026), at page 1.</w:t>
      </w:r>
    </w:p>
  </w:footnote>
  <w:footnote w:id="128">
    <w:p>
      <w:pPr>
        <w:pStyle w:val="FootnoteText"/>
      </w:pPr>
      <w:r>
        <w:rPr>
          <w:rStyle w:val="FootnoteReference"/>
        </w:rPr>
        <w:footnoteRef/>
      </w:r>
      <w:r>
        <w:t xml:space="preserve"> </w:t>
      </w:r>
      <w:r>
        <w:rPr>
          <w:iCs/>
          <w:i/>
        </w:rPr>
        <w:t xml:space="preserve">Rahimi v. SouthGobi</w:t>
      </w:r>
      <w:r>
        <w:t xml:space="preserve">, 2017 ONCA 719, at para. 43;</w:t>
      </w:r>
      <w:r>
        <w:t xml:space="preserve"> </w:t>
      </w:r>
      <w:r>
        <w:rPr>
          <w:iCs/>
          <w:i/>
        </w:rPr>
        <w:t xml:space="preserve">Wong v. Pretium Resources</w:t>
      </w:r>
      <w:r>
        <w:t xml:space="preserve">, 2017 ONSC 3361;</w:t>
      </w:r>
      <w:r>
        <w:t xml:space="preserve"> </w:t>
      </w:r>
      <w:r>
        <w:rPr>
          <w:iCs/>
          <w:i/>
        </w:rPr>
        <w:t xml:space="preserve">Mask v. Silvercorp Metals</w:t>
      </w:r>
      <w:r>
        <w:t xml:space="preserve">, 2015 ONSC 5348, at para. 38.</w:t>
      </w:r>
    </w:p>
  </w:footnote>
  <w:footnote w:id="129">
    <w:p>
      <w:pPr>
        <w:pStyle w:val="FootnoteText"/>
      </w:pPr>
      <w:r>
        <w:rPr>
          <w:rStyle w:val="FootnoteReference"/>
        </w:rPr>
        <w:footnoteRef/>
      </w:r>
      <w:r>
        <w:t xml:space="preserve"> </w:t>
      </w:r>
      <w:r>
        <w:rPr>
          <w:iCs/>
          <w:i/>
        </w:rPr>
        <w:t xml:space="preserve">Stajic v. Ward</w:t>
      </w:r>
      <w:r>
        <w:t xml:space="preserve">, 2026 ONSC 1707, at paras. 13 and 15; OSA, s. 130 (each offering in the Class Period gets its own primary-market class).</w:t>
      </w:r>
    </w:p>
  </w:footnote>
  <w:footnote w:id="130">
    <w:p>
      <w:pPr>
        <w:pStyle w:val="FootnoteText"/>
      </w:pPr>
      <w:r>
        <w:rPr>
          <w:rStyle w:val="FootnoteReference"/>
        </w:rPr>
        <w:footnoteRef/>
      </w:r>
      <w:r>
        <w:t xml:space="preserve"> </w:t>
      </w:r>
      <w:r>
        <w:rPr>
          <w:iCs/>
          <w:i/>
        </w:rPr>
        <w:t xml:space="preserve">LBP Holdings Ltd v. Hycroft Mining Corp</w:t>
      </w:r>
      <w:r>
        <w:t xml:space="preserve">, 2020 ONSC 59, at para. 20, and</w:t>
      </w:r>
      <w:r>
        <w:t xml:space="preserve"> </w:t>
      </w:r>
      <w:r>
        <w:rPr>
          <w:iCs/>
          <w:i/>
        </w:rPr>
        <w:t xml:space="preserve">Stajic v. Ward</w:t>
      </w:r>
      <w:r>
        <w:t xml:space="preserve">, 2026 ONSC 1707, at para. 13.</w:t>
      </w:r>
    </w:p>
  </w:footnote>
  <w:footnote w:id="131">
    <w:p>
      <w:pPr>
        <w:pStyle w:val="FootnoteText"/>
      </w:pPr>
      <w:r>
        <w:rPr>
          <w:rStyle w:val="FootnoteReference"/>
        </w:rPr>
        <w:footnoteRef/>
      </w:r>
      <w:r>
        <w:t xml:space="preserve"> </w:t>
      </w:r>
      <w:r>
        <w:t xml:space="preserve">OSA, s. 138.7. Leave is "a relatively low threshold":</w:t>
      </w:r>
      <w:r>
        <w:t xml:space="preserve"> </w:t>
      </w:r>
      <w:r>
        <w:rPr>
          <w:iCs/>
          <w:i/>
        </w:rPr>
        <w:t xml:space="preserve">Green v. CIBC</w:t>
      </w:r>
      <w:r>
        <w:t xml:space="preserve">, 2012 ONSC 3637, at paras. 373–374;</w:t>
      </w:r>
      <w:r>
        <w:t xml:space="preserve"> </w:t>
      </w:r>
      <w:r>
        <w:rPr>
          <w:iCs/>
          <w:i/>
        </w:rPr>
        <w:t xml:space="preserve">CIBC v. Green</w:t>
      </w:r>
      <w:r>
        <w:t xml:space="preserve">, 2015 SCC 60, at para. 121.</w:t>
      </w:r>
    </w:p>
  </w:footnote>
  <w:footnote w:id="132">
    <w:p>
      <w:pPr>
        <w:pStyle w:val="FootnoteText"/>
      </w:pPr>
      <w:r>
        <w:rPr>
          <w:rStyle w:val="FootnoteReference"/>
        </w:rPr>
        <w:footnoteRef/>
      </w:r>
      <w:r>
        <w:t xml:space="preserve"> </w:t>
      </w:r>
      <w:r>
        <w:t xml:space="preserve">News Release (November 10, 2023), at page 2; 2023 MD&amp;A (March 27, 2024), at page 3; News Release (May 13, 2024); News Release (June 17, 2024); News Release (July 16, 2024); News Release and Q2 2024 MD&amp;A (August 12, 2024); News Release (October 29, 2024).</w:t>
      </w:r>
    </w:p>
  </w:footnote>
  <w:footnote w:id="133">
    <w:p>
      <w:pPr>
        <w:pStyle w:val="FootnoteText"/>
      </w:pPr>
      <w:r>
        <w:rPr>
          <w:rStyle w:val="FootnoteReference"/>
        </w:rPr>
        <w:footnoteRef/>
      </w:r>
      <w:r>
        <w:t xml:space="preserve"> </w:t>
      </w:r>
      <w:r>
        <w:t xml:space="preserve">DFC, board meeting summaries and notices for 2024; News Release (December 11, 2025), at page 1.</w:t>
      </w:r>
    </w:p>
  </w:footnote>
  <w:footnote w:id="134">
    <w:p>
      <w:pPr>
        <w:pStyle w:val="FootnoteText"/>
      </w:pPr>
      <w:r>
        <w:rPr>
          <w:rStyle w:val="FootnoteReference"/>
        </w:rPr>
        <w:footnoteRef/>
      </w:r>
      <w:r>
        <w:t xml:space="preserve"> </w:t>
      </w:r>
      <w:r>
        <w:t xml:space="preserve">News Release (October 29, 2024), Project Financing; News Release (November 12, 2024), CEO quotation.</w:t>
      </w:r>
    </w:p>
  </w:footnote>
  <w:footnote w:id="135">
    <w:p>
      <w:pPr>
        <w:pStyle w:val="FootnoteText"/>
      </w:pPr>
      <w:r>
        <w:rPr>
          <w:rStyle w:val="FootnoteReference"/>
        </w:rPr>
        <w:footnoteRef/>
      </w:r>
      <w:r>
        <w:t xml:space="preserve"> </w:t>
      </w:r>
      <w:r>
        <w:t xml:space="preserve">News Release (March 27, 2025), Outlook; News Release (December 17, 2024), at page 1.</w:t>
      </w:r>
    </w:p>
  </w:footnote>
  <w:footnote w:id="136">
    <w:p>
      <w:pPr>
        <w:pStyle w:val="FootnoteText"/>
      </w:pPr>
      <w:r>
        <w:rPr>
          <w:rStyle w:val="FootnoteReference"/>
        </w:rPr>
        <w:footnoteRef/>
      </w:r>
      <w:r>
        <w:t xml:space="preserve"> </w:t>
      </w:r>
      <w:r>
        <w:t xml:space="preserve">News Release (October 10, 2023); Article (Reuters / US News, August 5, 2024); Article (Cailian Press, May 19, 2024); News Release (June 17, 2024), CEO quotation.</w:t>
      </w:r>
    </w:p>
  </w:footnote>
  <w:footnote w:id="137">
    <w:p>
      <w:pPr>
        <w:pStyle w:val="FootnoteText"/>
      </w:pPr>
      <w:r>
        <w:rPr>
          <w:rStyle w:val="FootnoteReference"/>
        </w:rPr>
        <w:footnoteRef/>
      </w:r>
      <w:r>
        <w:t xml:space="preserve"> </w:t>
      </w:r>
      <w:r>
        <w:t xml:space="preserve">News Release (September 16, 2026), at page 1. The 2026 conditions post-date the Class Period; the point is a discovery lead, not proof that the same conditions existed in 2024.</w:t>
      </w:r>
    </w:p>
  </w:footnote>
  <w:footnote w:id="138">
    <w:p>
      <w:pPr>
        <w:pStyle w:val="FootnoteText"/>
      </w:pPr>
      <w:r>
        <w:rPr>
          <w:rStyle w:val="FootnoteReference"/>
        </w:rPr>
        <w:footnoteRef/>
      </w:r>
      <w:r>
        <w:t xml:space="preserve"> </w:t>
      </w:r>
      <w:r>
        <w:t xml:space="preserve">News Release (November 10, 2023), at pages 1–2; 2023 MD&amp;A (March 27, 2024), at page 3.</w:t>
      </w:r>
    </w:p>
  </w:footnote>
  <w:footnote w:id="139">
    <w:p>
      <w:pPr>
        <w:pStyle w:val="FootnoteText"/>
      </w:pPr>
      <w:r>
        <w:rPr>
          <w:rStyle w:val="FootnoteReference"/>
        </w:rPr>
        <w:footnoteRef/>
      </w:r>
      <w:r>
        <w:t xml:space="preserve"> </w:t>
      </w:r>
      <w:r>
        <w:t xml:space="preserve">News Release (July 16, 2024), at page 1; economics output (October 19, 2026).</w:t>
      </w:r>
    </w:p>
  </w:footnote>
  <w:footnote w:id="140">
    <w:p>
      <w:pPr>
        <w:pStyle w:val="FootnoteText"/>
      </w:pPr>
      <w:r>
        <w:rPr>
          <w:rStyle w:val="FootnoteReference"/>
        </w:rPr>
        <w:footnoteRef/>
      </w:r>
      <w:r>
        <w:t xml:space="preserve"> </w:t>
      </w:r>
      <w:r>
        <w:t xml:space="preserve">News Release (January 23, 2025), at page 1; economics output (October 19, 2026).</w:t>
      </w:r>
    </w:p>
  </w:footnote>
  <w:footnote w:id="141">
    <w:p>
      <w:pPr>
        <w:pStyle w:val="FootnoteText"/>
      </w:pPr>
      <w:r>
        <w:rPr>
          <w:rStyle w:val="FootnoteReference"/>
        </w:rPr>
        <w:footnoteRef/>
      </w:r>
      <w:r>
        <w:t xml:space="preserve"> </w:t>
      </w:r>
      <w:r>
        <w:t xml:space="preserve">Market-model output for January 24, 2025: abnormal return −31.3% (t −10.2); abnormal return days 1–5 −1.8%.</w:t>
      </w:r>
    </w:p>
  </w:footnote>
  <w:footnote w:id="142">
    <w:p>
      <w:pPr>
        <w:pStyle w:val="FootnoteText"/>
      </w:pPr>
      <w:r>
        <w:rPr>
          <w:rStyle w:val="FootnoteReference"/>
        </w:rPr>
        <w:footnoteRef/>
      </w:r>
      <w:r>
        <w:t xml:space="preserve"> </w:t>
      </w:r>
      <w:r>
        <w:t xml:space="preserve">Q2 2023 MD&amp;A (August 10, 2023), Outstanding Share Data,</w:t>
      </w:r>
      <w:r>
        <w:t xml:space="preserve"> </w:t>
      </w:r>
      <w:hyperlink r:id="rId143">
        <w:r>
          <w:rPr>
            <w:rStyle w:val="Hyperlink"/>
          </w:rPr>
          <w:t xml:space="preserve">MD&amp;A</w:t>
        </w:r>
      </w:hyperlink>
      <w:r>
        <w:t xml:space="preserve">. The nearest reported figure before the ten trading days preceding November 10, 2023.</w:t>
      </w:r>
    </w:p>
  </w:footnote>
  <w:footnote w:id="144">
    <w:p>
      <w:pPr>
        <w:pStyle w:val="FootnoteText"/>
      </w:pPr>
      <w:r>
        <w:rPr>
          <w:rStyle w:val="FootnoteReference"/>
        </w:rPr>
        <w:footnoteRef/>
      </w:r>
      <w:r>
        <w:t xml:space="preserve"> </w:t>
      </w:r>
      <w:r>
        <w:t xml:space="preserve">Economics output (October 19, 2026), liability cap: 202,253,352 shares × $2.014 (October 27 to November 9, 2023); warrants and options excluded.</w:t>
      </w:r>
    </w:p>
  </w:footnote>
  <w:footnote w:id="145">
    <w:p>
      <w:pPr>
        <w:pStyle w:val="FootnoteText"/>
      </w:pPr>
      <w:r>
        <w:rPr>
          <w:rStyle w:val="FootnoteReference"/>
        </w:rPr>
        <w:footnoteRef/>
      </w:r>
      <w:r>
        <w:t xml:space="preserve"> </w:t>
      </w:r>
      <w:r>
        <w:t xml:space="preserve">Economics output (October 19, 2026): release after the close on July 16, 2024; reacting session July 17, 2024; close on the 10th session (July 30, 2024) $1.29; $2.02 − $1.29 = $0.73.</w:t>
      </w:r>
    </w:p>
  </w:footnote>
  <w:footnote w:id="146">
    <w:p>
      <w:pPr>
        <w:pStyle w:val="FootnoteText"/>
      </w:pPr>
      <w:r>
        <w:rPr>
          <w:rStyle w:val="FootnoteReference"/>
        </w:rPr>
        <w:footnoteRef/>
      </w:r>
      <w:r>
        <w:t xml:space="preserve"> </w:t>
      </w:r>
      <w:r>
        <w:t xml:space="preserve">Economics output (October 19, 2026): release after the close on January 23, 2025; reacting session January 24, 2025; close on the 10th session (February 6, 2025) $0.53; $0.94 − $0.53 = $0.41.</w:t>
      </w:r>
    </w:p>
  </w:footnote>
  <w:footnote w:id="147">
    <w:p>
      <w:pPr>
        <w:pStyle w:val="FootnoteText"/>
      </w:pPr>
      <w:r>
        <w:rPr>
          <w:rStyle w:val="FootnoteReference"/>
        </w:rPr>
        <w:footnoteRef/>
      </w:r>
      <w:r>
        <w:t xml:space="preserve"> </w:t>
      </w:r>
      <w:r>
        <w:t xml:space="preserve">Economics output (October 19, 2026): Class Period TSX volume and VWAP $1.888; per-share statutory measure $0.884 at 40% retention (low: day-0 drops at 25%; high: statutory measure at 50%); cap $20.4 million; s. 130 damages $0.603 × 33,542,050 units; limitations s. 138.14 November 10, 2026 and common law (proxy) January 23, 2027;</w:t>
      </w:r>
      <w:r>
        <w:t xml:space="preserve"> </w:t>
      </w:r>
      <w:r>
        <w:rPr>
          <w:iCs/>
          <w:i/>
        </w:rPr>
        <w:t xml:space="preserve">Green v. CIBC</w:t>
      </w:r>
      <w:r>
        <w:t xml:space="preserve">, 2014 ONCA 90. OTCQX purchasers (about 27% of the volume) add roughly US$24.1 million, not included. D&amp;O insurance is not disclosed; cash was $18.7 million at December 31, 2024.</w:t>
      </w:r>
    </w:p>
  </w:footnote>
  <w:footnote w:id="148">
    <w:p>
      <w:pPr>
        <w:pStyle w:val="FootnoteText"/>
      </w:pPr>
      <w:r>
        <w:rPr>
          <w:rStyle w:val="FootnoteReference"/>
        </w:rPr>
        <w:footnoteRef/>
      </w:r>
      <w:r>
        <w:t xml:space="preserve"> </w:t>
      </w:r>
      <w:r>
        <w:t xml:space="preserve">F/2024 AIF (March 27, 2025), at pages 55–56, Directors and Officers.</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pPr>
      <w:spacing w:after="180" w:before="180"/>
    </w:pPr>
    <w:qFormat/>
    <w:rPr>
      <w:rFonts w:ascii="Times New Roman" w:hAnsi="Times New Roman"/>
      <w:sz w:val="24"/>
    </w:rPr>
  </w:style>
  <w:style w:customStyle="1" w:styleId="FirstParagraph" w:type="paragraph">
    <w:name w:val="First Paragraph"/>
    <w:basedOn w:val="BodyText"/>
    <w:next w:val="BodyText"/>
    <w:qFormat/>
    <w:rPr>
      <w:rFonts w:ascii="Times New Roman" w:hAnsi="Times New Roman"/>
      <w:sz w:val="24"/>
    </w:rPr>
  </w:style>
  <w:style w:customStyle="1" w:styleId="Compact" w:type="paragraph">
    <w:name w:val="Compact"/>
    <w:basedOn w:val="BodyText"/>
    <w:qFormat/>
    <w:pPr>
      <w:spacing w:after="36" w:before="36"/>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rFonts w:ascii="Times New Roman" w:hAnsi="Times New Roman"/>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https://app.bigdata.com/documents/0D4B478C54776B785833EAA7221B0575" TargetMode="External" /><Relationship Type="http://schemas.openxmlformats.org/officeDocument/2006/relationships/hyperlink" Id="rId116" Target="https://app.bigdata.com/documents/2092A4F00BAB3887A66F9FB9D4D74041" TargetMode="External" /><Relationship Type="http://schemas.openxmlformats.org/officeDocument/2006/relationships/hyperlink" Id="rId125" Target="https://app.bigdata.com/documents/38557570D91EB62FE5573FCF656DE06C" TargetMode="External" /><Relationship Type="http://schemas.openxmlformats.org/officeDocument/2006/relationships/hyperlink" Id="rId37" Target="https://app.bigdata.com/documents/54356E136064B87D820A2A8F0796B773" TargetMode="External" /><Relationship Type="http://schemas.openxmlformats.org/officeDocument/2006/relationships/hyperlink" Id="rId93" Target="https://app.bigdata.com/documents/71F12913BCD3F2CA16B958671B2F1A3D" TargetMode="External" /><Relationship Type="http://schemas.openxmlformats.org/officeDocument/2006/relationships/hyperlink" Id="rId74" Target="https://app.bigdata.com/documents/95D23011158AACC350B9C746B590219E" TargetMode="External" /><Relationship Type="http://schemas.openxmlformats.org/officeDocument/2006/relationships/hyperlink" Id="rId49" Target="https://app.bigdata.com/documents/98B8C7F91233A4649338115B8D79934C" TargetMode="External" /><Relationship Type="http://schemas.openxmlformats.org/officeDocument/2006/relationships/hyperlink" Id="rId85" Target="https://app.bigdata.com/documents/BCBCF4052E29E8213DF3D760C50CC694" TargetMode="External" /><Relationship Type="http://schemas.openxmlformats.org/officeDocument/2006/relationships/hyperlink" Id="rId111" Target="https://app.bigdata.com/documents/F411532B8D926812398B42414136FA54" TargetMode="External" /><Relationship Type="http://schemas.openxmlformats.org/officeDocument/2006/relationships/hyperlink" Id="rId87" Target="https://app.bigdata.com/documents/F47080983051FB7E4C7EAA4B242352C5" TargetMode="External" /><Relationship Type="http://schemas.openxmlformats.org/officeDocument/2006/relationships/hyperlink" Id="rId43" Target="https://dfc.gov/sites/default/files/media/documents/09.05.24%20Board%20Meeting%20Summary.pdf" TargetMode="External" /><Relationship Type="http://schemas.openxmlformats.org/officeDocument/2006/relationships/hyperlink" Id="rId143" Target="https://s29.q4cdn.com/426815530/files/doc_financials/2023/q2/GLO-2023-Q2-MDA-final.pdf" TargetMode="External" /><Relationship Type="http://schemas.openxmlformats.org/officeDocument/2006/relationships/hyperlink" Id="rId47" Target="https://s29.q4cdn.com/426815530/files/doc_financials/2023/q4/Global-Atomic-2023-MDA-Final.pdf" TargetMode="External" /><Relationship Type="http://schemas.openxmlformats.org/officeDocument/2006/relationships/hyperlink" Id="rId50" Target="https://s29.q4cdn.com/426815530/files/doc_financials/2024/q1/GLO-2024-Q1-MDA.pdf" TargetMode="External" /><Relationship Type="http://schemas.openxmlformats.org/officeDocument/2006/relationships/hyperlink" Id="rId54" Target="https://s29.q4cdn.com/426815530/files/doc_financials/2024/q2/GLO-Q2-2024-MDA-final.pdf" TargetMode="External" /><Relationship Type="http://schemas.openxmlformats.org/officeDocument/2006/relationships/hyperlink" Id="rId56" Target="https://s29.q4cdn.com/426815530/files/doc_financials/2024/q3/GLO-2024-Q3-MDA.pdf" TargetMode="External" /><Relationship Type="http://schemas.openxmlformats.org/officeDocument/2006/relationships/hyperlink" Id="rId21" Target="https://s29.q4cdn.com/426815530/files/doc_financials/2024/q4/Global-Atomic-2024-AIF-27-Mar-2025.pdf" TargetMode="External" /><Relationship Type="http://schemas.openxmlformats.org/officeDocument/2006/relationships/hyperlink" Id="rId45" Target="https://s29.q4cdn.com/426815530/files/doc_news/2023/11/09/GLO-November-10-2023-5.pdf" TargetMode="External" /><Relationship Type="http://schemas.openxmlformats.org/officeDocument/2006/relationships/hyperlink" Id="rId80" Target="https://s29.q4cdn.com/426815530/files/doc_news/2023/12/19/GLO-December-19-2023.pdf" TargetMode="External" /><Relationship Type="http://schemas.openxmlformats.org/officeDocument/2006/relationships/hyperlink" Id="rId82" Target="https://s29.q4cdn.com/426815530/files/doc_news/2024/01/10/GLO-January-10-2024-2.pdf" TargetMode="External" /><Relationship Type="http://schemas.openxmlformats.org/officeDocument/2006/relationships/hyperlink" Id="rId33" Target="https://s29.q4cdn.com/426815530/files/doc_news/2024/03/05/GLO-March-5-2024-2.pdf" TargetMode="External" /><Relationship Type="http://schemas.openxmlformats.org/officeDocument/2006/relationships/hyperlink" Id="rId62" Target="https://s29.q4cdn.com/426815530/files/doc_news/2024/07/16/GLO-July-16-2024-2.pdf" TargetMode="External" /><Relationship Type="http://schemas.openxmlformats.org/officeDocument/2006/relationships/hyperlink" Id="rId64" Target="https://s29.q4cdn.com/426815530/files/doc_news/2024/08/12/GLO-August-12-2024-final.pdf" TargetMode="External" /><Relationship Type="http://schemas.openxmlformats.org/officeDocument/2006/relationships/hyperlink" Id="rId104" Target="https://s29.q4cdn.com/426815530/files/doc_news/2024/10/03/GLO-October-3-2024-4.pdf" TargetMode="External" /><Relationship Type="http://schemas.openxmlformats.org/officeDocument/2006/relationships/hyperlink" Id="rId30" Target="https://s29.q4cdn.com/426815530/files/doc_news/2024/10/07/GLO-October-7-2024-2.pdf" TargetMode="External" /><Relationship Type="http://schemas.openxmlformats.org/officeDocument/2006/relationships/hyperlink" Id="rId35" Target="https://s29.q4cdn.com/426815530/files/doc_news/2024/10/29/GLO-October-29-2024.pdf" TargetMode="External" /><Relationship Type="http://schemas.openxmlformats.org/officeDocument/2006/relationships/hyperlink" Id="rId68" Target="https://s29.q4cdn.com/426815530/files/doc_news/2024/12/17/GLO-December-17-2024-2.pdf" TargetMode="External" /><Relationship Type="http://schemas.openxmlformats.org/officeDocument/2006/relationships/hyperlink" Id="rId113" Target="https://s29.q4cdn.com/426815530/files/doc_news/2025/01/23/GLO-January-23-2025.pdf" TargetMode="External" /><Relationship Type="http://schemas.openxmlformats.org/officeDocument/2006/relationships/hyperlink" Id="rId115" Target="https://s29.q4cdn.com/426815530/files/doc_news/2025/01/24/GLO-January-24-2025.pdf" TargetMode="External" /><Relationship Type="http://schemas.openxmlformats.org/officeDocument/2006/relationships/hyperlink" Id="rId118" Target="https://s29.q4cdn.com/426815530/files/doc_news/2025/02/12/GLO-February-12-2025.pdf" TargetMode="External" /><Relationship Type="http://schemas.openxmlformats.org/officeDocument/2006/relationships/hyperlink" Id="rId120" Target="https://s29.q4cdn.com/426815530/files/doc_news/2025/03/27/GLO-March-27-2025-3.pdf" TargetMode="External" /><Relationship Type="http://schemas.openxmlformats.org/officeDocument/2006/relationships/hyperlink" Id="rId39" Target="https://s29.q4cdn.com/426815530/files/doc_news/2025/08/12/GLO-August-12-2025-3.pdf" TargetMode="External" /><Relationship Type="http://schemas.openxmlformats.org/officeDocument/2006/relationships/hyperlink" Id="rId42" Target="https://s29.q4cdn.com/426815530/files/doc_news/2025/12/11/GLO-December-11-2025-Final.pdf" TargetMode="External" /><Relationship Type="http://schemas.openxmlformats.org/officeDocument/2006/relationships/hyperlink" Id="rId124" Target="https://s29.q4cdn.com/426815530/files/doc_news/2026/02/25/GLO-February-25-2026.pdf" TargetMode="External" /><Relationship Type="http://schemas.openxmlformats.org/officeDocument/2006/relationships/hyperlink" Id="rId25" Target="https://s29.q4cdn.com/426815530/files/doc_news/2026/09/16/GLO-September-16-2026.pdf" TargetMode="External" /><Relationship Type="http://schemas.openxmlformats.org/officeDocument/2006/relationships/hyperlink" Id="rId26" Target="https://www.dfc.gov/sites/default/files/media/documents/Board%20of%20Directors%20Meeting%20Notice%202026.09.16%20-%20Supplement.pdf" TargetMode="External" /><Relationship Type="http://schemas.openxmlformats.org/officeDocument/2006/relationships/hyperlink" Id="rId70" Target="https://www.dfc.gov/who-we-are/our-people/board-directors" TargetMode="External" /><Relationship Type="http://schemas.openxmlformats.org/officeDocument/2006/relationships/hyperlink" Id="rId98" Target="https://www.sedi.ca/sedi/SVTItdController" TargetMode="External" /><Relationship Type="http://schemas.openxmlformats.org/officeDocument/2006/relationships/hyperlink" Id="rId23" Target="https://www3.dfc.gov/environment/eia/dasa/Cover_Letter.pdf" TargetMode="External" /></Relationships>
</file>

<file path=word/_rels/footnotes.xml.rels><?xml version="1.0" encoding="UTF-8"?><Relationships xmlns="http://schemas.openxmlformats.org/package/2006/relationships"><Relationship Type="http://schemas.openxmlformats.org/officeDocument/2006/relationships/hyperlink" Id="rId52" Target="https://app.bigdata.com/documents/0D4B478C54776B785833EAA7221B0575" TargetMode="External" /><Relationship Type="http://schemas.openxmlformats.org/officeDocument/2006/relationships/hyperlink" Id="rId116" Target="https://app.bigdata.com/documents/2092A4F00BAB3887A66F9FB9D4D74041" TargetMode="External" /><Relationship Type="http://schemas.openxmlformats.org/officeDocument/2006/relationships/hyperlink" Id="rId125" Target="https://app.bigdata.com/documents/38557570D91EB62FE5573FCF656DE06C" TargetMode="External" /><Relationship Type="http://schemas.openxmlformats.org/officeDocument/2006/relationships/hyperlink" Id="rId37" Target="https://app.bigdata.com/documents/54356E136064B87D820A2A8F0796B773" TargetMode="External" /><Relationship Type="http://schemas.openxmlformats.org/officeDocument/2006/relationships/hyperlink" Id="rId93" Target="https://app.bigdata.com/documents/71F12913BCD3F2CA16B958671B2F1A3D" TargetMode="External" /><Relationship Type="http://schemas.openxmlformats.org/officeDocument/2006/relationships/hyperlink" Id="rId74" Target="https://app.bigdata.com/documents/95D23011158AACC350B9C746B590219E" TargetMode="External" /><Relationship Type="http://schemas.openxmlformats.org/officeDocument/2006/relationships/hyperlink" Id="rId49" Target="https://app.bigdata.com/documents/98B8C7F91233A4649338115B8D79934C" TargetMode="External" /><Relationship Type="http://schemas.openxmlformats.org/officeDocument/2006/relationships/hyperlink" Id="rId85" Target="https://app.bigdata.com/documents/BCBCF4052E29E8213DF3D760C50CC694" TargetMode="External" /><Relationship Type="http://schemas.openxmlformats.org/officeDocument/2006/relationships/hyperlink" Id="rId111" Target="https://app.bigdata.com/documents/F411532B8D926812398B42414136FA54" TargetMode="External" /><Relationship Type="http://schemas.openxmlformats.org/officeDocument/2006/relationships/hyperlink" Id="rId87" Target="https://app.bigdata.com/documents/F47080983051FB7E4C7EAA4B242352C5" TargetMode="External" /><Relationship Type="http://schemas.openxmlformats.org/officeDocument/2006/relationships/hyperlink" Id="rId43" Target="https://dfc.gov/sites/default/files/media/documents/09.05.24%20Board%20Meeting%20Summary.pdf" TargetMode="External" /><Relationship Type="http://schemas.openxmlformats.org/officeDocument/2006/relationships/hyperlink" Id="rId143" Target="https://s29.q4cdn.com/426815530/files/doc_financials/2023/q2/GLO-2023-Q2-MDA-final.pdf" TargetMode="External" /><Relationship Type="http://schemas.openxmlformats.org/officeDocument/2006/relationships/hyperlink" Id="rId47" Target="https://s29.q4cdn.com/426815530/files/doc_financials/2023/q4/Global-Atomic-2023-MDA-Final.pdf" TargetMode="External" /><Relationship Type="http://schemas.openxmlformats.org/officeDocument/2006/relationships/hyperlink" Id="rId50" Target="https://s29.q4cdn.com/426815530/files/doc_financials/2024/q1/GLO-2024-Q1-MDA.pdf" TargetMode="External" /><Relationship Type="http://schemas.openxmlformats.org/officeDocument/2006/relationships/hyperlink" Id="rId54" Target="https://s29.q4cdn.com/426815530/files/doc_financials/2024/q2/GLO-Q2-2024-MDA-final.pdf" TargetMode="External" /><Relationship Type="http://schemas.openxmlformats.org/officeDocument/2006/relationships/hyperlink" Id="rId56" Target="https://s29.q4cdn.com/426815530/files/doc_financials/2024/q3/GLO-2024-Q3-MDA.pdf" TargetMode="External" /><Relationship Type="http://schemas.openxmlformats.org/officeDocument/2006/relationships/hyperlink" Id="rId21" Target="https://s29.q4cdn.com/426815530/files/doc_financials/2024/q4/Global-Atomic-2024-AIF-27-Mar-2025.pdf" TargetMode="External" /><Relationship Type="http://schemas.openxmlformats.org/officeDocument/2006/relationships/hyperlink" Id="rId45" Target="https://s29.q4cdn.com/426815530/files/doc_news/2023/11/09/GLO-November-10-2023-5.pdf" TargetMode="External" /><Relationship Type="http://schemas.openxmlformats.org/officeDocument/2006/relationships/hyperlink" Id="rId80" Target="https://s29.q4cdn.com/426815530/files/doc_news/2023/12/19/GLO-December-19-2023.pdf" TargetMode="External" /><Relationship Type="http://schemas.openxmlformats.org/officeDocument/2006/relationships/hyperlink" Id="rId82" Target="https://s29.q4cdn.com/426815530/files/doc_news/2024/01/10/GLO-January-10-2024-2.pdf" TargetMode="External" /><Relationship Type="http://schemas.openxmlformats.org/officeDocument/2006/relationships/hyperlink" Id="rId33" Target="https://s29.q4cdn.com/426815530/files/doc_news/2024/03/05/GLO-March-5-2024-2.pdf" TargetMode="External" /><Relationship Type="http://schemas.openxmlformats.org/officeDocument/2006/relationships/hyperlink" Id="rId62" Target="https://s29.q4cdn.com/426815530/files/doc_news/2024/07/16/GLO-July-16-2024-2.pdf" TargetMode="External" /><Relationship Type="http://schemas.openxmlformats.org/officeDocument/2006/relationships/hyperlink" Id="rId64" Target="https://s29.q4cdn.com/426815530/files/doc_news/2024/08/12/GLO-August-12-2024-final.pdf" TargetMode="External" /><Relationship Type="http://schemas.openxmlformats.org/officeDocument/2006/relationships/hyperlink" Id="rId104" Target="https://s29.q4cdn.com/426815530/files/doc_news/2024/10/03/GLO-October-3-2024-4.pdf" TargetMode="External" /><Relationship Type="http://schemas.openxmlformats.org/officeDocument/2006/relationships/hyperlink" Id="rId30" Target="https://s29.q4cdn.com/426815530/files/doc_news/2024/10/07/GLO-October-7-2024-2.pdf" TargetMode="External" /><Relationship Type="http://schemas.openxmlformats.org/officeDocument/2006/relationships/hyperlink" Id="rId35" Target="https://s29.q4cdn.com/426815530/files/doc_news/2024/10/29/GLO-October-29-2024.pdf" TargetMode="External" /><Relationship Type="http://schemas.openxmlformats.org/officeDocument/2006/relationships/hyperlink" Id="rId68" Target="https://s29.q4cdn.com/426815530/files/doc_news/2024/12/17/GLO-December-17-2024-2.pdf" TargetMode="External" /><Relationship Type="http://schemas.openxmlformats.org/officeDocument/2006/relationships/hyperlink" Id="rId113" Target="https://s29.q4cdn.com/426815530/files/doc_news/2025/01/23/GLO-January-23-2025.pdf" TargetMode="External" /><Relationship Type="http://schemas.openxmlformats.org/officeDocument/2006/relationships/hyperlink" Id="rId115" Target="https://s29.q4cdn.com/426815530/files/doc_news/2025/01/24/GLO-January-24-2025.pdf" TargetMode="External" /><Relationship Type="http://schemas.openxmlformats.org/officeDocument/2006/relationships/hyperlink" Id="rId118" Target="https://s29.q4cdn.com/426815530/files/doc_news/2025/02/12/GLO-February-12-2025.pdf" TargetMode="External" /><Relationship Type="http://schemas.openxmlformats.org/officeDocument/2006/relationships/hyperlink" Id="rId120" Target="https://s29.q4cdn.com/426815530/files/doc_news/2025/03/27/GLO-March-27-2025-3.pdf" TargetMode="External" /><Relationship Type="http://schemas.openxmlformats.org/officeDocument/2006/relationships/hyperlink" Id="rId39" Target="https://s29.q4cdn.com/426815530/files/doc_news/2025/08/12/GLO-August-12-2025-3.pdf" TargetMode="External" /><Relationship Type="http://schemas.openxmlformats.org/officeDocument/2006/relationships/hyperlink" Id="rId42" Target="https://s29.q4cdn.com/426815530/files/doc_news/2025/12/11/GLO-December-11-2025-Final.pdf" TargetMode="External" /><Relationship Type="http://schemas.openxmlformats.org/officeDocument/2006/relationships/hyperlink" Id="rId124" Target="https://s29.q4cdn.com/426815530/files/doc_news/2026/02/25/GLO-February-25-2026.pdf" TargetMode="External" /><Relationship Type="http://schemas.openxmlformats.org/officeDocument/2006/relationships/hyperlink" Id="rId25" Target="https://s29.q4cdn.com/426815530/files/doc_news/2026/09/16/GLO-September-16-2026.pdf" TargetMode="External" /><Relationship Type="http://schemas.openxmlformats.org/officeDocument/2006/relationships/hyperlink" Id="rId26" Target="https://www.dfc.gov/sites/default/files/media/documents/Board%20of%20Directors%20Meeting%20Notice%202026.09.16%20-%20Supplement.pdf" TargetMode="External" /><Relationship Type="http://schemas.openxmlformats.org/officeDocument/2006/relationships/hyperlink" Id="rId70" Target="https://www.dfc.gov/who-we-are/our-people/board-directors" TargetMode="External" /><Relationship Type="http://schemas.openxmlformats.org/officeDocument/2006/relationships/hyperlink" Id="rId98" Target="https://www.sedi.ca/sedi/SVTItdController" TargetMode="External" /><Relationship Type="http://schemas.openxmlformats.org/officeDocument/2006/relationships/hyperlink" Id="rId23" Target="https://www3.dfc.gov/environment/eia/dasa/Cover_Lette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2026-10-19T05:39:22Z</dcterms:created>
  <dcterms:modified xsi:type="dcterms:W3CDTF">2026-10-19T05:39:22Z</dcterms:modified>
</cp:coreProperties>
</file>

<file path=docProps/custom.xml><?xml version="1.0" encoding="utf-8"?>
<Properties xmlns="http://schemas.openxmlformats.org/officeDocument/2006/custom-properties" xmlns:vt="http://schemas.openxmlformats.org/officeDocument/2006/docPropsVTypes"/>
</file>