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215" w:type="dxa"/>
        <w:tblLayout w:type="fixed"/>
        <w:tblLook w:val="04A0" w:firstRow="1" w:lastRow="0" w:firstColumn="1" w:lastColumn="0" w:noHBand="0" w:noVBand="1"/>
      </w:tblPr>
      <w:tblGrid>
        <w:gridCol w:w="1586"/>
        <w:gridCol w:w="1919"/>
        <w:gridCol w:w="5310"/>
        <w:gridCol w:w="5400"/>
      </w:tblGrid>
      <w:tr w:rsidR="004D638E" w:rsidRPr="007312C8" w14:paraId="45DA2CC7" w14:textId="77777777" w:rsidTr="00C544EC">
        <w:tc>
          <w:tcPr>
            <w:tcW w:w="14215" w:type="dxa"/>
            <w:gridSpan w:val="4"/>
          </w:tcPr>
          <w:p w14:paraId="11D224CB" w14:textId="0EF394DC" w:rsidR="004D638E" w:rsidRPr="004D638E" w:rsidRDefault="004D638E">
            <w:pPr>
              <w:rPr>
                <w:b/>
                <w:bCs/>
                <w:sz w:val="20"/>
                <w:szCs w:val="20"/>
              </w:rPr>
            </w:pPr>
            <w:r w:rsidRPr="004D638E">
              <w:rPr>
                <w:b/>
                <w:bCs/>
                <w:sz w:val="20"/>
                <w:szCs w:val="20"/>
              </w:rPr>
              <w:t>Table A: Transmission Rates in Different Network / Community Types, as Reported in the Literature</w:t>
            </w:r>
          </w:p>
        </w:tc>
      </w:tr>
      <w:tr w:rsidR="00C16812" w:rsidRPr="007312C8" w14:paraId="3FF4A246" w14:textId="77777777" w:rsidTr="00C544EC">
        <w:tc>
          <w:tcPr>
            <w:tcW w:w="1586" w:type="dxa"/>
          </w:tcPr>
          <w:p w14:paraId="38FA6A62" w14:textId="693A3537" w:rsidR="00C16812" w:rsidRPr="00C544EC" w:rsidRDefault="00C16812">
            <w:pPr>
              <w:rPr>
                <w:b/>
                <w:bCs/>
                <w:sz w:val="20"/>
                <w:szCs w:val="20"/>
              </w:rPr>
            </w:pPr>
            <w:r w:rsidRPr="00C544EC">
              <w:rPr>
                <w:b/>
                <w:bCs/>
                <w:sz w:val="20"/>
                <w:szCs w:val="20"/>
              </w:rPr>
              <w:t>Community Type</w:t>
            </w:r>
          </w:p>
        </w:tc>
        <w:tc>
          <w:tcPr>
            <w:tcW w:w="1919" w:type="dxa"/>
          </w:tcPr>
          <w:p w14:paraId="79CFF808" w14:textId="395DCB98" w:rsidR="00C16812" w:rsidRPr="00C544EC" w:rsidRDefault="00C16812">
            <w:pPr>
              <w:rPr>
                <w:b/>
                <w:bCs/>
                <w:sz w:val="20"/>
                <w:szCs w:val="20"/>
              </w:rPr>
            </w:pPr>
            <w:r w:rsidRPr="00C544EC">
              <w:rPr>
                <w:b/>
                <w:bCs/>
                <w:sz w:val="20"/>
                <w:szCs w:val="20"/>
              </w:rPr>
              <w:t>Transmission rate</w:t>
            </w:r>
          </w:p>
        </w:tc>
        <w:tc>
          <w:tcPr>
            <w:tcW w:w="5310" w:type="dxa"/>
          </w:tcPr>
          <w:p w14:paraId="3A6B4138" w14:textId="5DA6CF58" w:rsidR="00C16812" w:rsidRPr="00C544EC" w:rsidRDefault="00C16812">
            <w:pPr>
              <w:rPr>
                <w:b/>
                <w:bCs/>
                <w:sz w:val="20"/>
                <w:szCs w:val="20"/>
              </w:rPr>
            </w:pPr>
            <w:r w:rsidRPr="00C544EC">
              <w:rPr>
                <w:b/>
                <w:bCs/>
                <w:sz w:val="20"/>
                <w:szCs w:val="20"/>
              </w:rPr>
              <w:t>Notes</w:t>
            </w:r>
          </w:p>
        </w:tc>
        <w:tc>
          <w:tcPr>
            <w:tcW w:w="5400" w:type="dxa"/>
          </w:tcPr>
          <w:p w14:paraId="3FB1D3FD" w14:textId="09061815" w:rsidR="00C16812" w:rsidRPr="00C544EC" w:rsidRDefault="00C16812">
            <w:pPr>
              <w:rPr>
                <w:b/>
                <w:bCs/>
                <w:sz w:val="20"/>
                <w:szCs w:val="20"/>
              </w:rPr>
            </w:pPr>
            <w:r w:rsidRPr="00C544EC">
              <w:rPr>
                <w:b/>
                <w:bCs/>
                <w:sz w:val="20"/>
                <w:szCs w:val="20"/>
              </w:rPr>
              <w:t>Data Source</w:t>
            </w:r>
          </w:p>
        </w:tc>
      </w:tr>
      <w:tr w:rsidR="00C16812" w:rsidRPr="007312C8" w14:paraId="4F561864" w14:textId="77777777" w:rsidTr="00C544EC">
        <w:tc>
          <w:tcPr>
            <w:tcW w:w="1586" w:type="dxa"/>
          </w:tcPr>
          <w:p w14:paraId="2702280E" w14:textId="577968C3" w:rsidR="00C16812" w:rsidRPr="007312C8" w:rsidRDefault="00C16812">
            <w:pPr>
              <w:rPr>
                <w:sz w:val="20"/>
                <w:szCs w:val="20"/>
              </w:rPr>
            </w:pPr>
            <w:r w:rsidRPr="007312C8">
              <w:rPr>
                <w:sz w:val="20"/>
                <w:szCs w:val="20"/>
              </w:rPr>
              <w:t>Household</w:t>
            </w:r>
          </w:p>
        </w:tc>
        <w:tc>
          <w:tcPr>
            <w:tcW w:w="1919" w:type="dxa"/>
          </w:tcPr>
          <w:p w14:paraId="322B6616" w14:textId="79A28D1A" w:rsidR="00D4557F" w:rsidRPr="007312C8" w:rsidRDefault="00D4557F">
            <w:pPr>
              <w:rPr>
                <w:sz w:val="20"/>
                <w:szCs w:val="20"/>
              </w:rPr>
            </w:pPr>
            <w:r w:rsidRPr="007312C8">
              <w:rPr>
                <w:sz w:val="20"/>
                <w:szCs w:val="20"/>
              </w:rPr>
              <w:t>Secondary infection rate</w:t>
            </w:r>
            <w:r w:rsidR="00C544EC">
              <w:rPr>
                <w:rStyle w:val="FootnoteReference"/>
                <w:sz w:val="20"/>
                <w:szCs w:val="20"/>
              </w:rPr>
              <w:footnoteReference w:id="1"/>
            </w:r>
            <w:r w:rsidRPr="007312C8">
              <w:rPr>
                <w:sz w:val="20"/>
                <w:szCs w:val="20"/>
              </w:rPr>
              <w:t xml:space="preserve"> = </w:t>
            </w:r>
            <w:r w:rsidRPr="007312C8">
              <w:rPr>
                <w:color w:val="000000"/>
                <w:sz w:val="20"/>
                <w:szCs w:val="20"/>
                <w:shd w:val="clear" w:color="auto" w:fill="FFFFFF"/>
              </w:rPr>
              <w:t xml:space="preserve">53% (95% </w:t>
            </w:r>
            <w:r w:rsidR="00C544EC">
              <w:rPr>
                <w:color w:val="000000"/>
                <w:sz w:val="20"/>
                <w:szCs w:val="20"/>
                <w:shd w:val="clear" w:color="auto" w:fill="FFFFFF"/>
              </w:rPr>
              <w:t xml:space="preserve">CI: </w:t>
            </w:r>
            <w:r w:rsidRPr="007312C8">
              <w:rPr>
                <w:color w:val="000000"/>
                <w:sz w:val="20"/>
                <w:szCs w:val="20"/>
                <w:shd w:val="clear" w:color="auto" w:fill="FFFFFF"/>
              </w:rPr>
              <w:t> 46–60%)</w:t>
            </w:r>
          </w:p>
          <w:p w14:paraId="59D2F320" w14:textId="77777777" w:rsidR="00D4557F" w:rsidRPr="007312C8" w:rsidRDefault="00D4557F">
            <w:pPr>
              <w:rPr>
                <w:sz w:val="20"/>
                <w:szCs w:val="20"/>
              </w:rPr>
            </w:pPr>
          </w:p>
          <w:p w14:paraId="20919CF5" w14:textId="77777777" w:rsidR="00D4557F" w:rsidRPr="007312C8" w:rsidRDefault="00D4557F">
            <w:pPr>
              <w:rPr>
                <w:sz w:val="20"/>
                <w:szCs w:val="20"/>
              </w:rPr>
            </w:pPr>
          </w:p>
          <w:p w14:paraId="18C765A6" w14:textId="0CC5EFEA" w:rsidR="00C16812" w:rsidRPr="007312C8" w:rsidRDefault="000D586E">
            <w:pPr>
              <w:rPr>
                <w:sz w:val="20"/>
                <w:szCs w:val="20"/>
              </w:rPr>
            </w:pPr>
            <w:r w:rsidRPr="007312C8">
              <w:rPr>
                <w:sz w:val="20"/>
                <w:szCs w:val="20"/>
              </w:rPr>
              <w:t>** see table 2 for detailed breakdown of transmission by different factors (age, sex, race, household size)</w:t>
            </w:r>
          </w:p>
        </w:tc>
        <w:tc>
          <w:tcPr>
            <w:tcW w:w="5310" w:type="dxa"/>
          </w:tcPr>
          <w:p w14:paraId="08A0D9C7" w14:textId="62BD5E0A" w:rsidR="00A7488F" w:rsidRPr="007312C8" w:rsidRDefault="00891EDE" w:rsidP="00A7488F">
            <w:pPr>
              <w:rPr>
                <w:color w:val="000000"/>
                <w:sz w:val="20"/>
                <w:szCs w:val="20"/>
                <w:shd w:val="clear" w:color="auto" w:fill="FFFFFF"/>
              </w:rPr>
            </w:pPr>
            <w:r w:rsidRPr="007312C8">
              <w:rPr>
                <w:sz w:val="20"/>
                <w:szCs w:val="20"/>
              </w:rPr>
              <w:t xml:space="preserve">Design: </w:t>
            </w:r>
            <w:r w:rsidR="00C16812" w:rsidRPr="007312C8">
              <w:rPr>
                <w:sz w:val="20"/>
                <w:szCs w:val="20"/>
              </w:rPr>
              <w:t>Prospective household study</w:t>
            </w:r>
            <w:r w:rsidR="00044DE6" w:rsidRPr="007312C8">
              <w:rPr>
                <w:sz w:val="20"/>
                <w:szCs w:val="20"/>
              </w:rPr>
              <w:t xml:space="preserve"> conducted in Tennessee and Wisconsin, April – September 2020</w:t>
            </w:r>
            <w:r w:rsidR="00510F6B" w:rsidRPr="007312C8">
              <w:rPr>
                <w:sz w:val="20"/>
                <w:szCs w:val="20"/>
              </w:rPr>
              <w:t xml:space="preserve">; </w:t>
            </w:r>
            <w:r w:rsidR="00510F6B" w:rsidRPr="007312C8">
              <w:rPr>
                <w:color w:val="000000"/>
                <w:sz w:val="20"/>
                <w:szCs w:val="20"/>
                <w:shd w:val="clear" w:color="auto" w:fill="FFFFFF"/>
              </w:rPr>
              <w:t>After enrollment, index patients (</w:t>
            </w:r>
            <w:r w:rsidR="00C544EC" w:rsidRPr="007312C8">
              <w:rPr>
                <w:color w:val="000000"/>
                <w:sz w:val="20"/>
                <w:szCs w:val="20"/>
                <w:shd w:val="clear" w:color="auto" w:fill="FFFFFF"/>
              </w:rPr>
              <w:t>initial</w:t>
            </w:r>
            <w:r w:rsidR="00510F6B" w:rsidRPr="007312C8">
              <w:rPr>
                <w:color w:val="000000"/>
                <w:sz w:val="20"/>
                <w:szCs w:val="20"/>
                <w:shd w:val="clear" w:color="auto" w:fill="FFFFFF"/>
              </w:rPr>
              <w:t xml:space="preserve"> person who tested positive via RT-PCR test) and household members completed symptom diaries and obtained self-collected specimens (nasal swabs only or nasal swabs and saliva samples), daily for 14 days</w:t>
            </w:r>
            <w:r w:rsidR="00A7488F" w:rsidRPr="007312C8">
              <w:rPr>
                <w:color w:val="000000"/>
                <w:sz w:val="20"/>
                <w:szCs w:val="20"/>
                <w:shd w:val="clear" w:color="auto" w:fill="FFFFFF"/>
              </w:rPr>
              <w:t>; specimens from the first 7 days were tested for SARS-CoV-2</w:t>
            </w:r>
          </w:p>
          <w:p w14:paraId="0EB7F684" w14:textId="62A06943" w:rsidR="00891EDE" w:rsidRPr="007312C8" w:rsidRDefault="00891EDE" w:rsidP="00A7488F">
            <w:pPr>
              <w:rPr>
                <w:sz w:val="20"/>
                <w:szCs w:val="20"/>
              </w:rPr>
            </w:pPr>
            <w:r w:rsidRPr="007312C8">
              <w:rPr>
                <w:sz w:val="20"/>
                <w:szCs w:val="20"/>
              </w:rPr>
              <w:t>Endpoint: 7-day secondary infection rate</w:t>
            </w:r>
          </w:p>
          <w:p w14:paraId="081DAB98" w14:textId="29DEB7C4" w:rsidR="00891EDE" w:rsidRPr="007312C8" w:rsidRDefault="00891EDE" w:rsidP="00891EDE">
            <w:pPr>
              <w:rPr>
                <w:sz w:val="20"/>
                <w:szCs w:val="20"/>
              </w:rPr>
            </w:pPr>
            <w:r w:rsidRPr="007312C8">
              <w:rPr>
                <w:sz w:val="20"/>
                <w:szCs w:val="20"/>
              </w:rPr>
              <w:t xml:space="preserve">Results: </w:t>
            </w:r>
            <w:r w:rsidRPr="007312C8">
              <w:rPr>
                <w:color w:val="000000"/>
                <w:sz w:val="20"/>
                <w:szCs w:val="20"/>
                <w:shd w:val="clear" w:color="auto" w:fill="FFFFFF"/>
              </w:rPr>
              <w:t>191 enrolled household contacts of 101 index patients reported having no symptoms on the day of the associated index patient’s illness onset; among these 191 contacts, 102 had SARS-CoV-2 detected in either nasal or saliva specimens during follow-up, for a secondary infection rate of 53% (95% confidence interval [CI] = 46%–60%). Among fourteen households in which the index patient was aged &lt;18 years, the secondary infection rate from index patients aged &lt;12 years was 53% (95% CI = 31%–74%) and from index patients aged 12–17 years was 38% (95% CI = 23%–56%).</w:t>
            </w:r>
          </w:p>
          <w:p w14:paraId="48A296AA" w14:textId="754CADB3" w:rsidR="00510F6B" w:rsidRPr="007312C8" w:rsidRDefault="00510F6B" w:rsidP="00510F6B">
            <w:pPr>
              <w:rPr>
                <w:sz w:val="20"/>
                <w:szCs w:val="20"/>
              </w:rPr>
            </w:pPr>
          </w:p>
          <w:p w14:paraId="34934C80" w14:textId="207AC8AF" w:rsidR="00C16812" w:rsidRPr="007312C8" w:rsidRDefault="00C16812">
            <w:pPr>
              <w:rPr>
                <w:sz w:val="20"/>
                <w:szCs w:val="20"/>
              </w:rPr>
            </w:pPr>
          </w:p>
        </w:tc>
        <w:tc>
          <w:tcPr>
            <w:tcW w:w="5400" w:type="dxa"/>
          </w:tcPr>
          <w:p w14:paraId="3E7F4A94" w14:textId="77777777" w:rsidR="00C16812" w:rsidRPr="007312C8" w:rsidRDefault="00C16812" w:rsidP="00C16812">
            <w:pPr>
              <w:rPr>
                <w:sz w:val="20"/>
                <w:szCs w:val="20"/>
              </w:rPr>
            </w:pPr>
            <w:r w:rsidRPr="007312C8">
              <w:rPr>
                <w:color w:val="000000"/>
                <w:sz w:val="20"/>
                <w:szCs w:val="20"/>
                <w:shd w:val="clear" w:color="auto" w:fill="DEE8FF"/>
              </w:rPr>
              <w:t xml:space="preserve">Grijalva CG, </w:t>
            </w:r>
            <w:proofErr w:type="spellStart"/>
            <w:r w:rsidRPr="007312C8">
              <w:rPr>
                <w:color w:val="000000"/>
                <w:sz w:val="20"/>
                <w:szCs w:val="20"/>
                <w:shd w:val="clear" w:color="auto" w:fill="DEE8FF"/>
              </w:rPr>
              <w:t>Rolfes</w:t>
            </w:r>
            <w:proofErr w:type="spellEnd"/>
            <w:r w:rsidRPr="007312C8">
              <w:rPr>
                <w:color w:val="000000"/>
                <w:sz w:val="20"/>
                <w:szCs w:val="20"/>
                <w:shd w:val="clear" w:color="auto" w:fill="DEE8FF"/>
              </w:rPr>
              <w:t xml:space="preserve"> MA, Zhu Y, et al. Transmission of SARS-COV-2 Infections in Households — Tennessee and Wisconsin, April–September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2020;69:1631</w:t>
            </w:r>
            <w:proofErr w:type="gramEnd"/>
            <w:r w:rsidRPr="007312C8">
              <w:rPr>
                <w:color w:val="000000"/>
                <w:sz w:val="20"/>
                <w:szCs w:val="20"/>
                <w:shd w:val="clear" w:color="auto" w:fill="DEE8FF"/>
              </w:rPr>
              <w:t>–1634. DOI: </w:t>
            </w:r>
            <w:hyperlink r:id="rId7" w:tgtFrame="_blank" w:history="1">
              <w:r w:rsidRPr="007312C8">
                <w:rPr>
                  <w:rStyle w:val="Hyperlink"/>
                  <w:color w:val="075290"/>
                  <w:sz w:val="20"/>
                  <w:szCs w:val="20"/>
                  <w:u w:val="none"/>
                  <w:shd w:val="clear" w:color="auto" w:fill="DEE8FF"/>
                </w:rPr>
                <w:t>http://dx.doi.org/10.15585/mmwr.mm6944e1</w:t>
              </w:r>
            </w:hyperlink>
          </w:p>
          <w:p w14:paraId="11EA9103" w14:textId="65F7F778" w:rsidR="00C16812" w:rsidRPr="007312C8" w:rsidRDefault="00217727">
            <w:pPr>
              <w:rPr>
                <w:sz w:val="20"/>
                <w:szCs w:val="20"/>
              </w:rPr>
            </w:pPr>
            <w:r w:rsidRPr="007312C8">
              <w:rPr>
                <w:sz w:val="20"/>
                <w:szCs w:val="20"/>
              </w:rPr>
              <w:t>https://www.cdc.gov/mmwr/volumes/69/wr/mm6944e1.htm</w:t>
            </w:r>
          </w:p>
        </w:tc>
      </w:tr>
      <w:tr w:rsidR="00C16812" w:rsidRPr="007312C8" w14:paraId="134B3235" w14:textId="77777777" w:rsidTr="00C544EC">
        <w:tc>
          <w:tcPr>
            <w:tcW w:w="1586" w:type="dxa"/>
          </w:tcPr>
          <w:p w14:paraId="34F29510" w14:textId="53B124C5" w:rsidR="00C16812" w:rsidRPr="007312C8" w:rsidRDefault="00282FD4">
            <w:pPr>
              <w:rPr>
                <w:sz w:val="20"/>
                <w:szCs w:val="20"/>
              </w:rPr>
            </w:pPr>
            <w:r w:rsidRPr="007312C8">
              <w:rPr>
                <w:sz w:val="20"/>
                <w:szCs w:val="20"/>
              </w:rPr>
              <w:t xml:space="preserve">Choral Rehearsal </w:t>
            </w:r>
            <w:r w:rsidR="004D638E">
              <w:rPr>
                <w:sz w:val="20"/>
                <w:szCs w:val="20"/>
              </w:rPr>
              <w:t>(singing)</w:t>
            </w:r>
          </w:p>
        </w:tc>
        <w:tc>
          <w:tcPr>
            <w:tcW w:w="1919" w:type="dxa"/>
          </w:tcPr>
          <w:p w14:paraId="41612479" w14:textId="3C1896D9" w:rsidR="00282FD4" w:rsidRPr="007312C8" w:rsidRDefault="00282FD4" w:rsidP="00282FD4">
            <w:pPr>
              <w:rPr>
                <w:sz w:val="20"/>
                <w:szCs w:val="20"/>
              </w:rPr>
            </w:pPr>
            <w:r w:rsidRPr="007312C8">
              <w:rPr>
                <w:color w:val="1C1D1E"/>
                <w:sz w:val="20"/>
                <w:szCs w:val="20"/>
                <w:shd w:val="clear" w:color="auto" w:fill="FFFFFF"/>
              </w:rPr>
              <w:t>secondary infection attack rate range: 32/60 to 52/60, or 53%‐87%.</w:t>
            </w:r>
          </w:p>
          <w:p w14:paraId="594D4D65" w14:textId="77777777" w:rsidR="00C16812" w:rsidRPr="007312C8" w:rsidRDefault="00C16812">
            <w:pPr>
              <w:rPr>
                <w:sz w:val="20"/>
                <w:szCs w:val="20"/>
              </w:rPr>
            </w:pPr>
          </w:p>
        </w:tc>
        <w:tc>
          <w:tcPr>
            <w:tcW w:w="5310" w:type="dxa"/>
          </w:tcPr>
          <w:p w14:paraId="4049887F" w14:textId="77777777" w:rsidR="00F607CC" w:rsidRPr="007312C8" w:rsidRDefault="00F607CC" w:rsidP="00F607CC">
            <w:pPr>
              <w:rPr>
                <w:sz w:val="20"/>
                <w:szCs w:val="20"/>
              </w:rPr>
            </w:pPr>
            <w:r w:rsidRPr="007312C8">
              <w:rPr>
                <w:sz w:val="20"/>
                <w:szCs w:val="20"/>
              </w:rPr>
              <w:t xml:space="preserve">Case study of a choral group that met on March 10, 2020. </w:t>
            </w:r>
            <w:r w:rsidRPr="007312C8">
              <w:rPr>
                <w:color w:val="1C1D1E"/>
                <w:sz w:val="20"/>
                <w:szCs w:val="20"/>
                <w:shd w:val="clear" w:color="auto" w:fill="FFFFFF"/>
              </w:rPr>
              <w:t>At the time of the rehearsal, there were no known COVID‐19 cases in Skagit County. Among the 61 attendees at the rehearsal, 53 cases in total were subsequently identified including the index case, with 33 confirmed through positive COVID‐19 tests and 20 unconfirmed but probable secondary cases based on symptoms and timing.</w:t>
            </w:r>
          </w:p>
          <w:p w14:paraId="34E27A14" w14:textId="60064840" w:rsidR="00F607CC" w:rsidRPr="007312C8" w:rsidRDefault="00F607CC" w:rsidP="00F607CC">
            <w:pPr>
              <w:rPr>
                <w:sz w:val="20"/>
                <w:szCs w:val="20"/>
              </w:rPr>
            </w:pPr>
          </w:p>
          <w:p w14:paraId="059EF995" w14:textId="6F720F4E" w:rsidR="00C16812" w:rsidRPr="007312C8" w:rsidRDefault="00C16812">
            <w:pPr>
              <w:rPr>
                <w:sz w:val="20"/>
                <w:szCs w:val="20"/>
              </w:rPr>
            </w:pPr>
          </w:p>
        </w:tc>
        <w:tc>
          <w:tcPr>
            <w:tcW w:w="5400" w:type="dxa"/>
          </w:tcPr>
          <w:p w14:paraId="7EC81B1C" w14:textId="77777777" w:rsidR="004A210C" w:rsidRPr="007312C8" w:rsidRDefault="004A210C">
            <w:pPr>
              <w:rPr>
                <w:sz w:val="20"/>
                <w:szCs w:val="20"/>
              </w:rPr>
            </w:pPr>
          </w:p>
          <w:p w14:paraId="241AD35E" w14:textId="77777777" w:rsidR="004A210C" w:rsidRPr="007312C8" w:rsidRDefault="004A210C" w:rsidP="004A210C">
            <w:pPr>
              <w:rPr>
                <w:sz w:val="20"/>
                <w:szCs w:val="20"/>
              </w:rPr>
            </w:pPr>
            <w:r w:rsidRPr="007312C8">
              <w:rPr>
                <w:rStyle w:val="author"/>
                <w:color w:val="1C1D1E"/>
                <w:sz w:val="20"/>
                <w:szCs w:val="20"/>
                <w:shd w:val="clear" w:color="auto" w:fill="FFFFFF"/>
              </w:rPr>
              <w:t>Miller, SL</w:t>
            </w:r>
            <w:r w:rsidRPr="007312C8">
              <w:rPr>
                <w:color w:val="1C1D1E"/>
                <w:sz w:val="20"/>
                <w:szCs w:val="20"/>
                <w:shd w:val="clear" w:color="auto" w:fill="FFFFFF"/>
              </w:rPr>
              <w:t>, </w:t>
            </w:r>
            <w:proofErr w:type="spellStart"/>
            <w:r w:rsidRPr="007312C8">
              <w:rPr>
                <w:rStyle w:val="author"/>
                <w:color w:val="1C1D1E"/>
                <w:sz w:val="20"/>
                <w:szCs w:val="20"/>
                <w:shd w:val="clear" w:color="auto" w:fill="FFFFFF"/>
              </w:rPr>
              <w:t>Nazaroff</w:t>
            </w:r>
            <w:proofErr w:type="spellEnd"/>
            <w:r w:rsidRPr="007312C8">
              <w:rPr>
                <w:rStyle w:val="author"/>
                <w:color w:val="1C1D1E"/>
                <w:sz w:val="20"/>
                <w:szCs w:val="20"/>
                <w:shd w:val="clear" w:color="auto" w:fill="FFFFFF"/>
              </w:rPr>
              <w:t>, WW</w:t>
            </w:r>
            <w:r w:rsidRPr="007312C8">
              <w:rPr>
                <w:color w:val="1C1D1E"/>
                <w:sz w:val="20"/>
                <w:szCs w:val="20"/>
                <w:shd w:val="clear" w:color="auto" w:fill="FFFFFF"/>
              </w:rPr>
              <w:t>, </w:t>
            </w:r>
            <w:r w:rsidRPr="007312C8">
              <w:rPr>
                <w:rStyle w:val="author"/>
                <w:color w:val="1C1D1E"/>
                <w:sz w:val="20"/>
                <w:szCs w:val="20"/>
                <w:shd w:val="clear" w:color="auto" w:fill="FFFFFF"/>
              </w:rPr>
              <w:t>Jimenez, JL</w:t>
            </w:r>
            <w:r w:rsidRPr="007312C8">
              <w:rPr>
                <w:color w:val="1C1D1E"/>
                <w:sz w:val="20"/>
                <w:szCs w:val="20"/>
                <w:shd w:val="clear" w:color="auto" w:fill="FFFFFF"/>
              </w:rPr>
              <w:t>, et al. </w:t>
            </w:r>
            <w:r w:rsidRPr="007312C8">
              <w:rPr>
                <w:rStyle w:val="articletitle"/>
                <w:color w:val="1C1D1E"/>
                <w:sz w:val="20"/>
                <w:szCs w:val="20"/>
                <w:shd w:val="clear" w:color="auto" w:fill="FFFFFF"/>
              </w:rPr>
              <w:t>Transmission of SARS‐CoV‐2 by inhalation of respiratory aerosol in the Skagit Valley Chorale superspreading event</w:t>
            </w:r>
            <w:r w:rsidRPr="007312C8">
              <w:rPr>
                <w:color w:val="1C1D1E"/>
                <w:sz w:val="20"/>
                <w:szCs w:val="20"/>
                <w:shd w:val="clear" w:color="auto" w:fill="FFFFFF"/>
              </w:rPr>
              <w:t>. </w:t>
            </w:r>
            <w:r w:rsidRPr="007312C8">
              <w:rPr>
                <w:i/>
                <w:iCs/>
                <w:color w:val="1C1D1E"/>
                <w:sz w:val="20"/>
                <w:szCs w:val="20"/>
                <w:shd w:val="clear" w:color="auto" w:fill="FFFFFF"/>
              </w:rPr>
              <w:t>Indoor Air</w:t>
            </w:r>
            <w:r w:rsidRPr="007312C8">
              <w:rPr>
                <w:color w:val="1C1D1E"/>
                <w:sz w:val="20"/>
                <w:szCs w:val="20"/>
                <w:shd w:val="clear" w:color="auto" w:fill="FFFFFF"/>
              </w:rPr>
              <w:t>. </w:t>
            </w:r>
            <w:r w:rsidRPr="007312C8">
              <w:rPr>
                <w:rStyle w:val="pubyear"/>
                <w:color w:val="1C1D1E"/>
                <w:sz w:val="20"/>
                <w:szCs w:val="20"/>
                <w:shd w:val="clear" w:color="auto" w:fill="FFFFFF"/>
              </w:rPr>
              <w:t>2020</w:t>
            </w:r>
            <w:r w:rsidRPr="007312C8">
              <w:rPr>
                <w:color w:val="1C1D1E"/>
                <w:sz w:val="20"/>
                <w:szCs w:val="20"/>
                <w:shd w:val="clear" w:color="auto" w:fill="FFFFFF"/>
              </w:rPr>
              <w:t>; </w:t>
            </w:r>
            <w:r w:rsidRPr="007312C8">
              <w:rPr>
                <w:rStyle w:val="vol"/>
                <w:color w:val="1C1D1E"/>
                <w:sz w:val="20"/>
                <w:szCs w:val="20"/>
                <w:shd w:val="clear" w:color="auto" w:fill="FFFFFF"/>
              </w:rPr>
              <w:t>00</w:t>
            </w:r>
            <w:r w:rsidRPr="007312C8">
              <w:rPr>
                <w:color w:val="1C1D1E"/>
                <w:sz w:val="20"/>
                <w:szCs w:val="20"/>
                <w:shd w:val="clear" w:color="auto" w:fill="FFFFFF"/>
              </w:rPr>
              <w:t>: </w:t>
            </w:r>
            <w:r w:rsidRPr="007312C8">
              <w:rPr>
                <w:rStyle w:val="pagefirst"/>
                <w:color w:val="1C1D1E"/>
                <w:sz w:val="20"/>
                <w:szCs w:val="20"/>
                <w:shd w:val="clear" w:color="auto" w:fill="FFFFFF"/>
              </w:rPr>
              <w:t>1</w:t>
            </w:r>
            <w:r w:rsidRPr="007312C8">
              <w:rPr>
                <w:color w:val="1C1D1E"/>
                <w:sz w:val="20"/>
                <w:szCs w:val="20"/>
                <w:shd w:val="clear" w:color="auto" w:fill="FFFFFF"/>
              </w:rPr>
              <w:t>– </w:t>
            </w:r>
            <w:r w:rsidRPr="007312C8">
              <w:rPr>
                <w:rStyle w:val="pagelast"/>
                <w:color w:val="1C1D1E"/>
                <w:sz w:val="20"/>
                <w:szCs w:val="20"/>
                <w:shd w:val="clear" w:color="auto" w:fill="FFFFFF"/>
              </w:rPr>
              <w:t>10</w:t>
            </w:r>
            <w:r w:rsidRPr="007312C8">
              <w:rPr>
                <w:color w:val="1C1D1E"/>
                <w:sz w:val="20"/>
                <w:szCs w:val="20"/>
                <w:shd w:val="clear" w:color="auto" w:fill="FFFFFF"/>
              </w:rPr>
              <w:t>. </w:t>
            </w:r>
            <w:hyperlink r:id="rId8" w:history="1">
              <w:r w:rsidRPr="007312C8">
                <w:rPr>
                  <w:rStyle w:val="Hyperlink"/>
                  <w:color w:val="005274"/>
                  <w:sz w:val="20"/>
                  <w:szCs w:val="20"/>
                  <w:shd w:val="clear" w:color="auto" w:fill="FFFFFF"/>
                </w:rPr>
                <w:t>https://doi.org/10.1111/ina.12751</w:t>
              </w:r>
            </w:hyperlink>
          </w:p>
          <w:p w14:paraId="6A6256B1" w14:textId="77777777" w:rsidR="004A210C" w:rsidRPr="007312C8" w:rsidRDefault="004A210C">
            <w:pPr>
              <w:rPr>
                <w:sz w:val="20"/>
                <w:szCs w:val="20"/>
              </w:rPr>
            </w:pPr>
          </w:p>
          <w:p w14:paraId="3ED96D18" w14:textId="5DC5051F" w:rsidR="00C16812" w:rsidRPr="007312C8" w:rsidRDefault="004A210C">
            <w:pPr>
              <w:rPr>
                <w:sz w:val="20"/>
                <w:szCs w:val="20"/>
              </w:rPr>
            </w:pPr>
            <w:r w:rsidRPr="007312C8">
              <w:rPr>
                <w:sz w:val="20"/>
                <w:szCs w:val="20"/>
              </w:rPr>
              <w:t>https://onlinelibrary.wiley.com/doi/10.1111/ina.12751</w:t>
            </w:r>
          </w:p>
        </w:tc>
      </w:tr>
      <w:tr w:rsidR="00C16812" w:rsidRPr="007312C8" w14:paraId="480083A5" w14:textId="77777777" w:rsidTr="00C544EC">
        <w:tc>
          <w:tcPr>
            <w:tcW w:w="1586" w:type="dxa"/>
          </w:tcPr>
          <w:p w14:paraId="46D1E8A8" w14:textId="3147AD57" w:rsidR="00C16812" w:rsidRPr="007312C8" w:rsidRDefault="00705C89">
            <w:pPr>
              <w:rPr>
                <w:sz w:val="20"/>
                <w:szCs w:val="20"/>
              </w:rPr>
            </w:pPr>
            <w:r w:rsidRPr="007312C8">
              <w:rPr>
                <w:sz w:val="20"/>
                <w:szCs w:val="20"/>
              </w:rPr>
              <w:t xml:space="preserve">Gym </w:t>
            </w:r>
          </w:p>
        </w:tc>
        <w:tc>
          <w:tcPr>
            <w:tcW w:w="1919" w:type="dxa"/>
          </w:tcPr>
          <w:p w14:paraId="7DD740DB" w14:textId="77777777" w:rsidR="00C16812" w:rsidRPr="007312C8" w:rsidRDefault="00C16812">
            <w:pPr>
              <w:rPr>
                <w:sz w:val="20"/>
                <w:szCs w:val="20"/>
              </w:rPr>
            </w:pPr>
          </w:p>
        </w:tc>
        <w:tc>
          <w:tcPr>
            <w:tcW w:w="5310" w:type="dxa"/>
          </w:tcPr>
          <w:p w14:paraId="0745194F" w14:textId="77777777" w:rsidR="00724A6B" w:rsidRPr="007312C8" w:rsidRDefault="00724A6B" w:rsidP="00724A6B">
            <w:pPr>
              <w:rPr>
                <w:sz w:val="20"/>
                <w:szCs w:val="20"/>
              </w:rPr>
            </w:pPr>
            <w:r w:rsidRPr="007312C8">
              <w:rPr>
                <w:color w:val="2E2E2E"/>
                <w:sz w:val="20"/>
                <w:szCs w:val="20"/>
              </w:rPr>
              <w:t>In scenario B, the infection affects two subjects, both oral breathing during a sports activity in a 300 m</w:t>
            </w:r>
            <w:r w:rsidRPr="007312C8">
              <w:rPr>
                <w:color w:val="2E2E2E"/>
                <w:sz w:val="20"/>
                <w:szCs w:val="20"/>
                <w:vertAlign w:val="superscript"/>
              </w:rPr>
              <w:t>3</w:t>
            </w:r>
            <w:r w:rsidRPr="007312C8">
              <w:rPr>
                <w:color w:val="2E2E2E"/>
                <w:sz w:val="20"/>
                <w:szCs w:val="20"/>
              </w:rPr>
              <w:t> gym.</w:t>
            </w:r>
          </w:p>
          <w:p w14:paraId="45E00ADE" w14:textId="77777777" w:rsidR="00C16812" w:rsidRPr="007312C8" w:rsidRDefault="00C16812">
            <w:pPr>
              <w:rPr>
                <w:sz w:val="20"/>
                <w:szCs w:val="20"/>
              </w:rPr>
            </w:pPr>
          </w:p>
        </w:tc>
        <w:tc>
          <w:tcPr>
            <w:tcW w:w="5400" w:type="dxa"/>
          </w:tcPr>
          <w:p w14:paraId="5279D830" w14:textId="616E8225" w:rsidR="00671CCA" w:rsidRPr="007312C8" w:rsidRDefault="00671CCA">
            <w:pPr>
              <w:rPr>
                <w:sz w:val="20"/>
                <w:szCs w:val="20"/>
              </w:rPr>
            </w:pPr>
            <w:proofErr w:type="spellStart"/>
            <w:r w:rsidRPr="007312C8">
              <w:rPr>
                <w:sz w:val="20"/>
                <w:szCs w:val="20"/>
              </w:rPr>
              <w:t>Buonnano</w:t>
            </w:r>
            <w:proofErr w:type="spellEnd"/>
            <w:r w:rsidRPr="007312C8">
              <w:rPr>
                <w:sz w:val="20"/>
                <w:szCs w:val="20"/>
              </w:rPr>
              <w:t>, 2020</w:t>
            </w:r>
          </w:p>
          <w:p w14:paraId="3F0DC37C" w14:textId="19790321" w:rsidR="00C16812" w:rsidRPr="007312C8" w:rsidRDefault="00EF0E4F">
            <w:pPr>
              <w:rPr>
                <w:sz w:val="20"/>
                <w:szCs w:val="20"/>
              </w:rPr>
            </w:pPr>
            <w:r w:rsidRPr="007312C8">
              <w:rPr>
                <w:sz w:val="20"/>
                <w:szCs w:val="20"/>
              </w:rPr>
              <w:t>https://www.sciencedirect.com/science/article/pii/S0160412020320675?via%3Dihub</w:t>
            </w:r>
          </w:p>
        </w:tc>
      </w:tr>
      <w:tr w:rsidR="00705C89" w:rsidRPr="007312C8" w14:paraId="7EF6B010" w14:textId="77777777" w:rsidTr="00C544EC">
        <w:tc>
          <w:tcPr>
            <w:tcW w:w="1586" w:type="dxa"/>
          </w:tcPr>
          <w:p w14:paraId="79B8167E" w14:textId="13C1937C" w:rsidR="00705C89" w:rsidRPr="007312C8" w:rsidRDefault="00705C89">
            <w:pPr>
              <w:rPr>
                <w:sz w:val="20"/>
                <w:szCs w:val="20"/>
              </w:rPr>
            </w:pPr>
            <w:r w:rsidRPr="007312C8">
              <w:rPr>
                <w:sz w:val="20"/>
                <w:szCs w:val="20"/>
              </w:rPr>
              <w:lastRenderedPageBreak/>
              <w:t xml:space="preserve">Office </w:t>
            </w:r>
          </w:p>
        </w:tc>
        <w:tc>
          <w:tcPr>
            <w:tcW w:w="1919" w:type="dxa"/>
          </w:tcPr>
          <w:p w14:paraId="2643D231" w14:textId="77777777" w:rsidR="00705C89" w:rsidRPr="007312C8" w:rsidRDefault="00705C89">
            <w:pPr>
              <w:rPr>
                <w:sz w:val="20"/>
                <w:szCs w:val="20"/>
              </w:rPr>
            </w:pPr>
          </w:p>
        </w:tc>
        <w:tc>
          <w:tcPr>
            <w:tcW w:w="5310" w:type="dxa"/>
          </w:tcPr>
          <w:p w14:paraId="7CA10087" w14:textId="479E3361" w:rsidR="00724A6B" w:rsidRPr="007312C8" w:rsidRDefault="00724A6B" w:rsidP="00724A6B">
            <w:pPr>
              <w:rPr>
                <w:sz w:val="20"/>
                <w:szCs w:val="20"/>
              </w:rPr>
            </w:pPr>
            <w:r w:rsidRPr="007312C8">
              <w:rPr>
                <w:color w:val="2E2E2E"/>
                <w:sz w:val="20"/>
                <w:szCs w:val="20"/>
              </w:rPr>
              <w:t>Scenario C concerns two subjects (infected and healthy) in light activity while speaking in a generic 300 m</w:t>
            </w:r>
            <w:r w:rsidRPr="007312C8">
              <w:rPr>
                <w:color w:val="2E2E2E"/>
                <w:sz w:val="20"/>
                <w:szCs w:val="20"/>
                <w:vertAlign w:val="superscript"/>
              </w:rPr>
              <w:t>3</w:t>
            </w:r>
            <w:r w:rsidRPr="007312C8">
              <w:rPr>
                <w:color w:val="2E2E2E"/>
                <w:sz w:val="20"/>
                <w:szCs w:val="20"/>
              </w:rPr>
              <w:t> office (bank, post office, supermarket, shop, etc.). </w:t>
            </w:r>
          </w:p>
          <w:p w14:paraId="12E3635E" w14:textId="77777777" w:rsidR="00705C89" w:rsidRPr="007312C8" w:rsidRDefault="00705C89">
            <w:pPr>
              <w:rPr>
                <w:sz w:val="20"/>
                <w:szCs w:val="20"/>
              </w:rPr>
            </w:pPr>
          </w:p>
        </w:tc>
        <w:tc>
          <w:tcPr>
            <w:tcW w:w="5400" w:type="dxa"/>
          </w:tcPr>
          <w:p w14:paraId="5ADD063C" w14:textId="77777777" w:rsidR="00671CCA" w:rsidRPr="007312C8" w:rsidRDefault="00671CCA" w:rsidP="00671CCA">
            <w:pPr>
              <w:rPr>
                <w:sz w:val="20"/>
                <w:szCs w:val="20"/>
              </w:rPr>
            </w:pPr>
            <w:proofErr w:type="spellStart"/>
            <w:r w:rsidRPr="007312C8">
              <w:rPr>
                <w:sz w:val="20"/>
                <w:szCs w:val="20"/>
              </w:rPr>
              <w:t>Buonnano</w:t>
            </w:r>
            <w:proofErr w:type="spellEnd"/>
            <w:r w:rsidRPr="007312C8">
              <w:rPr>
                <w:sz w:val="20"/>
                <w:szCs w:val="20"/>
              </w:rPr>
              <w:t>, 2020</w:t>
            </w:r>
          </w:p>
          <w:p w14:paraId="093F423E" w14:textId="77777777" w:rsidR="00671CCA" w:rsidRPr="007312C8" w:rsidRDefault="00671CCA">
            <w:pPr>
              <w:rPr>
                <w:sz w:val="20"/>
                <w:szCs w:val="20"/>
              </w:rPr>
            </w:pPr>
          </w:p>
          <w:p w14:paraId="3867BE27" w14:textId="60005EBC" w:rsidR="00705C89" w:rsidRPr="007312C8" w:rsidRDefault="00EF0E4F">
            <w:pPr>
              <w:rPr>
                <w:sz w:val="20"/>
                <w:szCs w:val="20"/>
              </w:rPr>
            </w:pPr>
            <w:r w:rsidRPr="007312C8">
              <w:rPr>
                <w:sz w:val="20"/>
                <w:szCs w:val="20"/>
              </w:rPr>
              <w:t>https://www.sciencedirect.com/science/article/pii/S0160412020320675?via%3Dihub</w:t>
            </w:r>
          </w:p>
        </w:tc>
      </w:tr>
      <w:tr w:rsidR="00BA0059" w:rsidRPr="007312C8" w14:paraId="19360CC9" w14:textId="77777777" w:rsidTr="00C544EC">
        <w:tc>
          <w:tcPr>
            <w:tcW w:w="1586" w:type="dxa"/>
          </w:tcPr>
          <w:p w14:paraId="4BE6031F" w14:textId="35F11500" w:rsidR="00BA0059" w:rsidRPr="007312C8" w:rsidRDefault="00BA0059">
            <w:pPr>
              <w:rPr>
                <w:sz w:val="20"/>
                <w:szCs w:val="20"/>
              </w:rPr>
            </w:pPr>
            <w:r w:rsidRPr="007312C8">
              <w:rPr>
                <w:sz w:val="20"/>
                <w:szCs w:val="20"/>
              </w:rPr>
              <w:t>Restaurant</w:t>
            </w:r>
          </w:p>
        </w:tc>
        <w:tc>
          <w:tcPr>
            <w:tcW w:w="1919" w:type="dxa"/>
          </w:tcPr>
          <w:p w14:paraId="28718CA9" w14:textId="77777777" w:rsidR="00BA0059" w:rsidRPr="007312C8" w:rsidRDefault="00BA0059" w:rsidP="00BA0059">
            <w:pPr>
              <w:rPr>
                <w:sz w:val="20"/>
                <w:szCs w:val="20"/>
              </w:rPr>
            </w:pPr>
            <w:r w:rsidRPr="007312C8">
              <w:rPr>
                <w:color w:val="2E2E2E"/>
                <w:sz w:val="20"/>
                <w:szCs w:val="20"/>
              </w:rPr>
              <w:t xml:space="preserve">documented probability of infection, </w:t>
            </w:r>
            <w:proofErr w:type="gramStart"/>
            <w:r w:rsidRPr="007312C8">
              <w:rPr>
                <w:color w:val="2E2E2E"/>
                <w:sz w:val="20"/>
                <w:szCs w:val="20"/>
              </w:rPr>
              <w:t>i.e.</w:t>
            </w:r>
            <w:proofErr w:type="gramEnd"/>
            <w:r w:rsidRPr="007312C8">
              <w:rPr>
                <w:color w:val="2E2E2E"/>
                <w:sz w:val="20"/>
                <w:szCs w:val="20"/>
              </w:rPr>
              <w:t xml:space="preserve"> attack rate, of 45%</w:t>
            </w:r>
          </w:p>
          <w:p w14:paraId="5212A2EA" w14:textId="77777777" w:rsidR="00BA0059" w:rsidRPr="007312C8" w:rsidRDefault="00BA0059">
            <w:pPr>
              <w:rPr>
                <w:sz w:val="20"/>
                <w:szCs w:val="20"/>
              </w:rPr>
            </w:pPr>
          </w:p>
        </w:tc>
        <w:tc>
          <w:tcPr>
            <w:tcW w:w="5310" w:type="dxa"/>
          </w:tcPr>
          <w:p w14:paraId="3000BF01" w14:textId="05D172E0" w:rsidR="00BA0059" w:rsidRPr="007312C8" w:rsidRDefault="00BA0059" w:rsidP="00724A6B">
            <w:pPr>
              <w:rPr>
                <w:color w:val="2E2E2E"/>
                <w:sz w:val="20"/>
                <w:szCs w:val="20"/>
              </w:rPr>
            </w:pPr>
            <w:r w:rsidRPr="007312C8">
              <w:rPr>
                <w:color w:val="2E2E2E"/>
                <w:sz w:val="20"/>
                <w:szCs w:val="20"/>
              </w:rPr>
              <w:t xml:space="preserve">Based on case study: January 2020, Guangzhou restaurant </w:t>
            </w:r>
          </w:p>
        </w:tc>
        <w:tc>
          <w:tcPr>
            <w:tcW w:w="5400" w:type="dxa"/>
          </w:tcPr>
          <w:p w14:paraId="7C399F1E" w14:textId="77777777" w:rsidR="00E121E5" w:rsidRPr="007312C8" w:rsidRDefault="00E121E5" w:rsidP="00E121E5">
            <w:pPr>
              <w:rPr>
                <w:sz w:val="20"/>
                <w:szCs w:val="20"/>
              </w:rPr>
            </w:pPr>
            <w:proofErr w:type="spellStart"/>
            <w:r w:rsidRPr="007312C8">
              <w:rPr>
                <w:sz w:val="20"/>
                <w:szCs w:val="20"/>
              </w:rPr>
              <w:t>Buonnano</w:t>
            </w:r>
            <w:proofErr w:type="spellEnd"/>
            <w:r w:rsidRPr="007312C8">
              <w:rPr>
                <w:sz w:val="20"/>
                <w:szCs w:val="20"/>
              </w:rPr>
              <w:t>, 2020</w:t>
            </w:r>
          </w:p>
          <w:p w14:paraId="27AC5498" w14:textId="77777777" w:rsidR="00BA0059" w:rsidRPr="007312C8" w:rsidRDefault="00BA0059">
            <w:pPr>
              <w:rPr>
                <w:sz w:val="20"/>
                <w:szCs w:val="20"/>
              </w:rPr>
            </w:pPr>
          </w:p>
        </w:tc>
      </w:tr>
    </w:tbl>
    <w:p w14:paraId="57E515B4" w14:textId="668649D5" w:rsidR="008C5735" w:rsidRPr="007312C8" w:rsidRDefault="008C5735">
      <w:pPr>
        <w:rPr>
          <w:sz w:val="20"/>
          <w:szCs w:val="20"/>
        </w:rPr>
      </w:pPr>
    </w:p>
    <w:p w14:paraId="48CB6830" w14:textId="4D67AF13" w:rsidR="00E94387" w:rsidRPr="007312C8" w:rsidRDefault="006417DF">
      <w:pPr>
        <w:rPr>
          <w:sz w:val="20"/>
          <w:szCs w:val="20"/>
        </w:rPr>
      </w:pPr>
      <w:r>
        <w:rPr>
          <w:sz w:val="20"/>
          <w:szCs w:val="20"/>
        </w:rPr>
        <w:t xml:space="preserve">Additional resource that might be useful for Table A: </w:t>
      </w:r>
    </w:p>
    <w:p w14:paraId="23323CB0" w14:textId="1DB43FF9" w:rsidR="00705C89" w:rsidRPr="007312C8" w:rsidRDefault="00705C89">
      <w:pPr>
        <w:rPr>
          <w:sz w:val="20"/>
          <w:szCs w:val="20"/>
        </w:rPr>
      </w:pPr>
      <w:r w:rsidRPr="007312C8">
        <w:rPr>
          <w:color w:val="222222"/>
          <w:sz w:val="20"/>
          <w:szCs w:val="20"/>
        </w:rPr>
        <w:t xml:space="preserve">"J.L. Jimenez, COVID-19 Aerosol Transmission Estimator, </w:t>
      </w:r>
      <w:hyperlink r:id="rId9" w:tgtFrame="_blank" w:history="1">
        <w:r w:rsidRPr="007312C8">
          <w:rPr>
            <w:rStyle w:val="Hyperlink"/>
            <w:sz w:val="20"/>
            <w:szCs w:val="20"/>
          </w:rPr>
          <w:t>https://tinyurl.com/covid-estimator</w:t>
        </w:r>
      </w:hyperlink>
      <w:r w:rsidRPr="007312C8">
        <w:rPr>
          <w:color w:val="222222"/>
          <w:sz w:val="20"/>
          <w:szCs w:val="20"/>
        </w:rPr>
        <w:t xml:space="preserve">, accessed 1-Jul-2020" for scientific documents, or just the link for online documents should be sufficient. I do intend to keep the document online indefinitely. For scientific documents you should also cite the papers in which it is based (Miller et al., </w:t>
      </w:r>
      <w:proofErr w:type="spellStart"/>
      <w:r w:rsidRPr="007312C8">
        <w:rPr>
          <w:color w:val="222222"/>
          <w:sz w:val="20"/>
          <w:szCs w:val="20"/>
        </w:rPr>
        <w:t>Buonnano</w:t>
      </w:r>
      <w:proofErr w:type="spellEnd"/>
      <w:r w:rsidRPr="007312C8">
        <w:rPr>
          <w:color w:val="222222"/>
          <w:sz w:val="20"/>
          <w:szCs w:val="20"/>
        </w:rPr>
        <w:t xml:space="preserve"> et al. 1 &amp; 2, Riley et al.)</w:t>
      </w:r>
    </w:p>
    <w:p w14:paraId="6EBC593E" w14:textId="03D8BEEE" w:rsidR="00E94387" w:rsidRPr="007312C8" w:rsidRDefault="00D75ABF">
      <w:pPr>
        <w:rPr>
          <w:sz w:val="20"/>
          <w:szCs w:val="20"/>
        </w:rPr>
      </w:pPr>
      <w:hyperlink r:id="rId10" w:anchor="gid=1425126572" w:history="1">
        <w:r w:rsidR="00E94387" w:rsidRPr="007312C8">
          <w:rPr>
            <w:rStyle w:val="Hyperlink"/>
            <w:sz w:val="20"/>
            <w:szCs w:val="20"/>
          </w:rPr>
          <w:t>https://docs.google.com/spreadsheets/d/16K1OQkLD4BjgBdO8ePj6ytf-RpPMlJ6aXFg3PrIQBbQ/edit#gid=1425126572</w:t>
        </w:r>
      </w:hyperlink>
    </w:p>
    <w:p w14:paraId="2D216B6E" w14:textId="32EC6ECF" w:rsidR="009B7F78" w:rsidRPr="007312C8" w:rsidRDefault="009B7F78">
      <w:pPr>
        <w:rPr>
          <w:sz w:val="20"/>
          <w:szCs w:val="20"/>
        </w:rPr>
      </w:pPr>
      <w:r w:rsidRPr="007312C8">
        <w:rPr>
          <w:sz w:val="20"/>
          <w:szCs w:val="20"/>
        </w:rPr>
        <w:t>*see Peng, Jimenez 2020 paper</w:t>
      </w:r>
    </w:p>
    <w:p w14:paraId="5BF7A135" w14:textId="72523A91" w:rsidR="004B1FDD" w:rsidRPr="007312C8" w:rsidRDefault="004B1FDD">
      <w:pPr>
        <w:rPr>
          <w:sz w:val="20"/>
          <w:szCs w:val="20"/>
        </w:rPr>
      </w:pPr>
      <w:r w:rsidRPr="007312C8">
        <w:rPr>
          <w:sz w:val="20"/>
          <w:szCs w:val="20"/>
        </w:rPr>
        <w:t>**this estimator assumes that air is well-</w:t>
      </w:r>
      <w:proofErr w:type="gramStart"/>
      <w:r w:rsidRPr="007312C8">
        <w:rPr>
          <w:sz w:val="20"/>
          <w:szCs w:val="20"/>
        </w:rPr>
        <w:t>mi</w:t>
      </w:r>
      <w:r w:rsidR="00ED47A9">
        <w:rPr>
          <w:sz w:val="20"/>
          <w:szCs w:val="20"/>
        </w:rPr>
        <w:t>x</w:t>
      </w:r>
      <w:r w:rsidRPr="007312C8">
        <w:rPr>
          <w:sz w:val="20"/>
          <w:szCs w:val="20"/>
        </w:rPr>
        <w:t>ed</w:t>
      </w:r>
      <w:proofErr w:type="gramEnd"/>
      <w:r w:rsidRPr="007312C8">
        <w:rPr>
          <w:sz w:val="20"/>
          <w:szCs w:val="20"/>
        </w:rPr>
        <w:t xml:space="preserve"> and that people observe physical distancing (no droplet transmission; accounts for airborne transmission only)</w:t>
      </w:r>
    </w:p>
    <w:p w14:paraId="5DD8D192" w14:textId="15FCDF2B" w:rsidR="00E94387" w:rsidRPr="007312C8" w:rsidRDefault="00E94387">
      <w:pPr>
        <w:rPr>
          <w:sz w:val="20"/>
          <w:szCs w:val="20"/>
        </w:rPr>
      </w:pPr>
      <w:r w:rsidRPr="007312C8">
        <w:rPr>
          <w:sz w:val="20"/>
          <w:szCs w:val="20"/>
        </w:rPr>
        <w:t>http://cires1.colorado.edu/jimenez/</w:t>
      </w:r>
    </w:p>
    <w:p w14:paraId="590A9F1B" w14:textId="280BAC93" w:rsidR="00E94387" w:rsidRPr="007312C8" w:rsidRDefault="002D1AA0">
      <w:pPr>
        <w:rPr>
          <w:sz w:val="20"/>
          <w:szCs w:val="20"/>
        </w:rPr>
      </w:pPr>
      <w:r w:rsidRPr="007312C8">
        <w:rPr>
          <w:sz w:val="20"/>
          <w:szCs w:val="20"/>
        </w:rPr>
        <w:t>https://www.nationalgeographic.com/science/2020/08/how-to-measure-risk-airborne-coronavirus-your-office-classroom-bus-ride-cvd/#close</w:t>
      </w:r>
    </w:p>
    <w:p w14:paraId="5B19AB9A" w14:textId="6DAEC959" w:rsidR="00D93B1F" w:rsidRDefault="00D93B1F">
      <w:pPr>
        <w:rPr>
          <w:sz w:val="20"/>
          <w:szCs w:val="20"/>
        </w:rPr>
      </w:pPr>
      <w:r>
        <w:rPr>
          <w:sz w:val="20"/>
          <w:szCs w:val="20"/>
        </w:rPr>
        <w:br w:type="page"/>
      </w:r>
    </w:p>
    <w:p w14:paraId="656F5FE1" w14:textId="77777777" w:rsidR="00C87548" w:rsidRPr="007312C8" w:rsidRDefault="00C87548">
      <w:pPr>
        <w:rPr>
          <w:sz w:val="20"/>
          <w:szCs w:val="20"/>
        </w:rPr>
      </w:pPr>
    </w:p>
    <w:tbl>
      <w:tblPr>
        <w:tblStyle w:val="TableGrid"/>
        <w:tblW w:w="0" w:type="auto"/>
        <w:tblLook w:val="04A0" w:firstRow="1" w:lastRow="0" w:firstColumn="1" w:lastColumn="0" w:noHBand="0" w:noVBand="1"/>
      </w:tblPr>
      <w:tblGrid>
        <w:gridCol w:w="1943"/>
        <w:gridCol w:w="1805"/>
        <w:gridCol w:w="1885"/>
        <w:gridCol w:w="7317"/>
      </w:tblGrid>
      <w:tr w:rsidR="003041B3" w:rsidRPr="007312C8" w14:paraId="2C946F22" w14:textId="77777777" w:rsidTr="009217B0">
        <w:tc>
          <w:tcPr>
            <w:tcW w:w="12950" w:type="dxa"/>
            <w:gridSpan w:val="4"/>
          </w:tcPr>
          <w:p w14:paraId="57A9EA75" w14:textId="12786534" w:rsidR="003041B3" w:rsidRPr="007312C8" w:rsidRDefault="003041B3" w:rsidP="007445EA">
            <w:pPr>
              <w:rPr>
                <w:sz w:val="20"/>
                <w:szCs w:val="20"/>
              </w:rPr>
            </w:pPr>
            <w:r>
              <w:rPr>
                <w:b/>
                <w:bCs/>
                <w:sz w:val="20"/>
                <w:szCs w:val="20"/>
              </w:rPr>
              <w:t>Table B: Individual Risk of COVID by Occupation and Other Personal Characteristics</w:t>
            </w:r>
          </w:p>
        </w:tc>
      </w:tr>
      <w:tr w:rsidR="007445EA" w:rsidRPr="007312C8" w14:paraId="182A5FD9" w14:textId="77777777" w:rsidTr="003041B3">
        <w:tc>
          <w:tcPr>
            <w:tcW w:w="2103" w:type="dxa"/>
          </w:tcPr>
          <w:p w14:paraId="79ECE3C2" w14:textId="6B71B5A6" w:rsidR="007445EA" w:rsidRPr="007312C8" w:rsidRDefault="008E35AC" w:rsidP="007445EA">
            <w:pPr>
              <w:rPr>
                <w:sz w:val="20"/>
                <w:szCs w:val="20"/>
              </w:rPr>
            </w:pPr>
            <w:r>
              <w:rPr>
                <w:sz w:val="20"/>
                <w:szCs w:val="20"/>
              </w:rPr>
              <w:t>Characteristic</w:t>
            </w:r>
          </w:p>
        </w:tc>
        <w:tc>
          <w:tcPr>
            <w:tcW w:w="1988" w:type="dxa"/>
          </w:tcPr>
          <w:p w14:paraId="0FEA9346" w14:textId="1F7DFEEB" w:rsidR="007445EA" w:rsidRPr="007312C8" w:rsidRDefault="007445EA" w:rsidP="007445EA">
            <w:pPr>
              <w:rPr>
                <w:sz w:val="20"/>
                <w:szCs w:val="20"/>
              </w:rPr>
            </w:pPr>
            <w:r w:rsidRPr="007312C8">
              <w:rPr>
                <w:sz w:val="20"/>
                <w:szCs w:val="20"/>
              </w:rPr>
              <w:t xml:space="preserve">Risk </w:t>
            </w:r>
          </w:p>
        </w:tc>
        <w:tc>
          <w:tcPr>
            <w:tcW w:w="2058" w:type="dxa"/>
          </w:tcPr>
          <w:p w14:paraId="35209968" w14:textId="164C4056" w:rsidR="007445EA" w:rsidRPr="007312C8" w:rsidRDefault="007445EA" w:rsidP="007445EA">
            <w:pPr>
              <w:rPr>
                <w:sz w:val="20"/>
                <w:szCs w:val="20"/>
              </w:rPr>
            </w:pPr>
            <w:r w:rsidRPr="007312C8">
              <w:rPr>
                <w:sz w:val="20"/>
                <w:szCs w:val="20"/>
              </w:rPr>
              <w:t>Notes</w:t>
            </w:r>
          </w:p>
        </w:tc>
        <w:tc>
          <w:tcPr>
            <w:tcW w:w="6801" w:type="dxa"/>
          </w:tcPr>
          <w:p w14:paraId="3EA9EE5E" w14:textId="064CDE70" w:rsidR="007445EA" w:rsidRPr="007312C8" w:rsidRDefault="007445EA" w:rsidP="007445EA">
            <w:pPr>
              <w:rPr>
                <w:sz w:val="20"/>
                <w:szCs w:val="20"/>
              </w:rPr>
            </w:pPr>
            <w:r w:rsidRPr="007312C8">
              <w:rPr>
                <w:sz w:val="20"/>
                <w:szCs w:val="20"/>
              </w:rPr>
              <w:t>Data Source</w:t>
            </w:r>
          </w:p>
        </w:tc>
      </w:tr>
      <w:tr w:rsidR="007445EA" w:rsidRPr="007312C8" w14:paraId="3DB6BDE6" w14:textId="77777777" w:rsidTr="003041B3">
        <w:tc>
          <w:tcPr>
            <w:tcW w:w="2103" w:type="dxa"/>
          </w:tcPr>
          <w:p w14:paraId="2CABB730" w14:textId="737472BA" w:rsidR="007445EA" w:rsidRPr="007312C8" w:rsidRDefault="007445EA" w:rsidP="007445EA">
            <w:pPr>
              <w:rPr>
                <w:sz w:val="20"/>
                <w:szCs w:val="20"/>
              </w:rPr>
            </w:pPr>
            <w:r w:rsidRPr="007312C8">
              <w:rPr>
                <w:sz w:val="20"/>
                <w:szCs w:val="20"/>
              </w:rPr>
              <w:t>In-person worker (</w:t>
            </w:r>
            <w:proofErr w:type="spellStart"/>
            <w:proofErr w:type="gramStart"/>
            <w:r w:rsidRPr="007312C8">
              <w:rPr>
                <w:sz w:val="20"/>
                <w:szCs w:val="20"/>
              </w:rPr>
              <w:t>non critical</w:t>
            </w:r>
            <w:proofErr w:type="spellEnd"/>
            <w:proofErr w:type="gramEnd"/>
            <w:r w:rsidRPr="007312C8">
              <w:rPr>
                <w:sz w:val="20"/>
                <w:szCs w:val="20"/>
              </w:rPr>
              <w:t xml:space="preserve"> infrastructure sector) vs. teleworker</w:t>
            </w:r>
          </w:p>
        </w:tc>
        <w:tc>
          <w:tcPr>
            <w:tcW w:w="1988" w:type="dxa"/>
          </w:tcPr>
          <w:p w14:paraId="3D014E81" w14:textId="49C4B085" w:rsidR="00A206D4" w:rsidRPr="007312C8" w:rsidRDefault="00A206D4" w:rsidP="00A206D4">
            <w:pPr>
              <w:rPr>
                <w:sz w:val="20"/>
                <w:szCs w:val="20"/>
              </w:rPr>
            </w:pPr>
            <w:proofErr w:type="spellStart"/>
            <w:r w:rsidRPr="007312C8">
              <w:rPr>
                <w:sz w:val="20"/>
                <w:szCs w:val="20"/>
              </w:rPr>
              <w:t>aOR</w:t>
            </w:r>
            <w:proofErr w:type="spellEnd"/>
            <w:r w:rsidRPr="007312C8">
              <w:rPr>
                <w:sz w:val="20"/>
                <w:szCs w:val="20"/>
              </w:rPr>
              <w:t> = 2.1, 95% CI = 1.3–3.6</w:t>
            </w:r>
          </w:p>
          <w:p w14:paraId="529F7E7C" w14:textId="77777777" w:rsidR="007445EA" w:rsidRPr="007312C8" w:rsidRDefault="007445EA" w:rsidP="007445EA">
            <w:pPr>
              <w:rPr>
                <w:sz w:val="20"/>
                <w:szCs w:val="20"/>
              </w:rPr>
            </w:pPr>
          </w:p>
        </w:tc>
        <w:tc>
          <w:tcPr>
            <w:tcW w:w="2058" w:type="dxa"/>
          </w:tcPr>
          <w:p w14:paraId="44EC2C5E" w14:textId="77777777" w:rsidR="00A206D4" w:rsidRPr="007312C8" w:rsidRDefault="00A206D4" w:rsidP="00A206D4">
            <w:pPr>
              <w:rPr>
                <w:sz w:val="20"/>
                <w:szCs w:val="20"/>
              </w:rPr>
            </w:pPr>
            <w:r w:rsidRPr="007312C8">
              <w:rPr>
                <w:sz w:val="20"/>
                <w:szCs w:val="20"/>
              </w:rPr>
              <w:t>Among the 175 participants who reported telework status and some form of employment during the 2 weeks before illness onset, case-patients were more likely to have reported exclusively going to an office (</w:t>
            </w:r>
            <w:proofErr w:type="spellStart"/>
            <w:r w:rsidRPr="007312C8">
              <w:rPr>
                <w:sz w:val="20"/>
                <w:szCs w:val="20"/>
              </w:rPr>
              <w:t>aOR</w:t>
            </w:r>
            <w:proofErr w:type="spellEnd"/>
            <w:r w:rsidRPr="007312C8">
              <w:rPr>
                <w:sz w:val="20"/>
                <w:szCs w:val="20"/>
              </w:rPr>
              <w:t> = 2.1, 95% CI = 1.3–3.6)</w:t>
            </w:r>
          </w:p>
          <w:p w14:paraId="78C1AE88" w14:textId="336ED9EE" w:rsidR="00A206D4" w:rsidRPr="007312C8" w:rsidRDefault="00A206D4" w:rsidP="00A206D4">
            <w:pPr>
              <w:rPr>
                <w:sz w:val="20"/>
                <w:szCs w:val="20"/>
              </w:rPr>
            </w:pPr>
          </w:p>
          <w:p w14:paraId="4BC430EA" w14:textId="77777777" w:rsidR="007445EA" w:rsidRPr="007312C8" w:rsidRDefault="007445EA" w:rsidP="007445EA">
            <w:pPr>
              <w:rPr>
                <w:sz w:val="20"/>
                <w:szCs w:val="20"/>
              </w:rPr>
            </w:pPr>
          </w:p>
        </w:tc>
        <w:tc>
          <w:tcPr>
            <w:tcW w:w="6801" w:type="dxa"/>
          </w:tcPr>
          <w:p w14:paraId="51047220" w14:textId="77777777" w:rsidR="0064378A" w:rsidRPr="007312C8" w:rsidRDefault="0064378A" w:rsidP="0064378A">
            <w:pPr>
              <w:rPr>
                <w:sz w:val="20"/>
                <w:szCs w:val="20"/>
              </w:rPr>
            </w:pPr>
            <w:r w:rsidRPr="007312C8">
              <w:rPr>
                <w:color w:val="000000"/>
                <w:sz w:val="20"/>
                <w:szCs w:val="20"/>
                <w:shd w:val="clear" w:color="auto" w:fill="DEE8FF"/>
              </w:rPr>
              <w:t xml:space="preserve">Fisher KA, Olson SM, </w:t>
            </w:r>
            <w:proofErr w:type="spellStart"/>
            <w:r w:rsidRPr="007312C8">
              <w:rPr>
                <w:color w:val="000000"/>
                <w:sz w:val="20"/>
                <w:szCs w:val="20"/>
                <w:shd w:val="clear" w:color="auto" w:fill="DEE8FF"/>
              </w:rPr>
              <w:t>Tenforde</w:t>
            </w:r>
            <w:proofErr w:type="spellEnd"/>
            <w:r w:rsidRPr="007312C8">
              <w:rPr>
                <w:color w:val="000000"/>
                <w:sz w:val="20"/>
                <w:szCs w:val="20"/>
                <w:shd w:val="clear" w:color="auto" w:fill="DEE8FF"/>
              </w:rPr>
              <w:t xml:space="preserve"> MW, et al. Telework Before Illness Onset Among Symptomatic Adults Aged ≥18 Years </w:t>
            </w:r>
            <w:proofErr w:type="gramStart"/>
            <w:r w:rsidRPr="007312C8">
              <w:rPr>
                <w:color w:val="000000"/>
                <w:sz w:val="20"/>
                <w:szCs w:val="20"/>
                <w:shd w:val="clear" w:color="auto" w:fill="DEE8FF"/>
              </w:rPr>
              <w:t>With</w:t>
            </w:r>
            <w:proofErr w:type="gramEnd"/>
            <w:r w:rsidRPr="007312C8">
              <w:rPr>
                <w:color w:val="000000"/>
                <w:sz w:val="20"/>
                <w:szCs w:val="20"/>
                <w:shd w:val="clear" w:color="auto" w:fill="DEE8FF"/>
              </w:rPr>
              <w:t xml:space="preserve"> and Without COVID-19 in 11 Outpatient Health Care Facilities — United States, July 2020. MMWR </w:t>
            </w:r>
            <w:proofErr w:type="spellStart"/>
            <w:r w:rsidRPr="007312C8">
              <w:rPr>
                <w:color w:val="000000"/>
                <w:sz w:val="20"/>
                <w:szCs w:val="20"/>
                <w:shd w:val="clear" w:color="auto" w:fill="DEE8FF"/>
              </w:rPr>
              <w:t>Morb</w:t>
            </w:r>
            <w:proofErr w:type="spellEnd"/>
            <w:r w:rsidRPr="007312C8">
              <w:rPr>
                <w:color w:val="000000"/>
                <w:sz w:val="20"/>
                <w:szCs w:val="20"/>
                <w:shd w:val="clear" w:color="auto" w:fill="DEE8FF"/>
              </w:rPr>
              <w:t xml:space="preserve"> Mortal </w:t>
            </w:r>
            <w:proofErr w:type="spellStart"/>
            <w:r w:rsidRPr="007312C8">
              <w:rPr>
                <w:color w:val="000000"/>
                <w:sz w:val="20"/>
                <w:szCs w:val="20"/>
                <w:shd w:val="clear" w:color="auto" w:fill="DEE8FF"/>
              </w:rPr>
              <w:t>Wkly</w:t>
            </w:r>
            <w:proofErr w:type="spellEnd"/>
            <w:r w:rsidRPr="007312C8">
              <w:rPr>
                <w:color w:val="000000"/>
                <w:sz w:val="20"/>
                <w:szCs w:val="20"/>
                <w:shd w:val="clear" w:color="auto" w:fill="DEE8FF"/>
              </w:rPr>
              <w:t xml:space="preserve"> Rep </w:t>
            </w:r>
            <w:proofErr w:type="gramStart"/>
            <w:r w:rsidRPr="007312C8">
              <w:rPr>
                <w:color w:val="000000"/>
                <w:sz w:val="20"/>
                <w:szCs w:val="20"/>
                <w:shd w:val="clear" w:color="auto" w:fill="DEE8FF"/>
              </w:rPr>
              <w:t>2020;69:1648</w:t>
            </w:r>
            <w:proofErr w:type="gramEnd"/>
            <w:r w:rsidRPr="007312C8">
              <w:rPr>
                <w:color w:val="000000"/>
                <w:sz w:val="20"/>
                <w:szCs w:val="20"/>
                <w:shd w:val="clear" w:color="auto" w:fill="DEE8FF"/>
              </w:rPr>
              <w:t>–1653. DOI: </w:t>
            </w:r>
            <w:hyperlink r:id="rId11" w:tgtFrame="_blank" w:history="1">
              <w:r w:rsidRPr="007312C8">
                <w:rPr>
                  <w:rStyle w:val="Hyperlink"/>
                  <w:color w:val="075290"/>
                  <w:sz w:val="20"/>
                  <w:szCs w:val="20"/>
                  <w:u w:val="none"/>
                  <w:shd w:val="clear" w:color="auto" w:fill="DEE8FF"/>
                </w:rPr>
                <w:t>http://dx.doi.org/10.15585/mmwr.mm6944a4</w:t>
              </w:r>
              <w:r w:rsidRPr="007312C8">
                <w:rPr>
                  <w:rStyle w:val="sr-only"/>
                  <w:color w:val="075290"/>
                  <w:sz w:val="20"/>
                  <w:szCs w:val="20"/>
                  <w:bdr w:val="none" w:sz="0" w:space="0" w:color="auto" w:frame="1"/>
                  <w:shd w:val="clear" w:color="auto" w:fill="DEE8FF"/>
                </w:rPr>
                <w:t>external icon</w:t>
              </w:r>
            </w:hyperlink>
          </w:p>
          <w:p w14:paraId="409560FE" w14:textId="03060A63" w:rsidR="007445EA" w:rsidRPr="007312C8" w:rsidRDefault="0064378A" w:rsidP="007445EA">
            <w:pPr>
              <w:rPr>
                <w:sz w:val="20"/>
                <w:szCs w:val="20"/>
              </w:rPr>
            </w:pPr>
            <w:r w:rsidRPr="007312C8">
              <w:rPr>
                <w:sz w:val="20"/>
                <w:szCs w:val="20"/>
              </w:rPr>
              <w:t>https://www.cdc.gov/mmwr/volumes/69/wr/mm6944a4.htm?s_cid=mm6944a4_w</w:t>
            </w:r>
          </w:p>
        </w:tc>
      </w:tr>
      <w:tr w:rsidR="00804BA5" w:rsidRPr="007312C8" w14:paraId="57FD552D" w14:textId="77777777" w:rsidTr="003041B3">
        <w:tc>
          <w:tcPr>
            <w:tcW w:w="2103" w:type="dxa"/>
          </w:tcPr>
          <w:p w14:paraId="6DF4D891" w14:textId="60E2F430" w:rsidR="00804BA5" w:rsidRPr="007312C8" w:rsidRDefault="00804BA5" w:rsidP="007445EA">
            <w:pPr>
              <w:rPr>
                <w:sz w:val="20"/>
                <w:szCs w:val="20"/>
              </w:rPr>
            </w:pPr>
            <w:r>
              <w:rPr>
                <w:sz w:val="20"/>
                <w:szCs w:val="20"/>
              </w:rPr>
              <w:t xml:space="preserve">Health care workers (patient facing and </w:t>
            </w:r>
            <w:proofErr w:type="spellStart"/>
            <w:r>
              <w:rPr>
                <w:sz w:val="20"/>
                <w:szCs w:val="20"/>
              </w:rPr>
              <w:t>non patient</w:t>
            </w:r>
            <w:proofErr w:type="spellEnd"/>
            <w:r>
              <w:rPr>
                <w:sz w:val="20"/>
                <w:szCs w:val="20"/>
              </w:rPr>
              <w:t xml:space="preserve"> facing combined) vs. non-health care workers</w:t>
            </w:r>
          </w:p>
        </w:tc>
        <w:tc>
          <w:tcPr>
            <w:tcW w:w="1988" w:type="dxa"/>
          </w:tcPr>
          <w:p w14:paraId="65252A7C" w14:textId="63F092F8" w:rsidR="00804BA5" w:rsidRPr="007312C8" w:rsidRDefault="00804BA5" w:rsidP="00A206D4">
            <w:pPr>
              <w:rPr>
                <w:sz w:val="20"/>
                <w:szCs w:val="20"/>
              </w:rPr>
            </w:pPr>
            <w:proofErr w:type="spellStart"/>
            <w:r>
              <w:rPr>
                <w:sz w:val="20"/>
                <w:szCs w:val="20"/>
              </w:rPr>
              <w:t>aOR</w:t>
            </w:r>
            <w:proofErr w:type="spellEnd"/>
            <w:r>
              <w:rPr>
                <w:sz w:val="20"/>
                <w:szCs w:val="20"/>
              </w:rPr>
              <w:t xml:space="preserve"> = 1.17 (0.99, 1.38)</w:t>
            </w:r>
          </w:p>
        </w:tc>
        <w:tc>
          <w:tcPr>
            <w:tcW w:w="2058" w:type="dxa"/>
          </w:tcPr>
          <w:p w14:paraId="5DDBC1F8" w14:textId="77777777" w:rsidR="00804BA5" w:rsidRPr="007312C8" w:rsidRDefault="00804BA5" w:rsidP="00A206D4">
            <w:pPr>
              <w:rPr>
                <w:sz w:val="20"/>
                <w:szCs w:val="20"/>
              </w:rPr>
            </w:pPr>
          </w:p>
        </w:tc>
        <w:tc>
          <w:tcPr>
            <w:tcW w:w="6801" w:type="dxa"/>
          </w:tcPr>
          <w:p w14:paraId="52AD28A6" w14:textId="08BF4B14" w:rsidR="00804BA5" w:rsidRPr="007312C8" w:rsidRDefault="00CF621E" w:rsidP="0064378A">
            <w:pPr>
              <w:rPr>
                <w:color w:val="000000"/>
                <w:sz w:val="20"/>
                <w:szCs w:val="20"/>
                <w:shd w:val="clear" w:color="auto" w:fill="DEE8FF"/>
              </w:rPr>
            </w:pPr>
            <w:r>
              <w:rPr>
                <w:color w:val="000000"/>
                <w:sz w:val="20"/>
                <w:szCs w:val="20"/>
                <w:shd w:val="clear" w:color="auto" w:fill="DEE8FF"/>
              </w:rPr>
              <w:t xml:space="preserve">Hebert 2020. “Impact of the COVID-19 pandemic on healthcare workers risk of infection and outcomes in a large integrated health system.” </w:t>
            </w:r>
          </w:p>
        </w:tc>
      </w:tr>
      <w:tr w:rsidR="0007691F" w:rsidRPr="007312C8" w14:paraId="15338738" w14:textId="77777777" w:rsidTr="003041B3">
        <w:tc>
          <w:tcPr>
            <w:tcW w:w="2103" w:type="dxa"/>
          </w:tcPr>
          <w:p w14:paraId="4A26D930" w14:textId="16CFC2B1" w:rsidR="0007691F" w:rsidRDefault="0007691F" w:rsidP="0007691F">
            <w:pPr>
              <w:rPr>
                <w:sz w:val="20"/>
                <w:szCs w:val="20"/>
              </w:rPr>
            </w:pPr>
            <w:r>
              <w:rPr>
                <w:sz w:val="20"/>
                <w:szCs w:val="20"/>
              </w:rPr>
              <w:t>Patient Facing Health care workers vs. non-patient facing health care workers</w:t>
            </w:r>
          </w:p>
        </w:tc>
        <w:tc>
          <w:tcPr>
            <w:tcW w:w="1988" w:type="dxa"/>
          </w:tcPr>
          <w:p w14:paraId="4F66E11A" w14:textId="067A2A34" w:rsidR="0007691F" w:rsidRDefault="0007691F" w:rsidP="0007691F">
            <w:pPr>
              <w:rPr>
                <w:sz w:val="20"/>
                <w:szCs w:val="20"/>
              </w:rPr>
            </w:pPr>
            <w:proofErr w:type="spellStart"/>
            <w:r>
              <w:rPr>
                <w:sz w:val="20"/>
                <w:szCs w:val="20"/>
              </w:rPr>
              <w:t>aOR</w:t>
            </w:r>
            <w:proofErr w:type="spellEnd"/>
            <w:r>
              <w:rPr>
                <w:sz w:val="20"/>
                <w:szCs w:val="20"/>
              </w:rPr>
              <w:t xml:space="preserve"> = 1.60 (1.08 – 3.66)</w:t>
            </w:r>
          </w:p>
        </w:tc>
        <w:tc>
          <w:tcPr>
            <w:tcW w:w="2058" w:type="dxa"/>
          </w:tcPr>
          <w:p w14:paraId="38D6740B" w14:textId="77777777" w:rsidR="0007691F" w:rsidRPr="007312C8" w:rsidRDefault="0007691F" w:rsidP="0007691F">
            <w:pPr>
              <w:rPr>
                <w:sz w:val="20"/>
                <w:szCs w:val="20"/>
              </w:rPr>
            </w:pPr>
          </w:p>
        </w:tc>
        <w:tc>
          <w:tcPr>
            <w:tcW w:w="6801" w:type="dxa"/>
          </w:tcPr>
          <w:p w14:paraId="162E9C6C" w14:textId="5D2E6688" w:rsidR="0007691F" w:rsidRPr="007312C8" w:rsidRDefault="0007691F" w:rsidP="0007691F">
            <w:pPr>
              <w:rPr>
                <w:color w:val="000000"/>
                <w:sz w:val="20"/>
                <w:szCs w:val="20"/>
                <w:shd w:val="clear" w:color="auto" w:fill="DEE8FF"/>
              </w:rPr>
            </w:pPr>
            <w:r>
              <w:rPr>
                <w:color w:val="000000"/>
                <w:sz w:val="20"/>
                <w:szCs w:val="20"/>
                <w:shd w:val="clear" w:color="auto" w:fill="DEE8FF"/>
              </w:rPr>
              <w:t xml:space="preserve">Hebert 2020. “Impact of the COVID-19 pandemic on healthcare workers risk of infection and outcomes in a large integrated health system.” </w:t>
            </w:r>
          </w:p>
        </w:tc>
      </w:tr>
      <w:tr w:rsidR="00BA670A" w:rsidRPr="007312C8" w14:paraId="4FB50C1A" w14:textId="77777777" w:rsidTr="003041B3">
        <w:tc>
          <w:tcPr>
            <w:tcW w:w="2103" w:type="dxa"/>
          </w:tcPr>
          <w:p w14:paraId="4BBE2402" w14:textId="7FAB4EC7" w:rsidR="00BA670A" w:rsidRDefault="008E35AC" w:rsidP="0007691F">
            <w:pPr>
              <w:rPr>
                <w:sz w:val="20"/>
                <w:szCs w:val="20"/>
              </w:rPr>
            </w:pPr>
            <w:r>
              <w:rPr>
                <w:sz w:val="20"/>
                <w:szCs w:val="20"/>
              </w:rPr>
              <w:t>Age</w:t>
            </w:r>
          </w:p>
        </w:tc>
        <w:tc>
          <w:tcPr>
            <w:tcW w:w="1988" w:type="dxa"/>
          </w:tcPr>
          <w:p w14:paraId="587841D5" w14:textId="77777777" w:rsidR="00BA670A" w:rsidRDefault="00BA670A" w:rsidP="0007691F">
            <w:pPr>
              <w:rPr>
                <w:sz w:val="20"/>
                <w:szCs w:val="20"/>
              </w:rPr>
            </w:pPr>
          </w:p>
        </w:tc>
        <w:tc>
          <w:tcPr>
            <w:tcW w:w="2058" w:type="dxa"/>
          </w:tcPr>
          <w:p w14:paraId="188271CE" w14:textId="04608658" w:rsidR="00BA670A" w:rsidRPr="007312C8" w:rsidRDefault="008E35AC" w:rsidP="0007691F">
            <w:pPr>
              <w:rPr>
                <w:sz w:val="20"/>
                <w:szCs w:val="20"/>
              </w:rPr>
            </w:pPr>
            <w:r>
              <w:rPr>
                <w:sz w:val="20"/>
                <w:szCs w:val="20"/>
              </w:rPr>
              <w:t>Incidence of COVID by age group has changed significantly over the course of the pandemic</w:t>
            </w:r>
            <w:r w:rsidR="003748C0">
              <w:rPr>
                <w:sz w:val="20"/>
                <w:szCs w:val="20"/>
              </w:rPr>
              <w:t>: early in pandemic, incidence was highest in older adults. Toward Fall, highest incidence shifted to young adults</w:t>
            </w:r>
          </w:p>
        </w:tc>
        <w:tc>
          <w:tcPr>
            <w:tcW w:w="6801" w:type="dxa"/>
          </w:tcPr>
          <w:p w14:paraId="34928466" w14:textId="2B54EA79" w:rsidR="008E35AC" w:rsidRDefault="008E35AC" w:rsidP="008E35AC">
            <w:r>
              <w:rPr>
                <w:rFonts w:ascii="Open Sans" w:hAnsi="Open Sans" w:cs="Open Sans"/>
                <w:i/>
                <w:iCs/>
                <w:color w:val="000000"/>
                <w:sz w:val="26"/>
                <w:szCs w:val="26"/>
                <w:shd w:val="clear" w:color="auto" w:fill="DEE8FF"/>
              </w:rPr>
              <w:t>COVID-19 Stats:</w:t>
            </w:r>
            <w:r>
              <w:rPr>
                <w:rFonts w:ascii="Open Sans" w:hAnsi="Open Sans" w:cs="Open Sans"/>
                <w:color w:val="000000"/>
                <w:sz w:val="26"/>
                <w:szCs w:val="26"/>
                <w:shd w:val="clear" w:color="auto" w:fill="DEE8FF"/>
              </w:rPr>
              <w:t xml:space="preserve"> COVID-19 Incidence, by Age Group — United States, March 1–November 14, 2020. MMWR </w:t>
            </w:r>
            <w:proofErr w:type="spellStart"/>
            <w:r>
              <w:rPr>
                <w:rFonts w:ascii="Open Sans" w:hAnsi="Open Sans" w:cs="Open Sans"/>
                <w:color w:val="000000"/>
                <w:sz w:val="26"/>
                <w:szCs w:val="26"/>
                <w:shd w:val="clear" w:color="auto" w:fill="DEE8FF"/>
              </w:rPr>
              <w:t>Morb</w:t>
            </w:r>
            <w:proofErr w:type="spellEnd"/>
            <w:r>
              <w:rPr>
                <w:rFonts w:ascii="Open Sans" w:hAnsi="Open Sans" w:cs="Open Sans"/>
                <w:color w:val="000000"/>
                <w:sz w:val="26"/>
                <w:szCs w:val="26"/>
                <w:shd w:val="clear" w:color="auto" w:fill="DEE8FF"/>
              </w:rPr>
              <w:t xml:space="preserve"> Mortal </w:t>
            </w:r>
            <w:proofErr w:type="spellStart"/>
            <w:r>
              <w:rPr>
                <w:rFonts w:ascii="Open Sans" w:hAnsi="Open Sans" w:cs="Open Sans"/>
                <w:color w:val="000000"/>
                <w:sz w:val="26"/>
                <w:szCs w:val="26"/>
                <w:shd w:val="clear" w:color="auto" w:fill="DEE8FF"/>
              </w:rPr>
              <w:t>Wkly</w:t>
            </w:r>
            <w:proofErr w:type="spellEnd"/>
            <w:r>
              <w:rPr>
                <w:rFonts w:ascii="Open Sans" w:hAnsi="Open Sans" w:cs="Open Sans"/>
                <w:color w:val="000000"/>
                <w:sz w:val="26"/>
                <w:szCs w:val="26"/>
                <w:shd w:val="clear" w:color="auto" w:fill="DEE8FF"/>
              </w:rPr>
              <w:t xml:space="preserve"> Rep </w:t>
            </w:r>
            <w:proofErr w:type="gramStart"/>
            <w:r>
              <w:rPr>
                <w:rFonts w:ascii="Open Sans" w:hAnsi="Open Sans" w:cs="Open Sans"/>
                <w:color w:val="000000"/>
                <w:sz w:val="26"/>
                <w:szCs w:val="26"/>
                <w:shd w:val="clear" w:color="auto" w:fill="DEE8FF"/>
              </w:rPr>
              <w:t>2021;69:1664</w:t>
            </w:r>
            <w:proofErr w:type="gramEnd"/>
            <w:r>
              <w:rPr>
                <w:rFonts w:ascii="Open Sans" w:hAnsi="Open Sans" w:cs="Open Sans"/>
                <w:color w:val="000000"/>
                <w:sz w:val="26"/>
                <w:szCs w:val="26"/>
                <w:shd w:val="clear" w:color="auto" w:fill="DEE8FF"/>
              </w:rPr>
              <w:t>. DOI: </w:t>
            </w:r>
            <w:hyperlink r:id="rId12" w:tgtFrame="_blank" w:history="1">
              <w:r>
                <w:rPr>
                  <w:rStyle w:val="Hyperlink"/>
                  <w:rFonts w:ascii="Open Sans" w:hAnsi="Open Sans" w:cs="Open Sans"/>
                  <w:color w:val="075290"/>
                  <w:sz w:val="26"/>
                  <w:szCs w:val="26"/>
                  <w:shd w:val="clear" w:color="auto" w:fill="DEE8FF"/>
                </w:rPr>
                <w:t>http://dx.doi.org/10.15585/mmwr.mm695152a8</w:t>
              </w:r>
              <w:r>
                <w:rPr>
                  <w:rStyle w:val="sr-only"/>
                  <w:rFonts w:ascii="Open Sans" w:hAnsi="Open Sans" w:cs="Open Sans"/>
                  <w:color w:val="075290"/>
                  <w:sz w:val="26"/>
                  <w:szCs w:val="26"/>
                  <w:u w:val="single"/>
                  <w:bdr w:val="none" w:sz="0" w:space="0" w:color="auto" w:frame="1"/>
                  <w:shd w:val="clear" w:color="auto" w:fill="DEE8FF"/>
                </w:rPr>
                <w:t>external icon</w:t>
              </w:r>
            </w:hyperlink>
          </w:p>
          <w:p w14:paraId="72F42ED0" w14:textId="77777777" w:rsidR="00BA670A" w:rsidRDefault="00BA670A" w:rsidP="0007691F">
            <w:pPr>
              <w:rPr>
                <w:color w:val="000000"/>
                <w:sz w:val="20"/>
                <w:szCs w:val="20"/>
                <w:shd w:val="clear" w:color="auto" w:fill="DEE8FF"/>
              </w:rPr>
            </w:pPr>
          </w:p>
          <w:p w14:paraId="53E0AE70" w14:textId="77777777" w:rsidR="00371451" w:rsidRDefault="00371451" w:rsidP="00371451">
            <w:r>
              <w:rPr>
                <w:rFonts w:ascii="Open Sans" w:hAnsi="Open Sans" w:cs="Open Sans"/>
                <w:color w:val="000000"/>
                <w:sz w:val="26"/>
                <w:szCs w:val="26"/>
                <w:shd w:val="clear" w:color="auto" w:fill="DEE8FF"/>
              </w:rPr>
              <w:t xml:space="preserve">Boehmer TK, </w:t>
            </w:r>
            <w:proofErr w:type="spellStart"/>
            <w:r>
              <w:rPr>
                <w:rFonts w:ascii="Open Sans" w:hAnsi="Open Sans" w:cs="Open Sans"/>
                <w:color w:val="000000"/>
                <w:sz w:val="26"/>
                <w:szCs w:val="26"/>
                <w:shd w:val="clear" w:color="auto" w:fill="DEE8FF"/>
              </w:rPr>
              <w:t>DeVies</w:t>
            </w:r>
            <w:proofErr w:type="spellEnd"/>
            <w:r>
              <w:rPr>
                <w:rFonts w:ascii="Open Sans" w:hAnsi="Open Sans" w:cs="Open Sans"/>
                <w:color w:val="000000"/>
                <w:sz w:val="26"/>
                <w:szCs w:val="26"/>
                <w:shd w:val="clear" w:color="auto" w:fill="DEE8FF"/>
              </w:rPr>
              <w:t xml:space="preserve"> J, Caruso E, et al. Changing Age Distribution of the COVID-19 Pandemic — United States, May–August 2020. MMWR </w:t>
            </w:r>
            <w:proofErr w:type="spellStart"/>
            <w:r>
              <w:rPr>
                <w:rFonts w:ascii="Open Sans" w:hAnsi="Open Sans" w:cs="Open Sans"/>
                <w:color w:val="000000"/>
                <w:sz w:val="26"/>
                <w:szCs w:val="26"/>
                <w:shd w:val="clear" w:color="auto" w:fill="DEE8FF"/>
              </w:rPr>
              <w:t>Morb</w:t>
            </w:r>
            <w:proofErr w:type="spellEnd"/>
            <w:r>
              <w:rPr>
                <w:rFonts w:ascii="Open Sans" w:hAnsi="Open Sans" w:cs="Open Sans"/>
                <w:color w:val="000000"/>
                <w:sz w:val="26"/>
                <w:szCs w:val="26"/>
                <w:shd w:val="clear" w:color="auto" w:fill="DEE8FF"/>
              </w:rPr>
              <w:t xml:space="preserve"> Mortal </w:t>
            </w:r>
            <w:proofErr w:type="spellStart"/>
            <w:r>
              <w:rPr>
                <w:rFonts w:ascii="Open Sans" w:hAnsi="Open Sans" w:cs="Open Sans"/>
                <w:color w:val="000000"/>
                <w:sz w:val="26"/>
                <w:szCs w:val="26"/>
                <w:shd w:val="clear" w:color="auto" w:fill="DEE8FF"/>
              </w:rPr>
              <w:t>Wkly</w:t>
            </w:r>
            <w:proofErr w:type="spellEnd"/>
            <w:r>
              <w:rPr>
                <w:rFonts w:ascii="Open Sans" w:hAnsi="Open Sans" w:cs="Open Sans"/>
                <w:color w:val="000000"/>
                <w:sz w:val="26"/>
                <w:szCs w:val="26"/>
                <w:shd w:val="clear" w:color="auto" w:fill="DEE8FF"/>
              </w:rPr>
              <w:t xml:space="preserve"> Rep </w:t>
            </w:r>
            <w:proofErr w:type="gramStart"/>
            <w:r>
              <w:rPr>
                <w:rFonts w:ascii="Open Sans" w:hAnsi="Open Sans" w:cs="Open Sans"/>
                <w:color w:val="000000"/>
                <w:sz w:val="26"/>
                <w:szCs w:val="26"/>
                <w:shd w:val="clear" w:color="auto" w:fill="DEE8FF"/>
              </w:rPr>
              <w:lastRenderedPageBreak/>
              <w:t>2020;69:1404</w:t>
            </w:r>
            <w:proofErr w:type="gramEnd"/>
            <w:r>
              <w:rPr>
                <w:rFonts w:ascii="Open Sans" w:hAnsi="Open Sans" w:cs="Open Sans"/>
                <w:color w:val="000000"/>
                <w:sz w:val="26"/>
                <w:szCs w:val="26"/>
                <w:shd w:val="clear" w:color="auto" w:fill="DEE8FF"/>
              </w:rPr>
              <w:t>–1409. DOI: </w:t>
            </w:r>
            <w:hyperlink r:id="rId13" w:tgtFrame="_blank" w:history="1">
              <w:r>
                <w:rPr>
                  <w:rStyle w:val="Hyperlink"/>
                  <w:rFonts w:ascii="Open Sans" w:hAnsi="Open Sans" w:cs="Open Sans"/>
                  <w:color w:val="075290"/>
                  <w:sz w:val="26"/>
                  <w:szCs w:val="26"/>
                  <w:shd w:val="clear" w:color="auto" w:fill="DEE8FF"/>
                </w:rPr>
                <w:t>http://dx.doi.org/10.15585/mmwr.mm6939e1</w:t>
              </w:r>
            </w:hyperlink>
          </w:p>
          <w:p w14:paraId="5F54B51D" w14:textId="537963BD" w:rsidR="00371451" w:rsidRDefault="00371451" w:rsidP="0007691F">
            <w:pPr>
              <w:rPr>
                <w:color w:val="000000"/>
                <w:sz w:val="20"/>
                <w:szCs w:val="20"/>
                <w:shd w:val="clear" w:color="auto" w:fill="DEE8FF"/>
              </w:rPr>
            </w:pPr>
          </w:p>
        </w:tc>
      </w:tr>
    </w:tbl>
    <w:p w14:paraId="781556BA" w14:textId="1958E0AC" w:rsidR="00C87548" w:rsidRPr="007312C8" w:rsidRDefault="00C87548">
      <w:pPr>
        <w:rPr>
          <w:sz w:val="20"/>
          <w:szCs w:val="20"/>
        </w:rPr>
      </w:pPr>
    </w:p>
    <w:p w14:paraId="01AFF7A3" w14:textId="1E8A7CE4" w:rsidR="0026736A" w:rsidRDefault="0026736A">
      <w:pPr>
        <w:rPr>
          <w:sz w:val="20"/>
          <w:szCs w:val="20"/>
        </w:rPr>
      </w:pPr>
    </w:p>
    <w:p w14:paraId="41E604FB" w14:textId="3059D5F8" w:rsidR="00F21B3F" w:rsidRDefault="00F21B3F">
      <w:pPr>
        <w:rPr>
          <w:sz w:val="20"/>
          <w:szCs w:val="20"/>
        </w:rPr>
      </w:pPr>
    </w:p>
    <w:p w14:paraId="01725B32" w14:textId="79602FDA" w:rsidR="00F21B3F" w:rsidRDefault="006C5815">
      <w:pPr>
        <w:rPr>
          <w:sz w:val="20"/>
          <w:szCs w:val="20"/>
        </w:rPr>
      </w:pPr>
      <w:r>
        <w:rPr>
          <w:b/>
          <w:bCs/>
          <w:sz w:val="20"/>
          <w:szCs w:val="20"/>
        </w:rPr>
        <w:t xml:space="preserve">Prevalence of COVID: </w:t>
      </w:r>
    </w:p>
    <w:p w14:paraId="7A18AB4A" w14:textId="08080C29" w:rsidR="006C5815" w:rsidRDefault="006C5815" w:rsidP="006C5815">
      <w:pPr>
        <w:pStyle w:val="ListParagraph"/>
        <w:numPr>
          <w:ilvl w:val="0"/>
          <w:numId w:val="1"/>
        </w:numPr>
        <w:rPr>
          <w:sz w:val="20"/>
          <w:szCs w:val="20"/>
        </w:rPr>
      </w:pPr>
      <w:r>
        <w:rPr>
          <w:sz w:val="20"/>
          <w:szCs w:val="20"/>
        </w:rPr>
        <w:t xml:space="preserve">Differs significantly over time and by region, good current estimates by U.S. county: </w:t>
      </w:r>
      <w:hyperlink r:id="rId14" w:history="1">
        <w:r w:rsidR="00B83F9C" w:rsidRPr="00093D56">
          <w:rPr>
            <w:rStyle w:val="Hyperlink"/>
            <w:sz w:val="20"/>
            <w:szCs w:val="20"/>
          </w:rPr>
          <w:t>https://www.descarteslabs.com/resources/covid-19-now</w:t>
        </w:r>
      </w:hyperlink>
    </w:p>
    <w:p w14:paraId="47AD79FE" w14:textId="7494AF83" w:rsidR="00B83F9C" w:rsidRDefault="00B83F9C" w:rsidP="006C5815">
      <w:pPr>
        <w:pStyle w:val="ListParagraph"/>
        <w:numPr>
          <w:ilvl w:val="0"/>
          <w:numId w:val="1"/>
        </w:numPr>
        <w:rPr>
          <w:sz w:val="20"/>
          <w:szCs w:val="20"/>
        </w:rPr>
      </w:pPr>
      <w:r>
        <w:rPr>
          <w:sz w:val="20"/>
          <w:szCs w:val="20"/>
        </w:rPr>
        <w:t xml:space="preserve">U.S. and global estimates here: </w:t>
      </w:r>
      <w:hyperlink r:id="rId15" w:history="1">
        <w:r w:rsidR="006417DF" w:rsidRPr="00093D56">
          <w:rPr>
            <w:rStyle w:val="Hyperlink"/>
            <w:sz w:val="20"/>
            <w:szCs w:val="20"/>
          </w:rPr>
          <w:t>https://covid19-projections.com/</w:t>
        </w:r>
      </w:hyperlink>
    </w:p>
    <w:p w14:paraId="48B4797A" w14:textId="77777777" w:rsidR="006417DF" w:rsidRPr="006C5815" w:rsidRDefault="006417DF" w:rsidP="006C5815">
      <w:pPr>
        <w:pStyle w:val="ListParagraph"/>
        <w:numPr>
          <w:ilvl w:val="0"/>
          <w:numId w:val="1"/>
        </w:numPr>
        <w:rPr>
          <w:sz w:val="20"/>
          <w:szCs w:val="20"/>
        </w:rPr>
      </w:pPr>
    </w:p>
    <w:p w14:paraId="11070FFC" w14:textId="56FCE36E" w:rsidR="00C5435C" w:rsidRDefault="00C5435C">
      <w:pPr>
        <w:rPr>
          <w:sz w:val="20"/>
          <w:szCs w:val="20"/>
        </w:rPr>
      </w:pPr>
    </w:p>
    <w:p w14:paraId="3EADC53C" w14:textId="77777777" w:rsidR="00C5435C" w:rsidRPr="007312C8" w:rsidRDefault="00C5435C">
      <w:pPr>
        <w:rPr>
          <w:sz w:val="20"/>
          <w:szCs w:val="20"/>
        </w:rPr>
      </w:pPr>
    </w:p>
    <w:sectPr w:rsidR="00C5435C" w:rsidRPr="007312C8" w:rsidSect="00E12DA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389A3" w14:textId="77777777" w:rsidR="00D75ABF" w:rsidRDefault="00D75ABF" w:rsidP="0026736A">
      <w:r>
        <w:separator/>
      </w:r>
    </w:p>
  </w:endnote>
  <w:endnote w:type="continuationSeparator" w:id="0">
    <w:p w14:paraId="7E258907" w14:textId="77777777" w:rsidR="00D75ABF" w:rsidRDefault="00D75ABF" w:rsidP="00267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Tahoma"/>
    <w:panose1 w:val="020B0604020202020204"/>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7B341" w14:textId="77777777" w:rsidR="00D75ABF" w:rsidRDefault="00D75ABF" w:rsidP="0026736A">
      <w:r>
        <w:separator/>
      </w:r>
    </w:p>
  </w:footnote>
  <w:footnote w:type="continuationSeparator" w:id="0">
    <w:p w14:paraId="5550735D" w14:textId="77777777" w:rsidR="00D75ABF" w:rsidRDefault="00D75ABF" w:rsidP="0026736A">
      <w:r>
        <w:continuationSeparator/>
      </w:r>
    </w:p>
  </w:footnote>
  <w:footnote w:id="1">
    <w:p w14:paraId="6C0C0B50" w14:textId="7B218948" w:rsidR="00C544EC" w:rsidRPr="00C544EC" w:rsidRDefault="00C544EC" w:rsidP="00C544EC">
      <w:pPr>
        <w:rPr>
          <w:sz w:val="20"/>
          <w:szCs w:val="20"/>
        </w:rPr>
      </w:pPr>
      <w:r>
        <w:rPr>
          <w:rStyle w:val="FootnoteReference"/>
        </w:rPr>
        <w:footnoteRef/>
      </w:r>
      <w:r>
        <w:t xml:space="preserve"> </w:t>
      </w:r>
      <w:r w:rsidRPr="007312C8">
        <w:rPr>
          <w:sz w:val="20"/>
          <w:szCs w:val="20"/>
        </w:rPr>
        <w:t>Secondary attack rate</w:t>
      </w:r>
      <w:r w:rsidR="0017261F">
        <w:rPr>
          <w:sz w:val="20"/>
          <w:szCs w:val="20"/>
        </w:rPr>
        <w:t xml:space="preserve">: the </w:t>
      </w:r>
      <w:r w:rsidRPr="007312C8">
        <w:rPr>
          <w:color w:val="505050"/>
          <w:sz w:val="20"/>
          <w:szCs w:val="20"/>
          <w:shd w:val="clear" w:color="auto" w:fill="FFFFFF"/>
        </w:rPr>
        <w:t>probability that an infected individual will transmit the disease to a susceptible individual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F2BC9"/>
    <w:multiLevelType w:val="hybridMultilevel"/>
    <w:tmpl w:val="F4F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55"/>
    <w:rsid w:val="00044DE6"/>
    <w:rsid w:val="0007691F"/>
    <w:rsid w:val="00093C32"/>
    <w:rsid w:val="000D586E"/>
    <w:rsid w:val="00157B9D"/>
    <w:rsid w:val="0017261F"/>
    <w:rsid w:val="00217727"/>
    <w:rsid w:val="0026736A"/>
    <w:rsid w:val="00282FD4"/>
    <w:rsid w:val="002D1AA0"/>
    <w:rsid w:val="00301C97"/>
    <w:rsid w:val="003041B3"/>
    <w:rsid w:val="00331845"/>
    <w:rsid w:val="00371451"/>
    <w:rsid w:val="003748C0"/>
    <w:rsid w:val="003857DB"/>
    <w:rsid w:val="003A7CB0"/>
    <w:rsid w:val="003B1A55"/>
    <w:rsid w:val="003E1200"/>
    <w:rsid w:val="00443052"/>
    <w:rsid w:val="004A210C"/>
    <w:rsid w:val="004B1FDD"/>
    <w:rsid w:val="004D638E"/>
    <w:rsid w:val="00510F6B"/>
    <w:rsid w:val="00535BA8"/>
    <w:rsid w:val="006152F8"/>
    <w:rsid w:val="006417DF"/>
    <w:rsid w:val="006424DE"/>
    <w:rsid w:val="0064378A"/>
    <w:rsid w:val="00655AAC"/>
    <w:rsid w:val="00671CCA"/>
    <w:rsid w:val="006C5815"/>
    <w:rsid w:val="0070144D"/>
    <w:rsid w:val="00705C89"/>
    <w:rsid w:val="00724A6B"/>
    <w:rsid w:val="007312C8"/>
    <w:rsid w:val="007445EA"/>
    <w:rsid w:val="0077759B"/>
    <w:rsid w:val="00804BA5"/>
    <w:rsid w:val="00866781"/>
    <w:rsid w:val="008836A5"/>
    <w:rsid w:val="00891EDE"/>
    <w:rsid w:val="008C5735"/>
    <w:rsid w:val="008E35AC"/>
    <w:rsid w:val="00967B41"/>
    <w:rsid w:val="009B7F78"/>
    <w:rsid w:val="00A206D4"/>
    <w:rsid w:val="00A7432A"/>
    <w:rsid w:val="00A7488F"/>
    <w:rsid w:val="00A82B1C"/>
    <w:rsid w:val="00AA7D8A"/>
    <w:rsid w:val="00B83F9C"/>
    <w:rsid w:val="00BA0059"/>
    <w:rsid w:val="00BA670A"/>
    <w:rsid w:val="00BC6509"/>
    <w:rsid w:val="00C16812"/>
    <w:rsid w:val="00C5435C"/>
    <w:rsid w:val="00C544EC"/>
    <w:rsid w:val="00C87548"/>
    <w:rsid w:val="00CF621E"/>
    <w:rsid w:val="00D4557F"/>
    <w:rsid w:val="00D50789"/>
    <w:rsid w:val="00D75ABF"/>
    <w:rsid w:val="00D93B1F"/>
    <w:rsid w:val="00DB0231"/>
    <w:rsid w:val="00DC3977"/>
    <w:rsid w:val="00E009A5"/>
    <w:rsid w:val="00E121E5"/>
    <w:rsid w:val="00E12DA0"/>
    <w:rsid w:val="00E83A63"/>
    <w:rsid w:val="00E94387"/>
    <w:rsid w:val="00ED47A9"/>
    <w:rsid w:val="00EF0E4F"/>
    <w:rsid w:val="00F21B3F"/>
    <w:rsid w:val="00F337AB"/>
    <w:rsid w:val="00F51A13"/>
    <w:rsid w:val="00F607CC"/>
    <w:rsid w:val="00FC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6157"/>
  <w15:chartTrackingRefBased/>
  <w15:docId w15:val="{217AA852-9712-5145-B25B-B829885E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812"/>
    <w:rPr>
      <w:color w:val="0000FF"/>
      <w:u w:val="single"/>
    </w:rPr>
  </w:style>
  <w:style w:type="character" w:customStyle="1" w:styleId="sr-only">
    <w:name w:val="sr-only"/>
    <w:basedOn w:val="DefaultParagraphFont"/>
    <w:rsid w:val="0064378A"/>
  </w:style>
  <w:style w:type="character" w:styleId="UnresolvedMention">
    <w:name w:val="Unresolved Mention"/>
    <w:basedOn w:val="DefaultParagraphFont"/>
    <w:uiPriority w:val="99"/>
    <w:semiHidden/>
    <w:unhideWhenUsed/>
    <w:rsid w:val="00E94387"/>
    <w:rPr>
      <w:color w:val="605E5C"/>
      <w:shd w:val="clear" w:color="auto" w:fill="E1DFDD"/>
    </w:rPr>
  </w:style>
  <w:style w:type="character" w:customStyle="1" w:styleId="author">
    <w:name w:val="author"/>
    <w:basedOn w:val="DefaultParagraphFont"/>
    <w:rsid w:val="004A210C"/>
  </w:style>
  <w:style w:type="character" w:customStyle="1" w:styleId="articletitle">
    <w:name w:val="articletitle"/>
    <w:basedOn w:val="DefaultParagraphFont"/>
    <w:rsid w:val="004A210C"/>
  </w:style>
  <w:style w:type="character" w:customStyle="1" w:styleId="pubyear">
    <w:name w:val="pubyear"/>
    <w:basedOn w:val="DefaultParagraphFont"/>
    <w:rsid w:val="004A210C"/>
  </w:style>
  <w:style w:type="character" w:customStyle="1" w:styleId="vol">
    <w:name w:val="vol"/>
    <w:basedOn w:val="DefaultParagraphFont"/>
    <w:rsid w:val="004A210C"/>
  </w:style>
  <w:style w:type="character" w:customStyle="1" w:styleId="pagefirst">
    <w:name w:val="pagefirst"/>
    <w:basedOn w:val="DefaultParagraphFont"/>
    <w:rsid w:val="004A210C"/>
  </w:style>
  <w:style w:type="character" w:customStyle="1" w:styleId="pagelast">
    <w:name w:val="pagelast"/>
    <w:basedOn w:val="DefaultParagraphFont"/>
    <w:rsid w:val="004A210C"/>
  </w:style>
  <w:style w:type="paragraph" w:styleId="Header">
    <w:name w:val="header"/>
    <w:basedOn w:val="Normal"/>
    <w:link w:val="HeaderChar"/>
    <w:uiPriority w:val="99"/>
    <w:unhideWhenUsed/>
    <w:rsid w:val="0026736A"/>
    <w:pPr>
      <w:tabs>
        <w:tab w:val="center" w:pos="4680"/>
        <w:tab w:val="right" w:pos="9360"/>
      </w:tabs>
    </w:pPr>
  </w:style>
  <w:style w:type="character" w:customStyle="1" w:styleId="HeaderChar">
    <w:name w:val="Header Char"/>
    <w:basedOn w:val="DefaultParagraphFont"/>
    <w:link w:val="Header"/>
    <w:uiPriority w:val="99"/>
    <w:rsid w:val="0026736A"/>
    <w:rPr>
      <w:rFonts w:ascii="Times New Roman" w:eastAsia="Times New Roman" w:hAnsi="Times New Roman" w:cs="Times New Roman"/>
    </w:rPr>
  </w:style>
  <w:style w:type="paragraph" w:styleId="Footer">
    <w:name w:val="footer"/>
    <w:basedOn w:val="Normal"/>
    <w:link w:val="FooterChar"/>
    <w:uiPriority w:val="99"/>
    <w:unhideWhenUsed/>
    <w:rsid w:val="0026736A"/>
    <w:pPr>
      <w:tabs>
        <w:tab w:val="center" w:pos="4680"/>
        <w:tab w:val="right" w:pos="9360"/>
      </w:tabs>
    </w:pPr>
  </w:style>
  <w:style w:type="character" w:customStyle="1" w:styleId="FooterChar">
    <w:name w:val="Footer Char"/>
    <w:basedOn w:val="DefaultParagraphFont"/>
    <w:link w:val="Footer"/>
    <w:uiPriority w:val="99"/>
    <w:rsid w:val="0026736A"/>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C544EC"/>
    <w:rPr>
      <w:sz w:val="20"/>
      <w:szCs w:val="20"/>
    </w:rPr>
  </w:style>
  <w:style w:type="character" w:customStyle="1" w:styleId="FootnoteTextChar">
    <w:name w:val="Footnote Text Char"/>
    <w:basedOn w:val="DefaultParagraphFont"/>
    <w:link w:val="FootnoteText"/>
    <w:uiPriority w:val="99"/>
    <w:semiHidden/>
    <w:rsid w:val="00C544E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544EC"/>
    <w:rPr>
      <w:vertAlign w:val="superscript"/>
    </w:rPr>
  </w:style>
  <w:style w:type="paragraph" w:styleId="ListParagraph">
    <w:name w:val="List Paragraph"/>
    <w:basedOn w:val="Normal"/>
    <w:uiPriority w:val="34"/>
    <w:qFormat/>
    <w:rsid w:val="006C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3212">
      <w:bodyDiv w:val="1"/>
      <w:marLeft w:val="0"/>
      <w:marRight w:val="0"/>
      <w:marTop w:val="0"/>
      <w:marBottom w:val="0"/>
      <w:divBdr>
        <w:top w:val="none" w:sz="0" w:space="0" w:color="auto"/>
        <w:left w:val="none" w:sz="0" w:space="0" w:color="auto"/>
        <w:bottom w:val="none" w:sz="0" w:space="0" w:color="auto"/>
        <w:right w:val="none" w:sz="0" w:space="0" w:color="auto"/>
      </w:divBdr>
    </w:div>
    <w:div w:id="87309075">
      <w:bodyDiv w:val="1"/>
      <w:marLeft w:val="0"/>
      <w:marRight w:val="0"/>
      <w:marTop w:val="0"/>
      <w:marBottom w:val="0"/>
      <w:divBdr>
        <w:top w:val="none" w:sz="0" w:space="0" w:color="auto"/>
        <w:left w:val="none" w:sz="0" w:space="0" w:color="auto"/>
        <w:bottom w:val="none" w:sz="0" w:space="0" w:color="auto"/>
        <w:right w:val="none" w:sz="0" w:space="0" w:color="auto"/>
      </w:divBdr>
    </w:div>
    <w:div w:id="120081158">
      <w:bodyDiv w:val="1"/>
      <w:marLeft w:val="0"/>
      <w:marRight w:val="0"/>
      <w:marTop w:val="0"/>
      <w:marBottom w:val="0"/>
      <w:divBdr>
        <w:top w:val="none" w:sz="0" w:space="0" w:color="auto"/>
        <w:left w:val="none" w:sz="0" w:space="0" w:color="auto"/>
        <w:bottom w:val="none" w:sz="0" w:space="0" w:color="auto"/>
        <w:right w:val="none" w:sz="0" w:space="0" w:color="auto"/>
      </w:divBdr>
    </w:div>
    <w:div w:id="375932421">
      <w:bodyDiv w:val="1"/>
      <w:marLeft w:val="0"/>
      <w:marRight w:val="0"/>
      <w:marTop w:val="0"/>
      <w:marBottom w:val="0"/>
      <w:divBdr>
        <w:top w:val="none" w:sz="0" w:space="0" w:color="auto"/>
        <w:left w:val="none" w:sz="0" w:space="0" w:color="auto"/>
        <w:bottom w:val="none" w:sz="0" w:space="0" w:color="auto"/>
        <w:right w:val="none" w:sz="0" w:space="0" w:color="auto"/>
      </w:divBdr>
    </w:div>
    <w:div w:id="408309852">
      <w:bodyDiv w:val="1"/>
      <w:marLeft w:val="0"/>
      <w:marRight w:val="0"/>
      <w:marTop w:val="0"/>
      <w:marBottom w:val="0"/>
      <w:divBdr>
        <w:top w:val="none" w:sz="0" w:space="0" w:color="auto"/>
        <w:left w:val="none" w:sz="0" w:space="0" w:color="auto"/>
        <w:bottom w:val="none" w:sz="0" w:space="0" w:color="auto"/>
        <w:right w:val="none" w:sz="0" w:space="0" w:color="auto"/>
      </w:divBdr>
    </w:div>
    <w:div w:id="423575497">
      <w:bodyDiv w:val="1"/>
      <w:marLeft w:val="0"/>
      <w:marRight w:val="0"/>
      <w:marTop w:val="0"/>
      <w:marBottom w:val="0"/>
      <w:divBdr>
        <w:top w:val="none" w:sz="0" w:space="0" w:color="auto"/>
        <w:left w:val="none" w:sz="0" w:space="0" w:color="auto"/>
        <w:bottom w:val="none" w:sz="0" w:space="0" w:color="auto"/>
        <w:right w:val="none" w:sz="0" w:space="0" w:color="auto"/>
      </w:divBdr>
    </w:div>
    <w:div w:id="456142983">
      <w:bodyDiv w:val="1"/>
      <w:marLeft w:val="0"/>
      <w:marRight w:val="0"/>
      <w:marTop w:val="0"/>
      <w:marBottom w:val="0"/>
      <w:divBdr>
        <w:top w:val="none" w:sz="0" w:space="0" w:color="auto"/>
        <w:left w:val="none" w:sz="0" w:space="0" w:color="auto"/>
        <w:bottom w:val="none" w:sz="0" w:space="0" w:color="auto"/>
        <w:right w:val="none" w:sz="0" w:space="0" w:color="auto"/>
      </w:divBdr>
    </w:div>
    <w:div w:id="539517884">
      <w:bodyDiv w:val="1"/>
      <w:marLeft w:val="0"/>
      <w:marRight w:val="0"/>
      <w:marTop w:val="0"/>
      <w:marBottom w:val="0"/>
      <w:divBdr>
        <w:top w:val="none" w:sz="0" w:space="0" w:color="auto"/>
        <w:left w:val="none" w:sz="0" w:space="0" w:color="auto"/>
        <w:bottom w:val="none" w:sz="0" w:space="0" w:color="auto"/>
        <w:right w:val="none" w:sz="0" w:space="0" w:color="auto"/>
      </w:divBdr>
    </w:div>
    <w:div w:id="647634028">
      <w:bodyDiv w:val="1"/>
      <w:marLeft w:val="0"/>
      <w:marRight w:val="0"/>
      <w:marTop w:val="0"/>
      <w:marBottom w:val="0"/>
      <w:divBdr>
        <w:top w:val="none" w:sz="0" w:space="0" w:color="auto"/>
        <w:left w:val="none" w:sz="0" w:space="0" w:color="auto"/>
        <w:bottom w:val="none" w:sz="0" w:space="0" w:color="auto"/>
        <w:right w:val="none" w:sz="0" w:space="0" w:color="auto"/>
      </w:divBdr>
    </w:div>
    <w:div w:id="735473323">
      <w:bodyDiv w:val="1"/>
      <w:marLeft w:val="0"/>
      <w:marRight w:val="0"/>
      <w:marTop w:val="0"/>
      <w:marBottom w:val="0"/>
      <w:divBdr>
        <w:top w:val="none" w:sz="0" w:space="0" w:color="auto"/>
        <w:left w:val="none" w:sz="0" w:space="0" w:color="auto"/>
        <w:bottom w:val="none" w:sz="0" w:space="0" w:color="auto"/>
        <w:right w:val="none" w:sz="0" w:space="0" w:color="auto"/>
      </w:divBdr>
    </w:div>
    <w:div w:id="1040207492">
      <w:bodyDiv w:val="1"/>
      <w:marLeft w:val="0"/>
      <w:marRight w:val="0"/>
      <w:marTop w:val="0"/>
      <w:marBottom w:val="0"/>
      <w:divBdr>
        <w:top w:val="none" w:sz="0" w:space="0" w:color="auto"/>
        <w:left w:val="none" w:sz="0" w:space="0" w:color="auto"/>
        <w:bottom w:val="none" w:sz="0" w:space="0" w:color="auto"/>
        <w:right w:val="none" w:sz="0" w:space="0" w:color="auto"/>
      </w:divBdr>
    </w:div>
    <w:div w:id="1086341265">
      <w:bodyDiv w:val="1"/>
      <w:marLeft w:val="0"/>
      <w:marRight w:val="0"/>
      <w:marTop w:val="0"/>
      <w:marBottom w:val="0"/>
      <w:divBdr>
        <w:top w:val="none" w:sz="0" w:space="0" w:color="auto"/>
        <w:left w:val="none" w:sz="0" w:space="0" w:color="auto"/>
        <w:bottom w:val="none" w:sz="0" w:space="0" w:color="auto"/>
        <w:right w:val="none" w:sz="0" w:space="0" w:color="auto"/>
      </w:divBdr>
    </w:div>
    <w:div w:id="1181316901">
      <w:bodyDiv w:val="1"/>
      <w:marLeft w:val="0"/>
      <w:marRight w:val="0"/>
      <w:marTop w:val="0"/>
      <w:marBottom w:val="0"/>
      <w:divBdr>
        <w:top w:val="none" w:sz="0" w:space="0" w:color="auto"/>
        <w:left w:val="none" w:sz="0" w:space="0" w:color="auto"/>
        <w:bottom w:val="none" w:sz="0" w:space="0" w:color="auto"/>
        <w:right w:val="none" w:sz="0" w:space="0" w:color="auto"/>
      </w:divBdr>
    </w:div>
    <w:div w:id="1243376579">
      <w:bodyDiv w:val="1"/>
      <w:marLeft w:val="0"/>
      <w:marRight w:val="0"/>
      <w:marTop w:val="0"/>
      <w:marBottom w:val="0"/>
      <w:divBdr>
        <w:top w:val="none" w:sz="0" w:space="0" w:color="auto"/>
        <w:left w:val="none" w:sz="0" w:space="0" w:color="auto"/>
        <w:bottom w:val="none" w:sz="0" w:space="0" w:color="auto"/>
        <w:right w:val="none" w:sz="0" w:space="0" w:color="auto"/>
      </w:divBdr>
    </w:div>
    <w:div w:id="1253585802">
      <w:bodyDiv w:val="1"/>
      <w:marLeft w:val="0"/>
      <w:marRight w:val="0"/>
      <w:marTop w:val="0"/>
      <w:marBottom w:val="0"/>
      <w:divBdr>
        <w:top w:val="none" w:sz="0" w:space="0" w:color="auto"/>
        <w:left w:val="none" w:sz="0" w:space="0" w:color="auto"/>
        <w:bottom w:val="none" w:sz="0" w:space="0" w:color="auto"/>
        <w:right w:val="none" w:sz="0" w:space="0" w:color="auto"/>
      </w:divBdr>
    </w:div>
    <w:div w:id="1374693101">
      <w:bodyDiv w:val="1"/>
      <w:marLeft w:val="0"/>
      <w:marRight w:val="0"/>
      <w:marTop w:val="0"/>
      <w:marBottom w:val="0"/>
      <w:divBdr>
        <w:top w:val="none" w:sz="0" w:space="0" w:color="auto"/>
        <w:left w:val="none" w:sz="0" w:space="0" w:color="auto"/>
        <w:bottom w:val="none" w:sz="0" w:space="0" w:color="auto"/>
        <w:right w:val="none" w:sz="0" w:space="0" w:color="auto"/>
      </w:divBdr>
    </w:div>
    <w:div w:id="1517576375">
      <w:bodyDiv w:val="1"/>
      <w:marLeft w:val="0"/>
      <w:marRight w:val="0"/>
      <w:marTop w:val="0"/>
      <w:marBottom w:val="0"/>
      <w:divBdr>
        <w:top w:val="none" w:sz="0" w:space="0" w:color="auto"/>
        <w:left w:val="none" w:sz="0" w:space="0" w:color="auto"/>
        <w:bottom w:val="none" w:sz="0" w:space="0" w:color="auto"/>
        <w:right w:val="none" w:sz="0" w:space="0" w:color="auto"/>
      </w:divBdr>
    </w:div>
    <w:div w:id="1588804749">
      <w:bodyDiv w:val="1"/>
      <w:marLeft w:val="0"/>
      <w:marRight w:val="0"/>
      <w:marTop w:val="0"/>
      <w:marBottom w:val="0"/>
      <w:divBdr>
        <w:top w:val="none" w:sz="0" w:space="0" w:color="auto"/>
        <w:left w:val="none" w:sz="0" w:space="0" w:color="auto"/>
        <w:bottom w:val="none" w:sz="0" w:space="0" w:color="auto"/>
        <w:right w:val="none" w:sz="0" w:space="0" w:color="auto"/>
      </w:divBdr>
    </w:div>
    <w:div w:id="1935673216">
      <w:bodyDiv w:val="1"/>
      <w:marLeft w:val="0"/>
      <w:marRight w:val="0"/>
      <w:marTop w:val="0"/>
      <w:marBottom w:val="0"/>
      <w:divBdr>
        <w:top w:val="none" w:sz="0" w:space="0" w:color="auto"/>
        <w:left w:val="none" w:sz="0" w:space="0" w:color="auto"/>
        <w:bottom w:val="none" w:sz="0" w:space="0" w:color="auto"/>
        <w:right w:val="none" w:sz="0" w:space="0" w:color="auto"/>
      </w:divBdr>
    </w:div>
    <w:div w:id="2005935740">
      <w:bodyDiv w:val="1"/>
      <w:marLeft w:val="0"/>
      <w:marRight w:val="0"/>
      <w:marTop w:val="0"/>
      <w:marBottom w:val="0"/>
      <w:divBdr>
        <w:top w:val="none" w:sz="0" w:space="0" w:color="auto"/>
        <w:left w:val="none" w:sz="0" w:space="0" w:color="auto"/>
        <w:bottom w:val="none" w:sz="0" w:space="0" w:color="auto"/>
        <w:right w:val="none" w:sz="0" w:space="0" w:color="auto"/>
      </w:divBdr>
    </w:div>
    <w:div w:id="2018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ina.12751" TargetMode="External"/><Relationship Id="rId13" Type="http://schemas.openxmlformats.org/officeDocument/2006/relationships/hyperlink" Target="http://dx.doi.org/10.15585/mmwr.mm6939e1" TargetMode="External"/><Relationship Id="rId3" Type="http://schemas.openxmlformats.org/officeDocument/2006/relationships/settings" Target="settings.xml"/><Relationship Id="rId7" Type="http://schemas.openxmlformats.org/officeDocument/2006/relationships/hyperlink" Target="http://dx.doi.org/10.15585/mmwr.mm6944e1" TargetMode="External"/><Relationship Id="rId12" Type="http://schemas.openxmlformats.org/officeDocument/2006/relationships/hyperlink" Target="http://dx.doi.org/10.15585/mmwr.mm695152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5585/mmwr.mm6944a4" TargetMode="External"/><Relationship Id="rId5" Type="http://schemas.openxmlformats.org/officeDocument/2006/relationships/footnotes" Target="footnotes.xml"/><Relationship Id="rId15" Type="http://schemas.openxmlformats.org/officeDocument/2006/relationships/hyperlink" Target="https://covid19-projections.com/" TargetMode="External"/><Relationship Id="rId10" Type="http://schemas.openxmlformats.org/officeDocument/2006/relationships/hyperlink" Target="https://docs.google.com/spreadsheets/d/16K1OQkLD4BjgBdO8ePj6ytf-RpPMlJ6aXFg3PrIQBbQ/edit" TargetMode="External"/><Relationship Id="rId4" Type="http://schemas.openxmlformats.org/officeDocument/2006/relationships/webSettings" Target="webSettings.xml"/><Relationship Id="rId9" Type="http://schemas.openxmlformats.org/officeDocument/2006/relationships/hyperlink" Target="https://tinyurl.com/covid-estimator" TargetMode="External"/><Relationship Id="rId14" Type="http://schemas.openxmlformats.org/officeDocument/2006/relationships/hyperlink" Target="https://www.descarteslabs.com/resources/covid-19-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Lynn DeRook Comess</dc:creator>
  <cp:keywords/>
  <dc:description/>
  <cp:lastModifiedBy>Saskia Lynn DeRook Comess</cp:lastModifiedBy>
  <cp:revision>50</cp:revision>
  <dcterms:created xsi:type="dcterms:W3CDTF">2020-12-11T20:23:00Z</dcterms:created>
  <dcterms:modified xsi:type="dcterms:W3CDTF">2021-01-16T00:48:00Z</dcterms:modified>
</cp:coreProperties>
</file>