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76E2" w14:textId="0C2B4A7E" w:rsidR="004230DF" w:rsidRDefault="006F1059" w:rsidP="00814D6B">
      <w:pPr>
        <w:spacing w:line="480" w:lineRule="auto"/>
        <w:rPr>
          <w:bCs/>
        </w:rPr>
      </w:pPr>
      <w:r>
        <w:rPr>
          <w:b/>
          <w:bCs/>
        </w:rPr>
        <w:t xml:space="preserve">Article Summary Line: </w:t>
      </w:r>
      <w:r w:rsidR="004230DF">
        <w:rPr>
          <w:bCs/>
        </w:rPr>
        <w:t>Pooled testing for</w:t>
      </w:r>
      <w:r w:rsidR="00346454">
        <w:rPr>
          <w:bCs/>
        </w:rPr>
        <w:t xml:space="preserve"> SARS-CoV-2 is feasible on three different nucleic acid amplification test</w:t>
      </w:r>
      <w:r w:rsidR="00C61C5D">
        <w:rPr>
          <w:bCs/>
        </w:rPr>
        <w:t xml:space="preserve">ing platforms, but </w:t>
      </w:r>
      <w:r w:rsidR="004230DF">
        <w:rPr>
          <w:bCs/>
        </w:rPr>
        <w:t xml:space="preserve">is </w:t>
      </w:r>
      <w:r w:rsidR="004230DF" w:rsidRPr="00AF25D7">
        <w:rPr>
          <w:bCs/>
          <w:highlight w:val="yellow"/>
        </w:rPr>
        <w:t>accompanied by</w:t>
      </w:r>
      <w:r w:rsidR="00C61C5D" w:rsidRPr="00AF25D7">
        <w:rPr>
          <w:bCs/>
          <w:highlight w:val="yellow"/>
        </w:rPr>
        <w:t xml:space="preserve"> </w:t>
      </w:r>
      <w:r w:rsidR="00DB6131" w:rsidRPr="00AF25D7">
        <w:rPr>
          <w:bCs/>
          <w:highlight w:val="yellow"/>
        </w:rPr>
        <w:t xml:space="preserve">significant </w:t>
      </w:r>
      <w:r w:rsidR="00346454" w:rsidRPr="00AF25D7">
        <w:rPr>
          <w:bCs/>
          <w:highlight w:val="yellow"/>
        </w:rPr>
        <w:t>dilution-related</w:t>
      </w:r>
      <w:r w:rsidR="003736D3" w:rsidRPr="00AF25D7">
        <w:rPr>
          <w:bCs/>
          <w:highlight w:val="yellow"/>
        </w:rPr>
        <w:t>, assay-specific, and population-dependent</w:t>
      </w:r>
      <w:r w:rsidR="00346454" w:rsidRPr="00AF25D7">
        <w:rPr>
          <w:bCs/>
          <w:highlight w:val="yellow"/>
        </w:rPr>
        <w:t xml:space="preserve"> </w:t>
      </w:r>
      <w:r w:rsidR="00DB1421" w:rsidRPr="00AF25D7">
        <w:rPr>
          <w:bCs/>
          <w:highlight w:val="yellow"/>
        </w:rPr>
        <w:t>changes</w:t>
      </w:r>
      <w:r w:rsidR="00346454" w:rsidRPr="00AF25D7">
        <w:rPr>
          <w:bCs/>
          <w:highlight w:val="yellow"/>
        </w:rPr>
        <w:t xml:space="preserve"> in </w:t>
      </w:r>
      <w:r w:rsidR="00DB1421" w:rsidRPr="00AF25D7">
        <w:rPr>
          <w:bCs/>
          <w:highlight w:val="yellow"/>
        </w:rPr>
        <w:t>analytical sensitivity</w:t>
      </w:r>
      <w:r w:rsidR="003736D3" w:rsidRPr="00AF25D7">
        <w:rPr>
          <w:bCs/>
          <w:highlight w:val="yellow"/>
        </w:rPr>
        <w:t xml:space="preserve"> and efficiency</w:t>
      </w:r>
      <w:r w:rsidR="00DB1421">
        <w:rPr>
          <w:bCs/>
        </w:rPr>
        <w:t>,</w:t>
      </w:r>
      <w:r w:rsidR="00346454">
        <w:rPr>
          <w:bCs/>
        </w:rPr>
        <w:t xml:space="preserve"> which </w:t>
      </w:r>
      <w:r w:rsidR="00DB6131">
        <w:rPr>
          <w:bCs/>
        </w:rPr>
        <w:t>have</w:t>
      </w:r>
      <w:r w:rsidR="00346454">
        <w:rPr>
          <w:bCs/>
        </w:rPr>
        <w:t xml:space="preserve"> implications for </w:t>
      </w:r>
      <w:r w:rsidR="003736D3">
        <w:rPr>
          <w:bCs/>
        </w:rPr>
        <w:t>large-scale</w:t>
      </w:r>
      <w:r w:rsidR="00346454">
        <w:rPr>
          <w:bCs/>
        </w:rPr>
        <w:t xml:space="preserve"> screening e</w:t>
      </w:r>
      <w:r w:rsidR="00F765D1">
        <w:rPr>
          <w:bCs/>
        </w:rPr>
        <w:t>fforts.</w:t>
      </w:r>
    </w:p>
    <w:p w14:paraId="73D57C0B" w14:textId="77777777" w:rsidR="00B25D95" w:rsidRPr="00814D6B" w:rsidRDefault="00B25D95" w:rsidP="00814D6B">
      <w:pPr>
        <w:spacing w:line="480" w:lineRule="auto"/>
        <w:rPr>
          <w:bCs/>
        </w:rPr>
      </w:pPr>
    </w:p>
    <w:p w14:paraId="50BB3615" w14:textId="2A9B3B8A" w:rsidR="004230DF" w:rsidRPr="00814D6B" w:rsidRDefault="006F1059" w:rsidP="00814D6B">
      <w:pPr>
        <w:spacing w:line="480" w:lineRule="auto"/>
        <w:rPr>
          <w:bCs/>
        </w:rPr>
      </w:pPr>
      <w:r>
        <w:rPr>
          <w:b/>
          <w:bCs/>
        </w:rPr>
        <w:t>Running Title:</w:t>
      </w:r>
      <w:r w:rsidR="00B25D95">
        <w:rPr>
          <w:bCs/>
        </w:rPr>
        <w:t xml:space="preserve">  </w:t>
      </w:r>
      <w:r w:rsidR="003C24DC">
        <w:rPr>
          <w:bCs/>
        </w:rPr>
        <w:t>SARS-CoV-2 Pooled Test Performance</w:t>
      </w:r>
    </w:p>
    <w:p w14:paraId="28CAD371" w14:textId="2EC0F86D" w:rsidR="004230DF" w:rsidRPr="00814D6B" w:rsidRDefault="006F1059" w:rsidP="00814D6B">
      <w:pPr>
        <w:spacing w:line="480" w:lineRule="auto"/>
        <w:rPr>
          <w:bCs/>
        </w:rPr>
      </w:pPr>
      <w:r>
        <w:rPr>
          <w:b/>
          <w:bCs/>
        </w:rPr>
        <w:t>Keywords:</w:t>
      </w:r>
      <w:r w:rsidR="00346454">
        <w:rPr>
          <w:b/>
          <w:bCs/>
        </w:rPr>
        <w:t xml:space="preserve"> </w:t>
      </w:r>
      <w:r w:rsidR="00720B0E">
        <w:rPr>
          <w:bCs/>
        </w:rPr>
        <w:t xml:space="preserve">SARS-CoV-2 Testing, Diagnostic Screening Programs, </w:t>
      </w:r>
      <w:r w:rsidR="00C16D0E">
        <w:rPr>
          <w:bCs/>
        </w:rPr>
        <w:t>COVID-19</w:t>
      </w:r>
    </w:p>
    <w:p w14:paraId="116B94F3" w14:textId="3DB0F82E" w:rsidR="003C24DC" w:rsidRPr="00814D6B" w:rsidRDefault="006F1059" w:rsidP="00814D6B">
      <w:pPr>
        <w:spacing w:line="480" w:lineRule="auto"/>
        <w:rPr>
          <w:bCs/>
        </w:rPr>
      </w:pPr>
      <w:r>
        <w:rPr>
          <w:b/>
          <w:bCs/>
        </w:rPr>
        <w:t>Title:</w:t>
      </w:r>
      <w:r w:rsidR="00C16D0E">
        <w:rPr>
          <w:b/>
          <w:bCs/>
        </w:rPr>
        <w:t xml:space="preserve"> </w:t>
      </w:r>
      <w:r w:rsidR="003C24DC">
        <w:t>Performance of Nucleic Acid Amplification Tests for Detection of SARS-CoV-2 in Prospectively Pooled Specimens</w:t>
      </w:r>
    </w:p>
    <w:p w14:paraId="1E8AEC1E" w14:textId="46B9032C" w:rsidR="007E2793" w:rsidRDefault="006F1059" w:rsidP="00814D6B">
      <w:pPr>
        <w:spacing w:line="480" w:lineRule="auto"/>
        <w:jc w:val="both"/>
      </w:pPr>
      <w:r>
        <w:rPr>
          <w:b/>
          <w:bCs/>
        </w:rPr>
        <w:t>Authors:</w:t>
      </w:r>
      <w:r w:rsidR="00C16D0E">
        <w:rPr>
          <w:b/>
          <w:bCs/>
        </w:rPr>
        <w:t xml:space="preserve"> </w:t>
      </w:r>
      <w:r w:rsidR="00DD419D">
        <w:t>Hannah Wang, MD;</w:t>
      </w:r>
      <w:r w:rsidR="001D037C">
        <w:t xml:space="preserve"> </w:t>
      </w:r>
      <w:r w:rsidR="001D037C" w:rsidRPr="00570D33">
        <w:t>Catherine A. Hogan, MD</w:t>
      </w:r>
      <w:r w:rsidR="001D037C">
        <w:t>, MSc</w:t>
      </w:r>
      <w:r w:rsidR="00DD419D">
        <w:t>;</w:t>
      </w:r>
      <w:r w:rsidR="001D037C" w:rsidRPr="00570D33">
        <w:t xml:space="preserve"> </w:t>
      </w:r>
      <w:r w:rsidR="00C7104A">
        <w:t xml:space="preserve">Jacob A. Miller, MD; </w:t>
      </w:r>
      <w:r w:rsidR="001D037C" w:rsidRPr="00570D33">
        <w:t>Malaya K. Sahoo, PhD</w:t>
      </w:r>
      <w:r w:rsidR="00DD419D">
        <w:t>;</w:t>
      </w:r>
      <w:r w:rsidR="001D037C" w:rsidRPr="00570D33">
        <w:t xml:space="preserve"> </w:t>
      </w:r>
      <w:proofErr w:type="spellStart"/>
      <w:r w:rsidR="001D037C" w:rsidRPr="00570D33">
        <w:rPr>
          <w:color w:val="000000"/>
          <w:shd w:val="clear" w:color="auto" w:fill="FFFFFF"/>
        </w:rPr>
        <w:t>ChunHong</w:t>
      </w:r>
      <w:proofErr w:type="spellEnd"/>
      <w:r w:rsidR="001D037C" w:rsidRPr="00570D33">
        <w:rPr>
          <w:color w:val="000000"/>
          <w:shd w:val="clear" w:color="auto" w:fill="FFFFFF"/>
        </w:rPr>
        <w:t xml:space="preserve"> </w:t>
      </w:r>
      <w:r w:rsidR="001D037C" w:rsidRPr="00570D33">
        <w:t>Huang, MD</w:t>
      </w:r>
      <w:r w:rsidR="00DD419D">
        <w:t>;</w:t>
      </w:r>
      <w:r w:rsidR="001D037C">
        <w:t xml:space="preserve"> </w:t>
      </w:r>
      <w:r w:rsidR="00736278">
        <w:t xml:space="preserve">Kenji O. </w:t>
      </w:r>
      <w:proofErr w:type="spellStart"/>
      <w:r w:rsidR="00736278">
        <w:t>Mfuh</w:t>
      </w:r>
      <w:proofErr w:type="spellEnd"/>
      <w:r w:rsidR="00736278">
        <w:t>, PhD</w:t>
      </w:r>
      <w:r w:rsidR="00DD419D">
        <w:t>;</w:t>
      </w:r>
      <w:r w:rsidR="00736278">
        <w:t xml:space="preserve"> Mamdouh </w:t>
      </w:r>
      <w:proofErr w:type="spellStart"/>
      <w:r w:rsidR="00736278">
        <w:t>Sibai</w:t>
      </w:r>
      <w:proofErr w:type="spellEnd"/>
      <w:r w:rsidR="00736278">
        <w:t>, BS</w:t>
      </w:r>
      <w:r w:rsidR="00DD419D">
        <w:t>;</w:t>
      </w:r>
      <w:r w:rsidR="00736278">
        <w:t xml:space="preserve"> </w:t>
      </w:r>
      <w:r w:rsidR="001D037C" w:rsidRPr="00570D33">
        <w:t>James Zehnder, MD</w:t>
      </w:r>
      <w:r w:rsidR="00DD419D">
        <w:t>;</w:t>
      </w:r>
      <w:r w:rsidR="001D037C" w:rsidRPr="00570D33">
        <w:t xml:space="preserve"> </w:t>
      </w:r>
      <w:r w:rsidR="00FC28CB">
        <w:t xml:space="preserve">Brendan Hickey, </w:t>
      </w:r>
      <w:proofErr w:type="spellStart"/>
      <w:r w:rsidR="00FC28CB">
        <w:t>ScM</w:t>
      </w:r>
      <w:proofErr w:type="spellEnd"/>
      <w:r w:rsidR="00DD419D">
        <w:t>;</w:t>
      </w:r>
      <w:r w:rsidR="00FC28CB">
        <w:t xml:space="preserve"> </w:t>
      </w:r>
      <w:r w:rsidR="001D037C">
        <w:t xml:space="preserve">Nasa </w:t>
      </w:r>
      <w:r w:rsidR="001D037C" w:rsidRPr="001D037C">
        <w:t>Sinnott-Armstrong</w:t>
      </w:r>
      <w:r w:rsidR="001D037C">
        <w:t xml:space="preserve">, </w:t>
      </w:r>
      <w:proofErr w:type="spellStart"/>
      <w:r w:rsidR="001D037C">
        <w:t>ScM</w:t>
      </w:r>
      <w:proofErr w:type="spellEnd"/>
      <w:r w:rsidR="00DD419D">
        <w:t>;</w:t>
      </w:r>
      <w:r w:rsidR="001D037C">
        <w:t xml:space="preserve"> </w:t>
      </w:r>
      <w:r w:rsidR="001D037C" w:rsidRPr="00570D33">
        <w:t>Benjamin A. Pinsky, MD</w:t>
      </w:r>
      <w:r w:rsidR="001D037C">
        <w:t>, PhD</w:t>
      </w:r>
    </w:p>
    <w:p w14:paraId="7A692D07" w14:textId="0C9E3E44" w:rsidR="007E2793" w:rsidRDefault="7970C872" w:rsidP="00814D6B">
      <w:pPr>
        <w:spacing w:line="480" w:lineRule="auto"/>
        <w:jc w:val="both"/>
      </w:pPr>
      <w:r w:rsidRPr="7970C872">
        <w:rPr>
          <w:b/>
          <w:bCs/>
        </w:rPr>
        <w:t xml:space="preserve">Author Affiliations: </w:t>
      </w:r>
      <w:r>
        <w:t xml:space="preserve">Stanford University School of Medicine, Stanford, CA, USA (H. Wang, C.A. Hogan, </w:t>
      </w:r>
      <w:r w:rsidR="00A17E36">
        <w:t xml:space="preserve">J.A. Miller, </w:t>
      </w:r>
      <w:r>
        <w:t xml:space="preserve">M.K. Sahoo, C. Huang, J. Zehnder, N. Sinnott-Armstrong, B.A. Pinsky); Stanford University, Stanford (N. Sinnott-Armstrong); Stanford Health Care, Stanford (K.O. </w:t>
      </w:r>
      <w:proofErr w:type="spellStart"/>
      <w:r>
        <w:t>Mfuh</w:t>
      </w:r>
      <w:proofErr w:type="spellEnd"/>
      <w:r>
        <w:t xml:space="preserve">, M. </w:t>
      </w:r>
      <w:proofErr w:type="spellStart"/>
      <w:r>
        <w:t>Sibai</w:t>
      </w:r>
      <w:proofErr w:type="spellEnd"/>
      <w:r>
        <w:t>, B.A. Pinsky)</w:t>
      </w:r>
    </w:p>
    <w:p w14:paraId="1754D5A0" w14:textId="4728AB2A" w:rsidR="001D037C" w:rsidRPr="00570D33" w:rsidRDefault="001D037C" w:rsidP="00814D6B">
      <w:pPr>
        <w:spacing w:line="480" w:lineRule="auto"/>
        <w:jc w:val="both"/>
        <w:rPr>
          <w:b/>
        </w:rPr>
      </w:pPr>
      <w:r w:rsidRPr="00570D33">
        <w:rPr>
          <w:b/>
        </w:rPr>
        <w:t xml:space="preserve">Corresponding </w:t>
      </w:r>
      <w:r w:rsidR="00F765D1">
        <w:rPr>
          <w:b/>
        </w:rPr>
        <w:t>A</w:t>
      </w:r>
      <w:r w:rsidRPr="00570D33">
        <w:rPr>
          <w:b/>
        </w:rPr>
        <w:t>uthor:</w:t>
      </w:r>
    </w:p>
    <w:p w14:paraId="2C942AB3" w14:textId="77777777" w:rsidR="001D037C" w:rsidRPr="00570D33" w:rsidRDefault="001D037C" w:rsidP="00814D6B">
      <w:pPr>
        <w:spacing w:line="480" w:lineRule="auto"/>
        <w:jc w:val="both"/>
        <w:rPr>
          <w:bCs/>
        </w:rPr>
      </w:pPr>
      <w:r w:rsidRPr="00570D33">
        <w:rPr>
          <w:bCs/>
        </w:rPr>
        <w:t>Benjamin A. Pinsky</w:t>
      </w:r>
      <w:r>
        <w:rPr>
          <w:bCs/>
        </w:rPr>
        <w:t>, MD, PhD</w:t>
      </w:r>
    </w:p>
    <w:p w14:paraId="4B36EB1F" w14:textId="77777777" w:rsidR="001D037C" w:rsidRPr="00570D33" w:rsidRDefault="001D037C" w:rsidP="00814D6B">
      <w:pPr>
        <w:spacing w:line="480" w:lineRule="auto"/>
        <w:jc w:val="both"/>
        <w:rPr>
          <w:bCs/>
        </w:rPr>
      </w:pPr>
      <w:r w:rsidRPr="00570D33">
        <w:rPr>
          <w:bCs/>
        </w:rPr>
        <w:t>3375 Hillview, Room 2913</w:t>
      </w:r>
    </w:p>
    <w:p w14:paraId="14E6D2CA" w14:textId="77777777" w:rsidR="001D037C" w:rsidRPr="00570D33" w:rsidRDefault="001D037C" w:rsidP="00814D6B">
      <w:pPr>
        <w:spacing w:line="480" w:lineRule="auto"/>
        <w:jc w:val="both"/>
        <w:rPr>
          <w:bCs/>
        </w:rPr>
      </w:pPr>
      <w:r w:rsidRPr="00570D33">
        <w:rPr>
          <w:bCs/>
        </w:rPr>
        <w:t>Palo Alto, CA 94304</w:t>
      </w:r>
    </w:p>
    <w:p w14:paraId="763150A4" w14:textId="77777777" w:rsidR="001D037C" w:rsidRPr="00570D33" w:rsidRDefault="001D037C" w:rsidP="00814D6B">
      <w:pPr>
        <w:spacing w:line="480" w:lineRule="auto"/>
        <w:jc w:val="both"/>
        <w:rPr>
          <w:bCs/>
        </w:rPr>
      </w:pPr>
      <w:r w:rsidRPr="00570D33">
        <w:rPr>
          <w:bCs/>
        </w:rPr>
        <w:t>Phone (650) 498-5575</w:t>
      </w:r>
    </w:p>
    <w:p w14:paraId="5CEFABCC" w14:textId="77777777" w:rsidR="001D037C" w:rsidRPr="00570D33" w:rsidRDefault="001D037C" w:rsidP="00814D6B">
      <w:pPr>
        <w:spacing w:line="480" w:lineRule="auto"/>
        <w:jc w:val="both"/>
        <w:rPr>
          <w:bCs/>
        </w:rPr>
      </w:pPr>
      <w:r w:rsidRPr="00570D33">
        <w:rPr>
          <w:bCs/>
        </w:rPr>
        <w:t>Fax (650) 736-1964</w:t>
      </w:r>
    </w:p>
    <w:p w14:paraId="34DF58A1" w14:textId="1C39D4C6" w:rsidR="007E2793" w:rsidRDefault="0029750F" w:rsidP="00814D6B">
      <w:pPr>
        <w:spacing w:line="480" w:lineRule="auto"/>
      </w:pPr>
      <w:hyperlink r:id="rId8" w:history="1">
        <w:r w:rsidR="007E2793" w:rsidRPr="001B0953">
          <w:rPr>
            <w:rStyle w:val="Hyperlink"/>
          </w:rPr>
          <w:t>bpinsky@stanford.edu</w:t>
        </w:r>
      </w:hyperlink>
      <w:r w:rsidR="001D037C" w:rsidRPr="00570D33">
        <w:t xml:space="preserve"> </w:t>
      </w:r>
    </w:p>
    <w:p w14:paraId="3D43646E" w14:textId="70D35001" w:rsidR="00CD1B6A" w:rsidRDefault="00F765D1" w:rsidP="00814D6B">
      <w:pPr>
        <w:spacing w:line="480" w:lineRule="auto"/>
      </w:pPr>
      <w:r w:rsidRPr="00F765D1">
        <w:rPr>
          <w:b/>
        </w:rPr>
        <w:t>Abstract Word Count:</w:t>
      </w:r>
      <w:r>
        <w:t xml:space="preserve"> </w:t>
      </w:r>
      <w:r w:rsidR="00CD1B6A">
        <w:t>147</w:t>
      </w:r>
    </w:p>
    <w:p w14:paraId="215752BB" w14:textId="24890D22" w:rsidR="00CD1B6A" w:rsidRDefault="00F765D1" w:rsidP="00814D6B">
      <w:pPr>
        <w:spacing w:line="480" w:lineRule="auto"/>
        <w:rPr>
          <w:b/>
          <w:bCs/>
        </w:rPr>
      </w:pPr>
      <w:r w:rsidRPr="00F765D1">
        <w:rPr>
          <w:b/>
        </w:rPr>
        <w:t>Text Word Count:</w:t>
      </w:r>
      <w:r>
        <w:t xml:space="preserve"> </w:t>
      </w:r>
      <w:r w:rsidR="00780683">
        <w:t>3495</w:t>
      </w:r>
    </w:p>
    <w:p w14:paraId="0AA2F56A" w14:textId="521189A2" w:rsidR="00074C87" w:rsidRPr="00F765D1" w:rsidRDefault="00074C87" w:rsidP="00814D6B">
      <w:pPr>
        <w:spacing w:line="480" w:lineRule="auto"/>
      </w:pPr>
      <w:r w:rsidRPr="006F1059">
        <w:rPr>
          <w:b/>
          <w:bCs/>
        </w:rPr>
        <w:lastRenderedPageBreak/>
        <w:t>Abstract</w:t>
      </w:r>
    </w:p>
    <w:p w14:paraId="340BB9E6" w14:textId="2CC5DCBD" w:rsidR="00337F8A" w:rsidRDefault="00181C18" w:rsidP="00707A3A">
      <w:pPr>
        <w:spacing w:line="480" w:lineRule="auto"/>
        <w:ind w:firstLine="720"/>
        <w:rPr>
          <w:b/>
          <w:bCs/>
        </w:rPr>
      </w:pPr>
      <w:r>
        <w:rPr>
          <w:bCs/>
        </w:rPr>
        <w:t>Pooled nucleic acid amplification testing</w:t>
      </w:r>
      <w:r w:rsidR="005B5EA0">
        <w:rPr>
          <w:bCs/>
        </w:rPr>
        <w:t xml:space="preserve"> (NAAT)</w:t>
      </w:r>
      <w:r>
        <w:rPr>
          <w:bCs/>
        </w:rPr>
        <w:t xml:space="preserve"> for </w:t>
      </w:r>
      <w:r w:rsidR="0087323D">
        <w:rPr>
          <w:bCs/>
        </w:rPr>
        <w:t>severe acute respiratory syndrome coronavirus 2 (</w:t>
      </w:r>
      <w:r w:rsidR="005B5EA0">
        <w:rPr>
          <w:bCs/>
        </w:rPr>
        <w:t>SARS-CoV-2</w:t>
      </w:r>
      <w:r w:rsidR="0087323D">
        <w:rPr>
          <w:bCs/>
        </w:rPr>
        <w:t>)</w:t>
      </w:r>
      <w:r w:rsidR="005B5EA0">
        <w:rPr>
          <w:bCs/>
        </w:rPr>
        <w:t xml:space="preserve"> has the potential to increase availability of testing at decreased cost. However, </w:t>
      </w:r>
      <w:commentRangeStart w:id="0"/>
      <w:r w:rsidR="005B5EA0">
        <w:rPr>
          <w:bCs/>
        </w:rPr>
        <w:t xml:space="preserve">the effect of dilution on </w:t>
      </w:r>
      <w:r w:rsidR="002931C6">
        <w:rPr>
          <w:bCs/>
        </w:rPr>
        <w:t xml:space="preserve">analytical </w:t>
      </w:r>
      <w:r w:rsidR="005B5EA0">
        <w:rPr>
          <w:bCs/>
        </w:rPr>
        <w:t xml:space="preserve">sensitivity through sample pooling has not been well characterized. We tested </w:t>
      </w:r>
      <w:r w:rsidR="00B75E60">
        <w:rPr>
          <w:bCs/>
        </w:rPr>
        <w:t>1</w:t>
      </w:r>
      <w:r w:rsidR="00790C81">
        <w:rPr>
          <w:bCs/>
        </w:rPr>
        <w:t>,</w:t>
      </w:r>
      <w:r w:rsidR="00B75E60">
        <w:rPr>
          <w:bCs/>
        </w:rPr>
        <w:t xml:space="preserve">648 </w:t>
      </w:r>
      <w:r w:rsidR="00CE3A17">
        <w:rPr>
          <w:bCs/>
        </w:rPr>
        <w:t>prospectively-pooled specimens using</w:t>
      </w:r>
      <w:r w:rsidR="005B5EA0">
        <w:rPr>
          <w:bCs/>
        </w:rPr>
        <w:t xml:space="preserve"> three different NAATs for SARS-CoV-2</w:t>
      </w:r>
      <w:commentRangeEnd w:id="0"/>
      <w:r w:rsidR="00AF25D7">
        <w:rPr>
          <w:rStyle w:val="CommentReference"/>
        </w:rPr>
        <w:commentReference w:id="0"/>
      </w:r>
      <w:r w:rsidR="005B5EA0">
        <w:rPr>
          <w:bCs/>
        </w:rPr>
        <w:t>: a lab</w:t>
      </w:r>
      <w:r w:rsidR="00990E7D">
        <w:rPr>
          <w:bCs/>
        </w:rPr>
        <w:t>oratory</w:t>
      </w:r>
      <w:r w:rsidR="005B5EA0">
        <w:rPr>
          <w:bCs/>
        </w:rPr>
        <w:t xml:space="preserve">-developed </w:t>
      </w:r>
      <w:r w:rsidR="00990E7D">
        <w:rPr>
          <w:bCs/>
        </w:rPr>
        <w:t xml:space="preserve">real-time </w:t>
      </w:r>
      <w:r w:rsidR="005B5EA0">
        <w:rPr>
          <w:bCs/>
        </w:rPr>
        <w:t xml:space="preserve">reverse transcription </w:t>
      </w:r>
      <w:r w:rsidR="000D6F57">
        <w:rPr>
          <w:bCs/>
        </w:rPr>
        <w:t>PCR</w:t>
      </w:r>
      <w:r w:rsidR="005B5EA0">
        <w:rPr>
          <w:bCs/>
        </w:rPr>
        <w:t xml:space="preserve"> (</w:t>
      </w:r>
      <w:proofErr w:type="spellStart"/>
      <w:r w:rsidR="005B5EA0">
        <w:rPr>
          <w:bCs/>
        </w:rPr>
        <w:t>rRT</w:t>
      </w:r>
      <w:proofErr w:type="spellEnd"/>
      <w:r w:rsidR="005B5EA0">
        <w:rPr>
          <w:bCs/>
        </w:rPr>
        <w:t>-PCR)</w:t>
      </w:r>
      <w:r w:rsidR="009D41AA">
        <w:rPr>
          <w:bCs/>
        </w:rPr>
        <w:t xml:space="preserve"> assay targeting the </w:t>
      </w:r>
      <w:r w:rsidR="009D41AA">
        <w:rPr>
          <w:bCs/>
          <w:i/>
        </w:rPr>
        <w:t>E</w:t>
      </w:r>
      <w:r w:rsidR="009D41AA">
        <w:rPr>
          <w:bCs/>
        </w:rPr>
        <w:t xml:space="preserve"> gene</w:t>
      </w:r>
      <w:r w:rsidR="005B5EA0">
        <w:rPr>
          <w:bCs/>
        </w:rPr>
        <w:t xml:space="preserve">, and </w:t>
      </w:r>
      <w:r w:rsidR="002D47D9">
        <w:rPr>
          <w:bCs/>
        </w:rPr>
        <w:t>two commercially-</w:t>
      </w:r>
      <w:r w:rsidR="005B5EA0">
        <w:rPr>
          <w:bCs/>
        </w:rPr>
        <w:t xml:space="preserve">available </w:t>
      </w:r>
      <w:r w:rsidR="005D1F56">
        <w:rPr>
          <w:bCs/>
        </w:rPr>
        <w:t>Panther System assays</w:t>
      </w:r>
      <w:r w:rsidR="009D41AA">
        <w:rPr>
          <w:bCs/>
        </w:rPr>
        <w:t xml:space="preserve"> targeting ORF1ab</w:t>
      </w:r>
      <w:r w:rsidR="002D47D9">
        <w:rPr>
          <w:bCs/>
        </w:rPr>
        <w:t xml:space="preserve">. </w:t>
      </w:r>
      <w:commentRangeStart w:id="1"/>
      <w:r w:rsidR="002D47D9">
        <w:rPr>
          <w:bCs/>
        </w:rPr>
        <w:t xml:space="preserve">Positive percent agreement (PPA) of pooled versus individual testing ranged from </w:t>
      </w:r>
      <w:r w:rsidR="002D47D9">
        <w:t>7</w:t>
      </w:r>
      <w:r w:rsidR="00DF1539">
        <w:t>1</w:t>
      </w:r>
      <w:r w:rsidR="002D47D9">
        <w:t>.</w:t>
      </w:r>
      <w:r w:rsidR="00DF1539">
        <w:t>7</w:t>
      </w:r>
      <w:r w:rsidR="002D47D9">
        <w:t>%</w:t>
      </w:r>
      <w:r w:rsidR="00BC0410">
        <w:t>-</w:t>
      </w:r>
      <w:r w:rsidR="002D47D9">
        <w:t>8</w:t>
      </w:r>
      <w:r w:rsidR="00DF1539">
        <w:t>2</w:t>
      </w:r>
      <w:r w:rsidR="002D47D9">
        <w:t>.</w:t>
      </w:r>
      <w:r w:rsidR="00DF1539">
        <w:t>6</w:t>
      </w:r>
      <w:r w:rsidR="002D47D9">
        <w:t>%</w:t>
      </w:r>
      <w:r w:rsidR="005D1F56">
        <w:t xml:space="preserve"> for pools of </w:t>
      </w:r>
      <w:r w:rsidR="001214DA">
        <w:t>8</w:t>
      </w:r>
      <w:r w:rsidR="005D1F56">
        <w:t xml:space="preserve">, and from 82.9%-100.0% for pools of </w:t>
      </w:r>
      <w:r w:rsidR="001214DA">
        <w:t>4</w:t>
      </w:r>
      <w:r w:rsidR="002D47D9">
        <w:t>.</w:t>
      </w:r>
      <w:commentRangeEnd w:id="1"/>
      <w:r w:rsidR="00263D80">
        <w:rPr>
          <w:rStyle w:val="CommentReference"/>
        </w:rPr>
        <w:commentReference w:id="1"/>
      </w:r>
      <w:r w:rsidR="002D47D9">
        <w:t xml:space="preserve"> </w:t>
      </w:r>
      <w:r w:rsidR="00990E7D">
        <w:t>W</w:t>
      </w:r>
      <w:r w:rsidR="002D47D9">
        <w:t>e developed a</w:t>
      </w:r>
      <w:r w:rsidR="00790C81">
        <w:t xml:space="preserve">n </w:t>
      </w:r>
      <w:commentRangeStart w:id="2"/>
      <w:r w:rsidR="00790C81">
        <w:t>independent</w:t>
      </w:r>
      <w:r w:rsidR="002D47D9">
        <w:t xml:space="preserve"> stochastic simulation model</w:t>
      </w:r>
      <w:commentRangeEnd w:id="2"/>
      <w:r w:rsidR="000B6A23">
        <w:rPr>
          <w:rStyle w:val="CommentReference"/>
        </w:rPr>
        <w:commentReference w:id="2"/>
      </w:r>
      <w:r w:rsidR="002D47D9">
        <w:t xml:space="preserve"> to estimate the effects of dilution on PPA and efficiency of a two-stage pooled </w:t>
      </w:r>
      <w:proofErr w:type="spellStart"/>
      <w:r w:rsidR="002D47D9">
        <w:t>rRT</w:t>
      </w:r>
      <w:proofErr w:type="spellEnd"/>
      <w:r w:rsidR="002D47D9">
        <w:t>-PCR testing algorithm</w:t>
      </w:r>
      <w:r w:rsidR="005D1F56">
        <w:t xml:space="preserve">, and validated it using these </w:t>
      </w:r>
      <w:r w:rsidR="00861E33">
        <w:t xml:space="preserve">empiric </w:t>
      </w:r>
      <w:r w:rsidR="005D1F56">
        <w:t>data</w:t>
      </w:r>
      <w:r w:rsidR="002D47D9">
        <w:t xml:space="preserve">. </w:t>
      </w:r>
      <w:r w:rsidR="009D41AA">
        <w:t xml:space="preserve">Our model demonstrated that </w:t>
      </w:r>
      <w:r w:rsidR="002D47D9">
        <w:t xml:space="preserve">PPA was dependent on </w:t>
      </w:r>
      <w:r w:rsidR="00707A3A">
        <w:t xml:space="preserve">the </w:t>
      </w:r>
      <w:r w:rsidR="002D47D9">
        <w:t xml:space="preserve">proportion of </w:t>
      </w:r>
      <w:r w:rsidR="00707A3A">
        <w:t xml:space="preserve">positive </w:t>
      </w:r>
      <w:r w:rsidR="002D47D9">
        <w:t>test</w:t>
      </w:r>
      <w:r w:rsidR="00707A3A">
        <w:t>s</w:t>
      </w:r>
      <w:r w:rsidR="002D47D9">
        <w:t>, cycle threshold distribution</w:t>
      </w:r>
      <w:r w:rsidR="00337F8A">
        <w:t>, and assay limit of detection</w:t>
      </w:r>
      <w:r w:rsidR="00707A3A">
        <w:rPr>
          <w:b/>
          <w:bCs/>
        </w:rPr>
        <w:t>.</w:t>
      </w:r>
      <w:r w:rsidR="00337F8A">
        <w:rPr>
          <w:b/>
          <w:bCs/>
        </w:rPr>
        <w:br w:type="page"/>
      </w:r>
    </w:p>
    <w:p w14:paraId="7199897A" w14:textId="4A016EFD" w:rsidR="001A4045" w:rsidRPr="006F1059" w:rsidRDefault="001A4045" w:rsidP="00814D6B">
      <w:pPr>
        <w:spacing w:line="480" w:lineRule="auto"/>
        <w:rPr>
          <w:b/>
          <w:bCs/>
        </w:rPr>
      </w:pPr>
      <w:r w:rsidRPr="006F1059">
        <w:rPr>
          <w:b/>
          <w:bCs/>
        </w:rPr>
        <w:lastRenderedPageBreak/>
        <w:t>Introduction</w:t>
      </w:r>
    </w:p>
    <w:p w14:paraId="321957EE" w14:textId="181CBA7A" w:rsidR="001F4B2C" w:rsidRPr="006F1059" w:rsidRDefault="00090BC7" w:rsidP="00814D6B">
      <w:pPr>
        <w:spacing w:line="480" w:lineRule="auto"/>
        <w:ind w:firstLine="720"/>
        <w:rPr>
          <w:bCs/>
        </w:rPr>
      </w:pPr>
      <w:r w:rsidRPr="006F1059">
        <w:rPr>
          <w:bCs/>
        </w:rPr>
        <w:t xml:space="preserve">The ability of clinical laboratories to meet the demand for severe acute respiratory syndrome coronavirus 2 (SARS-CoV-2) testing </w:t>
      </w:r>
      <w:r w:rsidR="00085010">
        <w:rPr>
          <w:bCs/>
        </w:rPr>
        <w:t>is</w:t>
      </w:r>
      <w:r w:rsidR="00922DC9" w:rsidRPr="006F1059">
        <w:rPr>
          <w:bCs/>
        </w:rPr>
        <w:t xml:space="preserve"> critical </w:t>
      </w:r>
      <w:r w:rsidR="00085010">
        <w:rPr>
          <w:bCs/>
        </w:rPr>
        <w:t xml:space="preserve">to reduce </w:t>
      </w:r>
      <w:r w:rsidR="00C851EB" w:rsidRPr="006F1059">
        <w:rPr>
          <w:bCs/>
        </w:rPr>
        <w:t>coronavirus disease 2019 (COVID-19)-related morbidity, mortality, and economic impact</w:t>
      </w:r>
      <w:r w:rsidR="00357390" w:rsidRPr="006F1059">
        <w:rPr>
          <w:bCs/>
        </w:rPr>
        <w:t xml:space="preserve">. Pooled testing </w:t>
      </w:r>
      <w:r w:rsidR="009B7AF4" w:rsidRPr="006F1059">
        <w:rPr>
          <w:bCs/>
        </w:rPr>
        <w:t>has the potential to decre</w:t>
      </w:r>
      <w:r w:rsidR="00C353B4" w:rsidRPr="006F1059">
        <w:rPr>
          <w:bCs/>
        </w:rPr>
        <w:t>ase the resource</w:t>
      </w:r>
      <w:r w:rsidR="00357390" w:rsidRPr="006F1059">
        <w:rPr>
          <w:bCs/>
        </w:rPr>
        <w:t xml:space="preserve">s required for population-level </w:t>
      </w:r>
      <w:r w:rsidR="007F215F" w:rsidRPr="006F1059">
        <w:rPr>
          <w:bCs/>
        </w:rPr>
        <w:t>screening</w:t>
      </w:r>
      <w:r w:rsidR="002F122C" w:rsidRPr="006F1059">
        <w:rPr>
          <w:bCs/>
        </w:rPr>
        <w:t>, and can provide valuable data to inform public health policies</w:t>
      </w:r>
      <w:r w:rsidR="007E2793">
        <w:rPr>
          <w:bCs/>
        </w:rPr>
        <w:t xml:space="preserve"> </w:t>
      </w:r>
      <w:r w:rsidR="007E2793">
        <w:rPr>
          <w:bCs/>
        </w:rPr>
        <w:fldChar w:fldCharType="begin" w:fldLock="1"/>
      </w:r>
      <w:r w:rsidR="005927E8">
        <w:rPr>
          <w:bCs/>
        </w:rPr>
        <w:instrText>ADDIN CSL_CITATION {"citationItems":[{"id":"ITEM-1","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-1","issue":"19","issued":{"date-parts":[["2020"]]},"page":"1967-9","title":"Sample Pooling as a Strategy to Detect Community Transmission of SARS-CoV-2","type":"article-journal","volume":"323"},"uris":["http://www.mendeley.com/documents/?uuid=8332f2c8-641d-4299-8996-537ba2179235"]},{"id":"ITEM-2","itemData":{"DOI":"10.1002/jmv.26005","ISSN":"10969071","PMID":"32401343","abstract":"In the age of a pandemic, such as the ongoing one caused by SARS-CoV-2, the world faces a limited supply of tests, personal protective equipment, and factories and supply chains are struggling to meet the growing demands. This study aimed to evaluate the efficacy of specimen pooling for testing of SARS-CoV-2 virus, to determine whether costs and resource savings could be achieved without impacting the sensitivity of the testing. Ten previously tested nasopharyngeal and throat swab specimens by real-time PCR, were pooled for testing, containing either one or two known positive specimens of varying viral concentrations. Specimen pooling did not affect the sensitivity of detecting SARS-CoV-2 when the PCR cycle threshold (Ct) of original specimen was lower than 35. In specimens with low viral load (Ct&gt;35), 2 out of 15 pools (13.3%) were false negative. Pooling specimens to test for COVID-19 infection in low prevalence (≤1%) areas or in low risk populations can dramatically decrease the resource burden on laboratory operations by up to 80%. This paves the way for large-scale population screening, allowing for assured policy decisions by governmental bodies to ease lockdown restrictions in areas with a low incidence of infection, or with lower risk populations. This article is protected by copyright. All rights reserved.","author":[{"dropping-particle":"","family":"Wacharapluesadee","given":"Supaporn","non-dropping-particle":"","parse-names":false,"suffix":""},{"dropping-particle":"","family":"Kaewpom","given":"Thongchai","non-dropping-particle":"","parse-names":false,"suffix":""},{"dropping-particle":"","family":"Ampoot","given":"Weenassarin","non-dropping-particle":"","parse-names":false,"suffix":""},{"dropping-particle":"","family":"Ghai","given":"Siriporn","non-dropping-particle":"","parse-names":false,"suffix":""},{"dropping-particle":"","family":"Khamhang","given":"Worrawat","non-dropping-particle":"","parse-names":false,"suffix":""},{"dropping-particle":"","family":"Worachotsueptrakun","given":"Kanthita","non-dropping-particle":"","parse-names":false,"suffix":""},{"dropping-particle":"","family":"Wanthong","given":"Phanni","non-dropping-particle":"","parse-names":false,"suffix":""},{"dropping-particle":"","family":"Nopvichai","given":"Chatchai","non-dropping-particle":"","parse-names":false,"suffix":""},{"dropping-particle":"","family":"Supharatpariyakorn","given":"Thirawat","non-dropping-particle":"","parse-names":false,"suffix":""},{"dropping-particle":"","family":"Putcharoen","given":"Opass","non-dropping-particle":"","parse-names":false,"suffix":""},{"dropping-particle":"","family":"Paitoonpong","given":"Leilani","non-dropping-particle":"","parse-names":false,"suffix":""},{"dropping-particle":"","family":"Suwanpimolkul","given":"Gompol","non-dropping-particle":"","parse-names":false,"suffix":""},{"dropping-particle":"","family":"Jantarabenjakul","given":"Watsamon","non-dropping-particle":"","parse-names":false,"suffix":""},{"dropping-particle":"","family":"Hemachudha","given":"Pasin","non-dropping-particle":"","parse-names":false,"suffix":""},{"dropping-particle":"","family":"Krichphiphat","given":"Artit","non-dropping-particle":"","parse-names":false,"suffix":""},{"dropping-particle":"","family":"Buathong","given":"Rome","non-dropping-particle":"","parse-names":false,"suffix":""},{"dropping-particle":"","family":"Plipat","given":"Tanarak","non-dropping-particle":"","parse-names":false,"suffix":""},{"dropping-particle":"","family":"Hemachudha","given":"Thiravat","non-dropping-particle":"","parse-names":false,"suffix":""}],"container-title":"Journal of Medical Virology.. 2020 Jul 1 [date cited].. Epub 2020 May 13.","id":"ITEM-2","issued":{"date-parts":[["0"]]},"title":"Evaluating the efficiency of specimen pooling for PCR-based detection of COVID-19","type":"article-journal"},"uris":["http://www.mendeley.com/documents/?uuid=6178a88c-7b2e-43a5-a136-29edadcfdb4c"]}],"mendeley":{"formattedCitation":"(&lt;i&gt;1&lt;/i&gt;,&lt;i&gt;2&lt;/i&gt;)","plainTextFormattedCitation":"(1,2)","previouslyFormattedCitation":"(&lt;i&gt;1&lt;/i&gt;,&lt;i&gt;2&lt;/i&gt;)"},"properties":{"noteIndex":0},"schema":"https://github.com/citation-style-language/schema/raw/master/csl-citation.json"}</w:instrText>
      </w:r>
      <w:r w:rsidR="007E2793">
        <w:rPr>
          <w:bCs/>
        </w:rPr>
        <w:fldChar w:fldCharType="separate"/>
      </w:r>
      <w:r w:rsidR="007C46D3" w:rsidRPr="007C46D3">
        <w:rPr>
          <w:bCs/>
          <w:noProof/>
        </w:rPr>
        <w:t>(</w:t>
      </w:r>
      <w:r w:rsidR="007C46D3" w:rsidRPr="007C46D3">
        <w:rPr>
          <w:bCs/>
          <w:i/>
          <w:noProof/>
        </w:rPr>
        <w:t>1</w:t>
      </w:r>
      <w:r w:rsidR="007C46D3" w:rsidRPr="007C46D3">
        <w:rPr>
          <w:bCs/>
          <w:noProof/>
        </w:rPr>
        <w:t>,</w:t>
      </w:r>
      <w:r w:rsidR="007C46D3" w:rsidRPr="007C46D3">
        <w:rPr>
          <w:bCs/>
          <w:i/>
          <w:noProof/>
        </w:rPr>
        <w:t>2</w:t>
      </w:r>
      <w:r w:rsidR="007C46D3" w:rsidRPr="007C46D3">
        <w:rPr>
          <w:bCs/>
          <w:noProof/>
        </w:rPr>
        <w:t>)</w:t>
      </w:r>
      <w:r w:rsidR="007E2793">
        <w:rPr>
          <w:bCs/>
        </w:rPr>
        <w:fldChar w:fldCharType="end"/>
      </w:r>
      <w:r w:rsidR="002F122C" w:rsidRPr="006F1059">
        <w:rPr>
          <w:bCs/>
        </w:rPr>
        <w:t xml:space="preserve">. </w:t>
      </w:r>
      <w:r w:rsidR="000C3100" w:rsidRPr="006F1059">
        <w:rPr>
          <w:bCs/>
        </w:rPr>
        <w:t xml:space="preserve">Several prior experimental and modeling studies have demonstrated the feasibility of pooled SARS-CoV-2 </w:t>
      </w:r>
      <w:r w:rsidR="001F4B2C" w:rsidRPr="006F1059">
        <w:rPr>
          <w:bCs/>
        </w:rPr>
        <w:t xml:space="preserve">nucleic acid amplification </w:t>
      </w:r>
      <w:r w:rsidR="000C3100" w:rsidRPr="006F1059">
        <w:rPr>
          <w:bCs/>
        </w:rPr>
        <w:t>testing</w:t>
      </w:r>
      <w:r w:rsidR="001F4B2C" w:rsidRPr="006F1059">
        <w:rPr>
          <w:bCs/>
        </w:rPr>
        <w:t xml:space="preserve"> (NAAT)</w:t>
      </w:r>
      <w:r w:rsidR="000C3100" w:rsidRPr="006F1059">
        <w:rPr>
          <w:bCs/>
        </w:rPr>
        <w:t>, in pools of up to 32 individual samples</w:t>
      </w:r>
      <w:r w:rsidR="002F122C" w:rsidRPr="006F1059">
        <w:rPr>
          <w:bCs/>
        </w:rPr>
        <w:t xml:space="preserve"> </w:t>
      </w:r>
      <w:r w:rsidR="002F122C" w:rsidRPr="006F1059">
        <w:rPr>
          <w:bCs/>
        </w:rPr>
        <w:fldChar w:fldCharType="begin" w:fldLock="1"/>
      </w:r>
      <w:r w:rsidR="00A76304">
        <w:rPr>
          <w:bCs/>
        </w:rPr>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pools","type":"article-journal"},"uris":["http://www.mendeley.com/documents/?uuid=ddc38fd2-5a83-4d0c-8541-be4176341774"]},{"id":"ITEM-2","itemData":{"DOI":"10.1093/ajcp/aqaa064","ISSN":"0002-9173","PMID":"32511649","abstract":"Objectives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Pathology","id":"ITEM-2","issue":"6","issued":{"date-parts":[["2020"]]},"page":"715-718","title":"Assessment of Specimen Pooling to Conserve SARS CoV-2 Testing Resources","type":"article-journal","volume":"153"},"uris":["http://www.mendeley.com/documents/?uuid=e150c347-ae11-4f6f-acff-dbfcd714f6b0"]},{"id":"ITEM-3","itemData":{"DOI":"10.1016/j.cmi.2020.06.009","ISSN":"1469-0691","PMID":"32585353","abstract":"OBJECTIVES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8.","id":"ITEM-3","issued":{"date-parts":[["0"]]},"title":"Large-scale implementation of pooled RNA extraction and RT-PCR for SARS-CoV-2 detection.","type":"article-journal"},"uris":["http://www.mendeley.com/documents/?uuid=2017cf29-debc-42f5-97c3-234581c3f4b5"]},{"id":"ITEM-4","itemData":{"PMID":"32388468","author":[{"dropping-particle":"","family":"Eberhardt","given":"J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Virology","id":"ITEM-4","issue":"104382","issued":{"date-parts":[["2020"]]},"title":"Multi-Stage Group Testing Improves Efficiency of Large-Scale COVID-19 Screening","type":"article-journal","volume":"128"},"uris":["http://www.mendeley.com/documents/?uuid=a9c58d08-e014-448d-a194-d2a155e034c3"]},{"id":"ITEM-5","itemData":{"DOI":"10.1016/S1473-3099(20)30362-5","ISSN":"14744457","author":[{"dropping-particle":"","family":"Lohse","given":"Stefan","non-dropping-particle":"","parse-names":false,"suffix":""},{"dropping-particle":"","family":"Pfuhl","given":"Thorsten","non-dropping-particle":"","parse-names":false,"suffix":""},{"dropping-particle":"","family":"Berkó-Göttel","given":"Barbara","non-dropping-particle":"","parse-names":false,"suffix":""},{"dropping-particle":"","family":"Rissland","given":"Jürgen","non-dropping-particle":"","parse-names":false,"suffix":""},{"dropping-particle":"","family":"Geibler","given":"Tobias","non-dropping-particle":"","parse-names":false,"suffix":""},{"dropping-particle":"","family":"Gärtner","given":"Barbara","non-dropping-particle":"","parse-names":false,"suffix":""},{"dropping-particle":"","family":"Becker","given":"Sören L.","non-dropping-particle":"","parse-names":false,"suffix":""},{"dropping-particle":"","family":"Schneitler","given":"Sophie","non-dropping-particle":"","parse-names":false,"suffix":""},{"dropping-particle":"","family":"Smola","given":"Sigrun","non-dropping-particle":"","parse-names":false,"suffix":""}],"container-title":"The Lancet Infectious Diseases","id":"ITEM-5","issue":"20","issued":{"date-parts":[["2020"]]},"page":"2019-2020","title":"Pooling of samples for testing for SARS-CoV-2 in asymptomatic people","type":"article-journal","volume":"3099"},"uris":["http://www.mendeley.com/documents/?uuid=211598b5-be9d-4c4b-a90f-5bace958b446"]},{"id":"ITEM-6","itemData":{"DOI":"https://doi.org/10.1093/infdis/jiaa378","ISBN":"4085513540","abstract":"Most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27.","id":"ITEM-6","issued":{"date-parts":[["0"]]},"title":"Group Testing for SARS-CoV-2 to Enable Rapid Scale-Up of Testing and Real-Time Surveillance of Incidence","type":"article-journal"},"uris":["http://www.mendeley.com/documents/?uuid=2e604870-b5d5-4012-92cf-1435e245c000"]},{"id":"ITEM-7","itemData":{"DOI":"10.1016/j.jcv.2020.104381","ISSN":"18735967","PMID":"32344319","abstract":"Background: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Virology","id":"ITEM-7","issue":"April","issued":{"date-parts":[["2020"]]},"publisher":"Elsevier","title":"Ad hoc laboratory-based surveillance of SARS-CoV-2 by real-time RT-PCR using minipools of RNA prepared from routine respiratory samples","type":"article-journal","volume":"127"},"uris":["http://www.mendeley.com/documents/?uuid=ff090c12-4769-49b8-b840-5843418e1397"]}],"mendeley":{"formattedCitation":"(&lt;i&gt;3&lt;/i&gt;–&lt;i&gt;9&lt;/i&gt;)","plainTextFormattedCitation":"(3–9)","previouslyFormattedCitation":"(&lt;i&gt;3&lt;/i&gt;–&lt;i&gt;9&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3</w:t>
      </w:r>
      <w:r w:rsidR="007C46D3" w:rsidRPr="007C46D3">
        <w:rPr>
          <w:bCs/>
          <w:noProof/>
        </w:rPr>
        <w:t>–</w:t>
      </w:r>
      <w:r w:rsidR="007C46D3" w:rsidRPr="007C46D3">
        <w:rPr>
          <w:bCs/>
          <w:i/>
          <w:noProof/>
        </w:rPr>
        <w:t>9</w:t>
      </w:r>
      <w:r w:rsidR="007C46D3" w:rsidRPr="007C46D3">
        <w:rPr>
          <w:bCs/>
          <w:noProof/>
        </w:rPr>
        <w:t>)</w:t>
      </w:r>
      <w:r w:rsidR="002F122C" w:rsidRPr="006F1059">
        <w:rPr>
          <w:bCs/>
        </w:rPr>
        <w:fldChar w:fldCharType="end"/>
      </w:r>
      <w:r w:rsidR="007E2793">
        <w:rPr>
          <w:bCs/>
        </w:rPr>
        <w:t xml:space="preserve">. </w:t>
      </w:r>
      <w:r w:rsidRPr="006F1059">
        <w:rPr>
          <w:bCs/>
        </w:rPr>
        <w:t xml:space="preserve">However, </w:t>
      </w:r>
      <w:r w:rsidRPr="006134E4">
        <w:rPr>
          <w:bCs/>
          <w:highlight w:val="yellow"/>
        </w:rPr>
        <w:t>the potential increase in efficiency gained by pooled testing is offset by a theoretical dilution-related decrease in</w:t>
      </w:r>
      <w:r w:rsidR="00B6587A" w:rsidRPr="006134E4">
        <w:rPr>
          <w:bCs/>
          <w:highlight w:val="yellow"/>
        </w:rPr>
        <w:t xml:space="preserve"> analytical</w:t>
      </w:r>
      <w:r w:rsidRPr="006134E4">
        <w:rPr>
          <w:bCs/>
          <w:highlight w:val="yellow"/>
        </w:rPr>
        <w:t xml:space="preserve"> sensitivity</w:t>
      </w:r>
      <w:r w:rsidR="002F122C" w:rsidRPr="006F1059">
        <w:rPr>
          <w:bCs/>
        </w:rPr>
        <w:t xml:space="preserve"> </w:t>
      </w:r>
      <w:r w:rsidR="002F122C" w:rsidRPr="006F1059">
        <w:rPr>
          <w:bCs/>
        </w:rPr>
        <w:fldChar w:fldCharType="begin" w:fldLock="1"/>
      </w:r>
      <w:r w:rsidR="005927E8">
        <w:rPr>
          <w:bCs/>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mendeley":{"formattedCitation":"(&lt;i&gt;8&lt;/i&gt;,&lt;i&gt;10&lt;/i&gt;)","plainTextFormattedCitation":"(8,10)","previouslyFormattedCitation":"(&lt;i&gt;8&lt;/i&gt;,&lt;i&gt;10&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8</w:t>
      </w:r>
      <w:r w:rsidR="007C46D3" w:rsidRPr="007C46D3">
        <w:rPr>
          <w:bCs/>
          <w:noProof/>
        </w:rPr>
        <w:t>,</w:t>
      </w:r>
      <w:r w:rsidR="007C46D3" w:rsidRPr="007C46D3">
        <w:rPr>
          <w:bCs/>
          <w:i/>
          <w:noProof/>
        </w:rPr>
        <w:t>10</w:t>
      </w:r>
      <w:r w:rsidR="007C46D3" w:rsidRPr="007C46D3">
        <w:rPr>
          <w:bCs/>
          <w:noProof/>
        </w:rPr>
        <w:t>)</w:t>
      </w:r>
      <w:r w:rsidR="002F122C" w:rsidRPr="006F1059">
        <w:rPr>
          <w:bCs/>
        </w:rPr>
        <w:fldChar w:fldCharType="end"/>
      </w:r>
      <w:r w:rsidR="00C61C5D">
        <w:rPr>
          <w:bCs/>
        </w:rPr>
        <w:t>.</w:t>
      </w:r>
    </w:p>
    <w:p w14:paraId="12445247" w14:textId="271DF0CA" w:rsidR="00C47EF1" w:rsidRPr="006F1059" w:rsidRDefault="001F4B2C" w:rsidP="00C47EF1">
      <w:pPr>
        <w:spacing w:line="480" w:lineRule="auto"/>
        <w:ind w:firstLine="720"/>
        <w:rPr>
          <w:bCs/>
        </w:rPr>
      </w:pPr>
      <w:r w:rsidRPr="006F1059">
        <w:rPr>
          <w:bCs/>
        </w:rPr>
        <w:t>Despite this decrease in sensitivity, pooled testing of blood donors for transfusion transmitt</w:t>
      </w:r>
      <w:r w:rsidR="007D793A">
        <w:rPr>
          <w:bCs/>
        </w:rPr>
        <w:t>ed</w:t>
      </w:r>
      <w:r w:rsidRPr="006F1059">
        <w:rPr>
          <w:bCs/>
        </w:rPr>
        <w:t xml:space="preserve"> infections such as HIV-1 and hepatitis C virus (HCV) has proven to be safe and effective</w:t>
      </w:r>
      <w:r w:rsidRPr="006F1059">
        <w:t xml:space="preserve"> </w:t>
      </w:r>
      <w:r w:rsidR="000C3100" w:rsidRPr="006F1059">
        <w:rPr>
          <w:bCs/>
        </w:rPr>
        <w:fldChar w:fldCharType="begin" w:fldLock="1"/>
      </w:r>
      <w:r w:rsidR="005927E8">
        <w:rPr>
          <w:bCs/>
        </w:rPr>
        <w:instrText>ADDIN CSL_CITATION {"citationItems":[{"id":"ITEM-1","itemData":{"author":[{"dropping-particle":"","family":"Busch","given":"M P","non-dropping-particle":"","parse-names":false,"suffix":""},{"dropping-particle":"","family":"Kleinman","given":"S H","non-dropping-particle":"","parse-names":false,"suffix":""}],"id":"ITEM-1","issue":"February","issued":{"date-parts":[["2000"]]},"page":"143-159","title":"Nucleic acid amplification testing of blood donors for transfusion-transmitted infectious diseases","type":"article-journal","volume":"40"},"uris":["http://www.mendeley.com/documents/?uuid=e3d499db-99ed-45ee-8134-f2855604582d"]}],"mendeley":{"formattedCitation":"(&lt;i&gt;11&lt;/i&gt;)","plainTextFormattedCitation":"(11)","previouslyFormattedCitation":"(&lt;i&gt;11&lt;/i&gt;)"},"properties":{"noteIndex":0},"schema":"https://github.com/citation-style-language/schema/raw/master/csl-citation.json"}</w:instrText>
      </w:r>
      <w:r w:rsidR="000C3100" w:rsidRPr="006F1059">
        <w:rPr>
          <w:bCs/>
        </w:rPr>
        <w:fldChar w:fldCharType="separate"/>
      </w:r>
      <w:r w:rsidR="007C46D3" w:rsidRPr="007C46D3">
        <w:rPr>
          <w:bCs/>
          <w:noProof/>
        </w:rPr>
        <w:t>(</w:t>
      </w:r>
      <w:r w:rsidR="007C46D3" w:rsidRPr="007C46D3">
        <w:rPr>
          <w:bCs/>
          <w:i/>
          <w:noProof/>
        </w:rPr>
        <w:t>11</w:t>
      </w:r>
      <w:r w:rsidR="007C46D3" w:rsidRPr="007C46D3">
        <w:rPr>
          <w:bCs/>
          <w:noProof/>
        </w:rPr>
        <w:t>)</w:t>
      </w:r>
      <w:r w:rsidR="000C3100" w:rsidRPr="006F1059">
        <w:rPr>
          <w:bCs/>
        </w:rPr>
        <w:fldChar w:fldCharType="end"/>
      </w:r>
      <w:r w:rsidR="000C3100" w:rsidRPr="006F1059">
        <w:rPr>
          <w:bCs/>
        </w:rPr>
        <w:t>.</w:t>
      </w:r>
      <w:r w:rsidRPr="006F1059">
        <w:rPr>
          <w:bCs/>
        </w:rPr>
        <w:t xml:space="preserve"> This efficacy varies depending on the </w:t>
      </w:r>
      <w:r w:rsidR="001458D6" w:rsidRPr="006F1059">
        <w:rPr>
          <w:bCs/>
        </w:rPr>
        <w:t>performance characteristics of the assay</w:t>
      </w:r>
      <w:r w:rsidRPr="006F1059">
        <w:rPr>
          <w:bCs/>
        </w:rPr>
        <w:t xml:space="preserve">, the prevalence of </w:t>
      </w:r>
      <w:r w:rsidR="007D793A">
        <w:rPr>
          <w:bCs/>
        </w:rPr>
        <w:t>infection</w:t>
      </w:r>
      <w:r w:rsidRPr="006F1059">
        <w:rPr>
          <w:bCs/>
        </w:rPr>
        <w:t xml:space="preserve">, viral load kinetics, </w:t>
      </w:r>
      <w:r w:rsidR="007D793A">
        <w:rPr>
          <w:bCs/>
        </w:rPr>
        <w:t xml:space="preserve">and </w:t>
      </w:r>
      <w:r w:rsidRPr="006F1059">
        <w:rPr>
          <w:bCs/>
        </w:rPr>
        <w:t>pool</w:t>
      </w:r>
      <w:r w:rsidR="007D793A">
        <w:rPr>
          <w:bCs/>
        </w:rPr>
        <w:t>ing</w:t>
      </w:r>
      <w:r w:rsidRPr="006F1059">
        <w:rPr>
          <w:bCs/>
        </w:rPr>
        <w:t xml:space="preserve"> size and strategy. </w:t>
      </w:r>
      <w:r w:rsidR="009D167C" w:rsidRPr="006F1059">
        <w:rPr>
          <w:bCs/>
        </w:rPr>
        <w:t xml:space="preserve">For </w:t>
      </w:r>
      <w:r w:rsidR="007D793A">
        <w:rPr>
          <w:bCs/>
        </w:rPr>
        <w:t xml:space="preserve">agents with variable seasonal or geographic prevalence </w:t>
      </w:r>
      <w:r w:rsidR="009D167C" w:rsidRPr="006F1059">
        <w:rPr>
          <w:bCs/>
        </w:rPr>
        <w:t xml:space="preserve">like West Nile virus, many </w:t>
      </w:r>
      <w:r w:rsidR="007F215F" w:rsidRPr="006F1059">
        <w:rPr>
          <w:bCs/>
        </w:rPr>
        <w:t xml:space="preserve">blood banks utilize </w:t>
      </w:r>
      <w:r w:rsidR="007F215F" w:rsidRPr="0029750F">
        <w:rPr>
          <w:bCs/>
          <w:highlight w:val="yellow"/>
        </w:rPr>
        <w:t>adaptive risk-based pooling strategies</w:t>
      </w:r>
      <w:r w:rsidR="007F215F" w:rsidRPr="006F1059">
        <w:rPr>
          <w:bCs/>
        </w:rPr>
        <w:t xml:space="preserve">, switching from pooled to individual testing when there is an increase in regional prevalence </w:t>
      </w:r>
      <w:r w:rsidR="007F215F" w:rsidRPr="006F1059">
        <w:rPr>
          <w:bCs/>
        </w:rPr>
        <w:fldChar w:fldCharType="begin" w:fldLock="1"/>
      </w:r>
      <w:r w:rsidR="005927E8">
        <w:rPr>
          <w:bCs/>
        </w:rPr>
        <w:instrText>ADDIN CSL_CITATION {"citationItems":[{"id":"ITEM-1","itemData":{"DOI":"10.1111/j.0041-1132.2004.04227.x","ISSN":"00411132","PMID":"15504158","abstract":"BACKGROUND: Concern about West Nile virus (WNV) transfusion-transmitted infections missed by minipool (MP) nucleic acid testing (NAT) has prompted consideration of the use of individual-donation (ID) NAT. Strategies were investigated for the application of limited ID-NAT capacity in 2004. STUDY DESIGN AND METHODS: Patterns of WNV MP-NAT-reactive donations tested by the Blood Systems Laboratory each week for 79 blood centers from June 29 to November 23, 2003 (196 MP-NAT repeat-reactive [RR] donations among 801,697 units), were analyzed. ID-NAT initiation strategies were developed consisting of counts of RR donations and/or weekly RR rates, together with three ID-NAT discontinuation strategies, and ID testing burden was assessed based on these combined start and stop strategies. RESULTS: The effectiveness, reported as the percentage of MP-RR donations that would trigger ID-NAT based on each initiation strategy, ranged from 57 to 100 percent. The addition of a 1- or 2-week no-yield requirement for ID discontinuation substantially increased testing burden. Combined strategies resulted in projected ID-NAT of between 10 and 50 percent of donations for a 10- to 20-week period. For this organization, the most feasible ID-NAT initiation strategy was 2 MP-reactive donations and a weekly rate of 1 in 1000, which had an effectiveness of 81 percent and led to peak weekly ID-NAT of 20 to 25 percent of donations depending on the discontinuation rule. CONCLUSION: This new approach of targeted ID-NAT based on ongoing monitoring of MP-NAT yield may prove to be a rational policy for agents like WNV that cause seasonal and regional epidemics.","author":[{"dropping-particle":"","family":"Custer","given":"Brian","non-dropping-particle":"","parse-names":false,"suffix":""},{"dropping-particle":"","family":"Tomasulo","given":"Peter A.","non-dropping-particle":"","parse-names":false,"suffix":""},{"dropping-particle":"","family":"Murphy","given":"Edward L.","non-dropping-particle":"","parse-names":false,"suffix":""},{"dropping-particle":"","family":"Caglioti","given":"Sally","non-dropping-particle":"","parse-names":false,"suffix":""},{"dropping-particle":"","family":"Harpool","given":"Dennis","non-dropping-particle":"","parse-names":false,"suffix":""},{"dropping-particle":"","family":"McEvoy","given":"Patrick","non-dropping-particle":"","parse-names":false,"suffix":""},{"dropping-particle":"","family":"Busch","given":"Michael P.","non-dropping-particle":"","parse-names":false,"suffix":""}],"container-title":"Transfusion","id":"ITEM-1","issued":{"date-parts":[["2004"]]},"title":"Triggers for switching from minipool testing by nucleic acid technology to individual-donation nucleic acid testing for West Nile virus: Analysis of 2003 data to inform 2004 decision making","type":"article-journal"},"uris":["http://www.mendeley.com/documents/?uuid=2abcc073-43ac-465c-afe1-553b1fdb3764"]}],"mendeley":{"formattedCitation":"(&lt;i&gt;12&lt;/i&gt;)","plainTextFormattedCitation":"(12)","previouslyFormattedCitation":"(&lt;i&gt;12&lt;/i&gt;)"},"properties":{"noteIndex":0},"schema":"https://github.com/citation-style-language/schema/raw/master/csl-citation.json"}</w:instrText>
      </w:r>
      <w:r w:rsidR="007F215F" w:rsidRPr="006F1059">
        <w:rPr>
          <w:bCs/>
        </w:rPr>
        <w:fldChar w:fldCharType="separate"/>
      </w:r>
      <w:r w:rsidR="007C46D3" w:rsidRPr="007C46D3">
        <w:rPr>
          <w:bCs/>
          <w:noProof/>
        </w:rPr>
        <w:t>(</w:t>
      </w:r>
      <w:r w:rsidR="007C46D3" w:rsidRPr="007C46D3">
        <w:rPr>
          <w:bCs/>
          <w:i/>
          <w:noProof/>
        </w:rPr>
        <w:t>12</w:t>
      </w:r>
      <w:r w:rsidR="007C46D3" w:rsidRPr="007C46D3">
        <w:rPr>
          <w:bCs/>
          <w:noProof/>
        </w:rPr>
        <w:t>)</w:t>
      </w:r>
      <w:r w:rsidR="007F215F" w:rsidRPr="006F1059">
        <w:rPr>
          <w:bCs/>
        </w:rPr>
        <w:fldChar w:fldCharType="end"/>
      </w:r>
      <w:r w:rsidR="007F215F" w:rsidRPr="006F1059">
        <w:rPr>
          <w:bCs/>
        </w:rPr>
        <w:t>.</w:t>
      </w:r>
      <w:r w:rsidR="001458D6" w:rsidRPr="006F1059">
        <w:rPr>
          <w:bCs/>
        </w:rPr>
        <w:t xml:space="preserve"> </w:t>
      </w:r>
      <w:r w:rsidRPr="006F1059">
        <w:rPr>
          <w:bCs/>
        </w:rPr>
        <w:t xml:space="preserve">Adapting a similar risk-based pooling strategy for SARS-CoV-2 has the potential to allow for more widespread testing of high-risk populations and asymptomatic critical infrastructure workers, guide aggressive contact-tracing measures, and help </w:t>
      </w:r>
      <w:r w:rsidR="00B6587A">
        <w:rPr>
          <w:bCs/>
        </w:rPr>
        <w:t>direct</w:t>
      </w:r>
      <w:r w:rsidR="00481268" w:rsidRPr="006F1059">
        <w:rPr>
          <w:bCs/>
        </w:rPr>
        <w:t xml:space="preserve"> public health interventions </w:t>
      </w:r>
      <w:r w:rsidR="00B6587A">
        <w:rPr>
          <w:bCs/>
        </w:rPr>
        <w:t xml:space="preserve">to </w:t>
      </w:r>
      <w:r w:rsidR="00481268" w:rsidRPr="006F1059">
        <w:rPr>
          <w:bCs/>
        </w:rPr>
        <w:t xml:space="preserve">where </w:t>
      </w:r>
      <w:r w:rsidR="00C851EB" w:rsidRPr="006F1059">
        <w:rPr>
          <w:bCs/>
        </w:rPr>
        <w:t>they are</w:t>
      </w:r>
      <w:r w:rsidR="00481268" w:rsidRPr="006F1059">
        <w:rPr>
          <w:bCs/>
        </w:rPr>
        <w:t xml:space="preserve"> most needed</w:t>
      </w:r>
      <w:r w:rsidR="001458D6" w:rsidRPr="006F1059">
        <w:rPr>
          <w:bCs/>
        </w:rPr>
        <w:t xml:space="preserve">. However, there </w:t>
      </w:r>
      <w:r w:rsidR="00085010">
        <w:rPr>
          <w:bCs/>
        </w:rPr>
        <w:t>are</w:t>
      </w:r>
      <w:r w:rsidR="001458D6" w:rsidRPr="006F1059">
        <w:rPr>
          <w:bCs/>
        </w:rPr>
        <w:t xml:space="preserve"> limited prospective data on assay-specific performance characteristics of pooled testing to guide implementation of such a strategy.</w:t>
      </w:r>
      <w:r w:rsidR="00522EE0">
        <w:rPr>
          <w:bCs/>
        </w:rPr>
        <w:t xml:space="preserve"> Furthermore, there is little </w:t>
      </w:r>
      <w:r w:rsidR="00F9089A">
        <w:rPr>
          <w:bCs/>
        </w:rPr>
        <w:t xml:space="preserve">evidence </w:t>
      </w:r>
      <w:r w:rsidR="00522EE0">
        <w:rPr>
          <w:bCs/>
        </w:rPr>
        <w:t>on parallel test performance of different assays on pooled samples to direct choice of methodology.</w:t>
      </w:r>
    </w:p>
    <w:p w14:paraId="5E264E99" w14:textId="165E2B7D" w:rsidR="001F4B2C" w:rsidRPr="006F1059" w:rsidRDefault="001458D6" w:rsidP="00814D6B">
      <w:pPr>
        <w:spacing w:line="480" w:lineRule="auto"/>
        <w:ind w:firstLine="720"/>
        <w:rPr>
          <w:bCs/>
        </w:rPr>
      </w:pPr>
      <w:r w:rsidRPr="006134E4">
        <w:rPr>
          <w:bCs/>
          <w:highlight w:val="yellow"/>
        </w:rPr>
        <w:t xml:space="preserve">In this study, we </w:t>
      </w:r>
      <w:r w:rsidR="006E4D90" w:rsidRPr="006134E4">
        <w:rPr>
          <w:bCs/>
          <w:highlight w:val="yellow"/>
        </w:rPr>
        <w:t xml:space="preserve">aimed to </w:t>
      </w:r>
      <w:r w:rsidRPr="006134E4">
        <w:rPr>
          <w:bCs/>
          <w:highlight w:val="yellow"/>
        </w:rPr>
        <w:t xml:space="preserve">evaluate the test performance characteristics of </w:t>
      </w:r>
      <w:r w:rsidR="001976EC" w:rsidRPr="006134E4">
        <w:rPr>
          <w:bCs/>
          <w:highlight w:val="yellow"/>
        </w:rPr>
        <w:t xml:space="preserve">one laboratory-developed and two commercially-available </w:t>
      </w:r>
      <w:r w:rsidRPr="006134E4">
        <w:rPr>
          <w:bCs/>
          <w:highlight w:val="yellow"/>
        </w:rPr>
        <w:t xml:space="preserve">SARS-CoV-2 NAATs </w:t>
      </w:r>
      <w:r w:rsidR="004558D9" w:rsidRPr="006134E4">
        <w:rPr>
          <w:bCs/>
          <w:highlight w:val="yellow"/>
        </w:rPr>
        <w:t xml:space="preserve">on </w:t>
      </w:r>
      <w:r w:rsidR="000F0C36" w:rsidRPr="006134E4">
        <w:rPr>
          <w:bCs/>
          <w:highlight w:val="yellow"/>
        </w:rPr>
        <w:t xml:space="preserve">1648 </w:t>
      </w:r>
      <w:r w:rsidR="00481268" w:rsidRPr="006134E4">
        <w:rPr>
          <w:bCs/>
          <w:highlight w:val="yellow"/>
        </w:rPr>
        <w:t>individual respiratory specimens</w:t>
      </w:r>
      <w:r w:rsidR="007274C3" w:rsidRPr="006134E4">
        <w:rPr>
          <w:bCs/>
          <w:highlight w:val="yellow"/>
        </w:rPr>
        <w:t xml:space="preserve"> </w:t>
      </w:r>
      <w:r w:rsidR="00B6587A" w:rsidRPr="006134E4">
        <w:rPr>
          <w:bCs/>
          <w:highlight w:val="yellow"/>
        </w:rPr>
        <w:t xml:space="preserve">prospectively </w:t>
      </w:r>
      <w:r w:rsidR="00481268" w:rsidRPr="006134E4">
        <w:rPr>
          <w:bCs/>
          <w:highlight w:val="yellow"/>
        </w:rPr>
        <w:t xml:space="preserve">grouped in pools of </w:t>
      </w:r>
      <w:r w:rsidR="001214DA" w:rsidRPr="006134E4">
        <w:rPr>
          <w:bCs/>
          <w:highlight w:val="yellow"/>
        </w:rPr>
        <w:t>8</w:t>
      </w:r>
      <w:r w:rsidR="000F0C36" w:rsidRPr="006134E4">
        <w:rPr>
          <w:bCs/>
          <w:highlight w:val="yellow"/>
        </w:rPr>
        <w:t xml:space="preserve"> and </w:t>
      </w:r>
      <w:r w:rsidR="001214DA" w:rsidRPr="006134E4">
        <w:rPr>
          <w:bCs/>
          <w:highlight w:val="yellow"/>
        </w:rPr>
        <w:t>4</w:t>
      </w:r>
      <w:r w:rsidR="00481268" w:rsidRPr="006134E4">
        <w:rPr>
          <w:bCs/>
          <w:highlight w:val="yellow"/>
        </w:rPr>
        <w:t xml:space="preserve">. </w:t>
      </w:r>
      <w:r w:rsidR="00B720CC" w:rsidRPr="006134E4">
        <w:rPr>
          <w:bCs/>
          <w:highlight w:val="yellow"/>
        </w:rPr>
        <w:t xml:space="preserve">We </w:t>
      </w:r>
      <w:r w:rsidR="000F0C36" w:rsidRPr="006134E4">
        <w:rPr>
          <w:bCs/>
          <w:highlight w:val="yellow"/>
        </w:rPr>
        <w:t xml:space="preserve">used these data to validate </w:t>
      </w:r>
      <w:r w:rsidR="00481268" w:rsidRPr="006134E4">
        <w:rPr>
          <w:bCs/>
          <w:highlight w:val="yellow"/>
        </w:rPr>
        <w:t xml:space="preserve">a </w:t>
      </w:r>
      <w:r w:rsidR="00B6587A" w:rsidRPr="006134E4">
        <w:rPr>
          <w:bCs/>
          <w:highlight w:val="yellow"/>
        </w:rPr>
        <w:t xml:space="preserve">stochastic </w:t>
      </w:r>
      <w:r w:rsidR="00481268" w:rsidRPr="006134E4">
        <w:rPr>
          <w:bCs/>
          <w:highlight w:val="yellow"/>
        </w:rPr>
        <w:t xml:space="preserve">model to </w:t>
      </w:r>
      <w:r w:rsidR="00B6587A" w:rsidRPr="006134E4">
        <w:rPr>
          <w:bCs/>
          <w:highlight w:val="yellow"/>
        </w:rPr>
        <w:t>estimate</w:t>
      </w:r>
      <w:r w:rsidR="00481268" w:rsidRPr="006134E4">
        <w:rPr>
          <w:bCs/>
          <w:highlight w:val="yellow"/>
        </w:rPr>
        <w:t xml:space="preserve"> optimal pool size</w:t>
      </w:r>
      <w:r w:rsidR="00B6587A" w:rsidRPr="006134E4">
        <w:rPr>
          <w:bCs/>
          <w:highlight w:val="yellow"/>
        </w:rPr>
        <w:t>, efficiency,</w:t>
      </w:r>
      <w:r w:rsidR="00FF791B" w:rsidRPr="006134E4">
        <w:rPr>
          <w:bCs/>
          <w:highlight w:val="yellow"/>
        </w:rPr>
        <w:t xml:space="preserve"> </w:t>
      </w:r>
      <w:r w:rsidR="00C61C5D" w:rsidRPr="006134E4">
        <w:rPr>
          <w:bCs/>
          <w:highlight w:val="yellow"/>
        </w:rPr>
        <w:t xml:space="preserve">and expected </w:t>
      </w:r>
      <w:r w:rsidR="00404106" w:rsidRPr="006134E4">
        <w:rPr>
          <w:bCs/>
          <w:highlight w:val="yellow"/>
        </w:rPr>
        <w:t>positive percent</w:t>
      </w:r>
      <w:r w:rsidR="00C61C5D" w:rsidRPr="006134E4">
        <w:rPr>
          <w:bCs/>
          <w:highlight w:val="yellow"/>
        </w:rPr>
        <w:t xml:space="preserve"> agreement </w:t>
      </w:r>
      <w:r w:rsidR="00FF791B" w:rsidRPr="006134E4">
        <w:rPr>
          <w:bCs/>
          <w:highlight w:val="yellow"/>
        </w:rPr>
        <w:t xml:space="preserve">of a two-stage </w:t>
      </w:r>
      <w:r w:rsidR="00FF791B" w:rsidRPr="006134E4">
        <w:rPr>
          <w:bCs/>
          <w:highlight w:val="yellow"/>
        </w:rPr>
        <w:lastRenderedPageBreak/>
        <w:t>pooled testing algorithm</w:t>
      </w:r>
      <w:r w:rsidR="00481268" w:rsidRPr="006134E4">
        <w:rPr>
          <w:bCs/>
          <w:highlight w:val="yellow"/>
        </w:rPr>
        <w:t xml:space="preserve"> </w:t>
      </w:r>
      <w:r w:rsidR="00C329D0" w:rsidRPr="006134E4">
        <w:rPr>
          <w:bCs/>
          <w:highlight w:val="yellow"/>
        </w:rPr>
        <w:t xml:space="preserve">that takes into account </w:t>
      </w:r>
      <w:r w:rsidR="00B75C89" w:rsidRPr="006134E4">
        <w:rPr>
          <w:bCs/>
          <w:highlight w:val="yellow"/>
        </w:rPr>
        <w:t>prevalence, viral load distribution, and assay analytical sensitivity.</w:t>
      </w:r>
    </w:p>
    <w:p w14:paraId="1B5AB765" w14:textId="77777777" w:rsidR="00481268" w:rsidRPr="006F1059" w:rsidRDefault="00481268" w:rsidP="00814D6B">
      <w:pPr>
        <w:spacing w:line="480" w:lineRule="auto"/>
        <w:rPr>
          <w:bCs/>
        </w:rPr>
      </w:pPr>
    </w:p>
    <w:p w14:paraId="2CCB9A46" w14:textId="047236DA" w:rsidR="007E2793" w:rsidRDefault="6412F46A" w:rsidP="00814D6B">
      <w:pPr>
        <w:spacing w:line="480" w:lineRule="auto"/>
        <w:rPr>
          <w:b/>
          <w:bCs/>
        </w:rPr>
      </w:pPr>
      <w:r w:rsidRPr="006F1059">
        <w:rPr>
          <w:b/>
          <w:bCs/>
        </w:rPr>
        <w:t>Methods</w:t>
      </w:r>
    </w:p>
    <w:p w14:paraId="74DF7CF6" w14:textId="77777777" w:rsidR="00814D6B" w:rsidRPr="006F1059" w:rsidRDefault="00814D6B" w:rsidP="00814D6B">
      <w:pPr>
        <w:spacing w:line="480" w:lineRule="auto"/>
        <w:rPr>
          <w:b/>
          <w:bCs/>
        </w:rPr>
      </w:pPr>
    </w:p>
    <w:p w14:paraId="30E0CF6C" w14:textId="523C0C4A" w:rsidR="007E2793" w:rsidRPr="00814D6B" w:rsidRDefault="00CF0A85" w:rsidP="00814D6B">
      <w:pPr>
        <w:spacing w:line="480" w:lineRule="auto"/>
      </w:pPr>
      <w:r w:rsidRPr="00814D6B">
        <w:t>Clinical Specimens</w:t>
      </w:r>
    </w:p>
    <w:p w14:paraId="335D0D6A" w14:textId="42CEB8B9" w:rsidR="00E7062D" w:rsidRDefault="007274C3" w:rsidP="00864AE9">
      <w:pPr>
        <w:spacing w:line="480" w:lineRule="auto"/>
        <w:ind w:firstLine="720"/>
      </w:pPr>
      <w:r w:rsidRPr="006F1059">
        <w:t>Th</w:t>
      </w:r>
      <w:r>
        <w:t>e Stanford</w:t>
      </w:r>
      <w:r w:rsidRPr="006F1059">
        <w:t xml:space="preserve"> </w:t>
      </w:r>
      <w:r>
        <w:t>C</w:t>
      </w:r>
      <w:r w:rsidRPr="006F1059">
        <w:t xml:space="preserve">linical </w:t>
      </w:r>
      <w:r>
        <w:t>V</w:t>
      </w:r>
      <w:r w:rsidRPr="006F1059">
        <w:t xml:space="preserve">irology </w:t>
      </w:r>
      <w:r>
        <w:t>L</w:t>
      </w:r>
      <w:r w:rsidRPr="006F1059">
        <w:t xml:space="preserve">aboratory receives </w:t>
      </w:r>
      <w:r>
        <w:t>samples</w:t>
      </w:r>
      <w:r w:rsidRPr="006F1059">
        <w:t xml:space="preserve"> from tertiary-care academic hospitals and affiliated outpatient facilities in the San Francisco Bay Area, California. </w:t>
      </w:r>
      <w:r w:rsidR="6412F46A" w:rsidRPr="006F1059">
        <w:t xml:space="preserve">Prospective pooling of consecutive nasopharyngeal or oropharyngeal swab specimens submitted for SARS-CoV-2 testing during the morning shift was </w:t>
      </w:r>
      <w:r w:rsidR="00B6587A">
        <w:t>conducted</w:t>
      </w:r>
      <w:r w:rsidR="6412F46A" w:rsidRPr="006F1059">
        <w:t xml:space="preserve"> </w:t>
      </w:r>
      <w:r w:rsidR="00B75E60">
        <w:t>from</w:t>
      </w:r>
      <w:r w:rsidR="00864AE9" w:rsidRPr="006F1059">
        <w:t xml:space="preserve"> </w:t>
      </w:r>
      <w:r w:rsidR="6412F46A" w:rsidRPr="006F1059">
        <w:t xml:space="preserve">June 10 </w:t>
      </w:r>
      <w:r w:rsidR="00864AE9">
        <w:t>to</w:t>
      </w:r>
      <w:r w:rsidR="00864AE9" w:rsidRPr="006F1059">
        <w:t xml:space="preserve"> </w:t>
      </w:r>
      <w:r w:rsidR="6412F46A" w:rsidRPr="006F1059">
        <w:t>June 19, 2020</w:t>
      </w:r>
      <w:r w:rsidR="00864AE9">
        <w:t xml:space="preserve"> </w:t>
      </w:r>
      <w:r w:rsidR="00B75E60">
        <w:t xml:space="preserve">for evaluation of a </w:t>
      </w:r>
      <w:r w:rsidR="00864AE9">
        <w:t xml:space="preserve">pool size of 8, and </w:t>
      </w:r>
      <w:r w:rsidR="00B75E60">
        <w:t xml:space="preserve">from </w:t>
      </w:r>
      <w:r w:rsidR="00864AE9">
        <w:t xml:space="preserve">July 6 to July 23, 2020 </w:t>
      </w:r>
      <w:r w:rsidR="00B75E60">
        <w:t xml:space="preserve">for evaluation of a </w:t>
      </w:r>
      <w:r w:rsidR="00864AE9">
        <w:t>pool size of 4</w:t>
      </w:r>
      <w:r w:rsidR="6412F46A" w:rsidRPr="006F1059">
        <w:t>.</w:t>
      </w:r>
      <w:r w:rsidR="00DB1421">
        <w:t xml:space="preserve"> </w:t>
      </w:r>
      <w:r w:rsidR="6412F46A" w:rsidRPr="006F1059">
        <w:t xml:space="preserve">Samples submitted for testing </w:t>
      </w:r>
      <w:r w:rsidR="00B6587A">
        <w:t>were collected from</w:t>
      </w:r>
      <w:r w:rsidR="6412F46A" w:rsidRPr="006F1059">
        <w:t xml:space="preserve"> symptomatic </w:t>
      </w:r>
      <w:r>
        <w:t xml:space="preserve">and asymptomatic </w:t>
      </w:r>
      <w:r w:rsidR="6412F46A" w:rsidRPr="006F1059">
        <w:t>inpatient</w:t>
      </w:r>
      <w:r>
        <w:t>s</w:t>
      </w:r>
      <w:r w:rsidR="6412F46A" w:rsidRPr="006F1059">
        <w:t xml:space="preserve"> and outpatient</w:t>
      </w:r>
      <w:r>
        <w:t>s</w:t>
      </w:r>
      <w:r w:rsidR="6412F46A" w:rsidRPr="006F1059">
        <w:t>,</w:t>
      </w:r>
      <w:r w:rsidR="00385D82" w:rsidRPr="006F1059">
        <w:t xml:space="preserve"> </w:t>
      </w:r>
      <w:r>
        <w:t xml:space="preserve">either for clinical care or in the context of </w:t>
      </w:r>
      <w:r w:rsidR="00D2435D">
        <w:t xml:space="preserve">COVID-related epidemiologic surveillance studies and drug trials </w:t>
      </w:r>
      <w:r w:rsidR="0092143F">
        <w:t>at our institut</w:t>
      </w:r>
      <w:r w:rsidR="00314DDA">
        <w:t>ion</w:t>
      </w:r>
      <w:r>
        <w:t>.</w:t>
      </w:r>
      <w:r w:rsidR="0092143F">
        <w:t xml:space="preserve"> </w:t>
      </w:r>
      <w:r w:rsidR="00DD6040" w:rsidRPr="0029750F">
        <w:rPr>
          <w:highlight w:val="yellow"/>
        </w:rPr>
        <w:t xml:space="preserve">As </w:t>
      </w:r>
      <w:r w:rsidR="00DD2D3F" w:rsidRPr="0029750F">
        <w:rPr>
          <w:highlight w:val="yellow"/>
        </w:rPr>
        <w:t>s</w:t>
      </w:r>
      <w:r w:rsidRPr="0029750F">
        <w:rPr>
          <w:highlight w:val="yellow"/>
        </w:rPr>
        <w:t>amples</w:t>
      </w:r>
      <w:r w:rsidR="00DB1421" w:rsidRPr="0029750F">
        <w:rPr>
          <w:highlight w:val="yellow"/>
        </w:rPr>
        <w:t xml:space="preserve"> from </w:t>
      </w:r>
      <w:r w:rsidR="00314DDA" w:rsidRPr="0029750F">
        <w:rPr>
          <w:highlight w:val="yellow"/>
        </w:rPr>
        <w:t>individuals enrolled in these</w:t>
      </w:r>
      <w:r w:rsidR="00DB1421" w:rsidRPr="0029750F">
        <w:rPr>
          <w:highlight w:val="yellow"/>
        </w:rPr>
        <w:t xml:space="preserve"> studies</w:t>
      </w:r>
      <w:r w:rsidR="00D2435D" w:rsidRPr="0029750F">
        <w:rPr>
          <w:highlight w:val="yellow"/>
        </w:rPr>
        <w:t xml:space="preserve"> and trials</w:t>
      </w:r>
      <w:r w:rsidR="00DB1421" w:rsidRPr="0029750F">
        <w:rPr>
          <w:highlight w:val="yellow"/>
        </w:rPr>
        <w:t xml:space="preserve"> were received</w:t>
      </w:r>
      <w:r w:rsidR="0092143F" w:rsidRPr="0029750F">
        <w:rPr>
          <w:highlight w:val="yellow"/>
        </w:rPr>
        <w:t xml:space="preserve"> daily</w:t>
      </w:r>
      <w:r w:rsidR="00DB1421" w:rsidRPr="0029750F">
        <w:rPr>
          <w:highlight w:val="yellow"/>
        </w:rPr>
        <w:t xml:space="preserve"> in batches</w:t>
      </w:r>
      <w:r w:rsidR="0092143F" w:rsidRPr="0029750F">
        <w:rPr>
          <w:highlight w:val="yellow"/>
        </w:rPr>
        <w:t xml:space="preserve">, </w:t>
      </w:r>
      <w:r w:rsidR="00D2435D" w:rsidRPr="0029750F">
        <w:rPr>
          <w:highlight w:val="yellow"/>
        </w:rPr>
        <w:t>they</w:t>
      </w:r>
      <w:r w:rsidR="00DD2D3F" w:rsidRPr="0029750F">
        <w:rPr>
          <w:highlight w:val="yellow"/>
        </w:rPr>
        <w:t xml:space="preserve"> </w:t>
      </w:r>
      <w:r w:rsidR="00DB1421" w:rsidRPr="0029750F">
        <w:rPr>
          <w:highlight w:val="yellow"/>
        </w:rPr>
        <w:t>were randomly evenly distributed am</w:t>
      </w:r>
      <w:r w:rsidR="00B6587A" w:rsidRPr="0029750F">
        <w:rPr>
          <w:highlight w:val="yellow"/>
        </w:rPr>
        <w:t>ong pools on a daily basis</w:t>
      </w:r>
      <w:r w:rsidR="00314DDA" w:rsidRPr="0029750F">
        <w:rPr>
          <w:highlight w:val="yellow"/>
        </w:rPr>
        <w:t xml:space="preserve">. </w:t>
      </w:r>
      <w:r w:rsidR="00D2435D" w:rsidRPr="0029750F">
        <w:rPr>
          <w:highlight w:val="yellow"/>
        </w:rPr>
        <w:t>This was done to preserve the independence between samples in the same pool</w:t>
      </w:r>
      <w:r w:rsidR="00D2435D">
        <w:t xml:space="preserve">; these samples had not been tested prior to receipt in our </w:t>
      </w:r>
      <w:proofErr w:type="gramStart"/>
      <w:r w:rsidR="00D2435D">
        <w:t>laboratory, and</w:t>
      </w:r>
      <w:proofErr w:type="gramEnd"/>
      <w:r w:rsidR="00D2435D">
        <w:t xml:space="preserve"> were otherwise treated identically to non-research samples. </w:t>
      </w:r>
      <w:r w:rsidR="00DD2D3F">
        <w:t>N</w:t>
      </w:r>
      <w:r w:rsidR="00DB1421">
        <w:t xml:space="preserve">on-research </w:t>
      </w:r>
      <w:r w:rsidR="00DD2D3F">
        <w:t xml:space="preserve">samples </w:t>
      </w:r>
      <w:r w:rsidR="00DB1421">
        <w:t xml:space="preserve">were otherwise assigned to pools </w:t>
      </w:r>
      <w:r w:rsidR="00C80494">
        <w:t xml:space="preserve">consecutively. </w:t>
      </w:r>
      <w:r w:rsidR="00A108C9" w:rsidRPr="006F1059">
        <w:t xml:space="preserve">Additional </w:t>
      </w:r>
      <w:r w:rsidR="002B0CFA" w:rsidRPr="006F1059">
        <w:t>laboratory-wide data on proportion of tests positive</w:t>
      </w:r>
      <w:r w:rsidR="00A108C9" w:rsidRPr="006F1059">
        <w:t xml:space="preserve"> and C</w:t>
      </w:r>
      <w:r w:rsidR="00A108C9" w:rsidRPr="006F1059">
        <w:rPr>
          <w:vertAlign w:val="subscript"/>
        </w:rPr>
        <w:t>t</w:t>
      </w:r>
      <w:r w:rsidR="00A108C9" w:rsidRPr="006F1059">
        <w:t xml:space="preserve"> value </w:t>
      </w:r>
      <w:r w:rsidR="002B0CFA" w:rsidRPr="006F1059">
        <w:t>distribution</w:t>
      </w:r>
      <w:r w:rsidR="00A108C9" w:rsidRPr="006F1059">
        <w:t xml:space="preserve"> </w:t>
      </w:r>
      <w:proofErr w:type="gramStart"/>
      <w:r w:rsidR="00A108C9" w:rsidRPr="006F1059">
        <w:t>were</w:t>
      </w:r>
      <w:proofErr w:type="gramEnd"/>
      <w:r w:rsidR="00A108C9" w:rsidRPr="006F1059">
        <w:t xml:space="preserve"> obtained </w:t>
      </w:r>
      <w:r w:rsidR="002B0CFA" w:rsidRPr="006F1059">
        <w:t xml:space="preserve">from </w:t>
      </w:r>
      <w:r w:rsidR="009A0B94">
        <w:t>all specimens (n=74</w:t>
      </w:r>
      <w:r w:rsidR="00A108C9" w:rsidRPr="006F1059">
        <w:t>,162) tested from March 1 through June 24, 2020.</w:t>
      </w:r>
      <w:r w:rsidR="004B1489">
        <w:t xml:space="preserve"> This study was conducted with </w:t>
      </w:r>
      <w:r w:rsidR="00DD2D3F">
        <w:t xml:space="preserve">Stanford </w:t>
      </w:r>
      <w:r w:rsidR="004B1489">
        <w:t>institutional review board approval</w:t>
      </w:r>
      <w:r w:rsidR="00943ED9">
        <w:t xml:space="preserve"> (protocol 48973)</w:t>
      </w:r>
      <w:r w:rsidR="00DD2D3F">
        <w:t>, and individual consent was waived.</w:t>
      </w:r>
    </w:p>
    <w:p w14:paraId="1C5DE4FC" w14:textId="6748D73B" w:rsidR="00814D6B" w:rsidRDefault="00814D6B" w:rsidP="0060558E">
      <w:pPr>
        <w:spacing w:line="480" w:lineRule="auto"/>
      </w:pPr>
    </w:p>
    <w:p w14:paraId="7075D051" w14:textId="371F31AA" w:rsidR="0060558E" w:rsidRDefault="0060558E" w:rsidP="0060558E">
      <w:pPr>
        <w:spacing w:line="480" w:lineRule="auto"/>
      </w:pPr>
      <w:r>
        <w:t>Pool size determination</w:t>
      </w:r>
    </w:p>
    <w:p w14:paraId="40FCEEAA" w14:textId="21DA3700" w:rsidR="0060558E" w:rsidRDefault="0060558E" w:rsidP="00972701">
      <w:pPr>
        <w:spacing w:line="480" w:lineRule="auto"/>
        <w:ind w:firstLine="720"/>
      </w:pPr>
      <w:r>
        <w:t>In this study, a</w:t>
      </w:r>
      <w:r w:rsidR="005B158A">
        <w:t>n initial</w:t>
      </w:r>
      <w:r>
        <w:t xml:space="preserve"> pool size of 8 was selected based on pilot experiments with pool sizes ranging from 4 to 10 (</w:t>
      </w:r>
      <w:r w:rsidR="00603087">
        <w:t xml:space="preserve">B. Pinsky, </w:t>
      </w:r>
      <w:proofErr w:type="spellStart"/>
      <w:r w:rsidR="00603087">
        <w:t>unpub</w:t>
      </w:r>
      <w:proofErr w:type="spellEnd"/>
      <w:r w:rsidR="00603087">
        <w:t>. data</w:t>
      </w:r>
      <w:r>
        <w:t xml:space="preserve">), and the logistical consideration that </w:t>
      </w:r>
      <w:r w:rsidRPr="006134E4">
        <w:rPr>
          <w:highlight w:val="yellow"/>
        </w:rPr>
        <w:t xml:space="preserve">pooling in multiples </w:t>
      </w:r>
      <w:r w:rsidRPr="006134E4">
        <w:rPr>
          <w:highlight w:val="yellow"/>
        </w:rPr>
        <w:lastRenderedPageBreak/>
        <w:t>of 4 would be more efficient for the robotic liquid handlers in our laboratory</w:t>
      </w:r>
      <w:r>
        <w:t xml:space="preserve">. </w:t>
      </w:r>
      <w:r w:rsidR="00F44ED8">
        <w:t xml:space="preserve">After review </w:t>
      </w:r>
      <w:r w:rsidR="005B158A">
        <w:t xml:space="preserve">of </w:t>
      </w:r>
      <w:r w:rsidR="00F44ED8">
        <w:t>the test performance characteristics of 8-sample pooling</w:t>
      </w:r>
      <w:r w:rsidR="00790C81">
        <w:t xml:space="preserve"> in conjunction with the results of an independent </w:t>
      </w:r>
      <w:r w:rsidR="00F44ED8">
        <w:t>stochastic simulation model</w:t>
      </w:r>
      <w:r w:rsidR="00603087">
        <w:t xml:space="preserve">, </w:t>
      </w:r>
      <w:r w:rsidR="005B158A">
        <w:t>additional testing</w:t>
      </w:r>
      <w:r w:rsidR="003024BE">
        <w:t xml:space="preserve"> </w:t>
      </w:r>
      <w:r w:rsidR="005B158A">
        <w:t xml:space="preserve">was performed </w:t>
      </w:r>
      <w:r w:rsidR="003024BE">
        <w:t>to evaluate</w:t>
      </w:r>
      <w:r w:rsidR="00F44ED8">
        <w:t xml:space="preserve"> a pool size of 4 </w:t>
      </w:r>
      <w:r w:rsidR="005B158A">
        <w:t xml:space="preserve">to generate empiric data </w:t>
      </w:r>
      <w:r w:rsidR="00F11666">
        <w:t>for further model validation</w:t>
      </w:r>
      <w:r w:rsidR="00F44ED8">
        <w:t>.</w:t>
      </w:r>
      <w:r w:rsidR="00603087">
        <w:t xml:space="preserve"> </w:t>
      </w:r>
      <w:r w:rsidR="00972701">
        <w:t xml:space="preserve">Subset analyses of first tests versus follow-up tests were conducted by retrospectively assigning pools to one of the two groups based on the status of the positive sample(s) in that pool. Pools containing positive samples belonging to both groups were excluded from this analysis. </w:t>
      </w:r>
      <w:r w:rsidR="005B158A">
        <w:t xml:space="preserve">To validate the performance of the model for additional pool sizes, an </w:t>
      </w:r>
      <w:r w:rsidR="000E4350">
        <w:t>external in silico data</w:t>
      </w:r>
      <w:r w:rsidR="005B158A">
        <w:t>set</w:t>
      </w:r>
      <w:r w:rsidR="000E4350">
        <w:t xml:space="preserve"> w</w:t>
      </w:r>
      <w:r w:rsidR="005B158A">
        <w:t>as</w:t>
      </w:r>
      <w:r w:rsidR="000E4350">
        <w:t xml:space="preserve"> obtained</w:t>
      </w:r>
      <w:r w:rsidR="005B158A">
        <w:t xml:space="preserve"> based on </w:t>
      </w:r>
      <w:r w:rsidR="000E4350">
        <w:t xml:space="preserve">pool sizes of 3 and 5. </w:t>
      </w:r>
      <w:r w:rsidR="00597F3E">
        <w:t xml:space="preserve">The in silico analysis was performed according to FDA recommendations, which are additionally described in the </w:t>
      </w:r>
      <w:r w:rsidR="000E4350">
        <w:t>Technical Appendix</w:t>
      </w:r>
      <w:r w:rsidR="00597F3E">
        <w:t xml:space="preserve"> </w:t>
      </w:r>
      <w:r w:rsidR="00597F3E">
        <w:fldChar w:fldCharType="begin" w:fldLock="1"/>
      </w:r>
      <w:r w:rsidR="00597F3E">
        <w:instrText>ADDIN CSL_CITATION {"citationItems":[{"id":"ITEM-1","itemData":{"id":"ITEM-1","issued":{"date-parts":[["0"]]},"title":"Food and Drug Administration. Molecular Diagnostic Template for Laboratories. 2020 July 28 [cited 2020 Sep 18). https://www.fda.gov/media/135658/download.","type":"article-journal"},"uris":["http://www.mendeley.com/documents/?uuid=beb1e14d-0acb-4211-a3ed-9743269e1f51"]}],"mendeley":{"formattedCitation":"(&lt;i&gt;13&lt;/i&gt;)","plainTextFormattedCitation":"(13)","previouslyFormattedCitation":"(&lt;i&gt;13&lt;/i&gt;)"},"properties":{"noteIndex":0},"schema":"https://github.com/citation-style-language/schema/raw/master/csl-citation.json"}</w:instrText>
      </w:r>
      <w:r w:rsidR="00597F3E">
        <w:fldChar w:fldCharType="separate"/>
      </w:r>
      <w:r w:rsidR="00597F3E" w:rsidRPr="00597F3E">
        <w:rPr>
          <w:noProof/>
        </w:rPr>
        <w:t>(</w:t>
      </w:r>
      <w:r w:rsidR="00597F3E" w:rsidRPr="00597F3E">
        <w:rPr>
          <w:i/>
          <w:noProof/>
        </w:rPr>
        <w:t>13</w:t>
      </w:r>
      <w:r w:rsidR="00597F3E" w:rsidRPr="00597F3E">
        <w:rPr>
          <w:noProof/>
        </w:rPr>
        <w:t>)</w:t>
      </w:r>
      <w:r w:rsidR="00597F3E">
        <w:fldChar w:fldCharType="end"/>
      </w:r>
      <w:r w:rsidR="000E4350">
        <w:t xml:space="preserve">.  </w:t>
      </w:r>
    </w:p>
    <w:p w14:paraId="1EF2B1F6" w14:textId="77777777" w:rsidR="0060558E" w:rsidRPr="006F1059" w:rsidRDefault="0060558E" w:rsidP="00DE700A">
      <w:pPr>
        <w:spacing w:line="480" w:lineRule="auto"/>
      </w:pPr>
    </w:p>
    <w:p w14:paraId="7E16C674" w14:textId="694DF535" w:rsidR="007E2793" w:rsidRPr="006F1059" w:rsidRDefault="6412F46A" w:rsidP="00814D6B">
      <w:pPr>
        <w:spacing w:line="480" w:lineRule="auto"/>
      </w:pPr>
      <w:r w:rsidRPr="006F1059">
        <w:t>Sample Pooling, Extraction, and Nucleic Acid Amplification Testing</w:t>
      </w:r>
      <w:r w:rsidR="00B6587A">
        <w:t xml:space="preserve"> (NAAT)</w:t>
      </w:r>
    </w:p>
    <w:p w14:paraId="59765B24" w14:textId="0D253AFC" w:rsidR="00F059D8" w:rsidRDefault="6412F46A" w:rsidP="00E30C16">
      <w:pPr>
        <w:spacing w:line="480" w:lineRule="auto"/>
        <w:ind w:firstLine="720"/>
      </w:pPr>
      <w:r w:rsidRPr="006F1059">
        <w:t xml:space="preserve">Pools were constructed prior to nucleic acid extraction by combining 500 </w:t>
      </w:r>
      <w:r w:rsidR="00E21D0E">
        <w:rPr>
          <w:iCs/>
        </w:rPr>
        <w:t>µ</w:t>
      </w:r>
      <w:r w:rsidRPr="006F1059">
        <w:rPr>
          <w:iCs/>
        </w:rPr>
        <w:t>L</w:t>
      </w:r>
      <w:r w:rsidR="002E7D13">
        <w:t xml:space="preserve"> </w:t>
      </w:r>
      <w:r w:rsidRPr="006F1059">
        <w:t xml:space="preserve">from each of the </w:t>
      </w:r>
      <w:r w:rsidR="00C6257E">
        <w:t>individual samples. For a pool size of 8, this resulted in a total volume of 4 mL and a dilution factor of 1:8. For a pool size of 4, this resulted in a total volume of 2 mL and a dilution factor of 1:4.</w:t>
      </w:r>
    </w:p>
    <w:p w14:paraId="530B6B95" w14:textId="06C86FD8" w:rsidR="007E2793" w:rsidRPr="00026BBB" w:rsidRDefault="00C6257E" w:rsidP="00F059D8">
      <w:pPr>
        <w:spacing w:line="480" w:lineRule="auto"/>
        <w:ind w:firstLine="720"/>
      </w:pPr>
      <w:r>
        <w:t xml:space="preserve">Subsequently, total nucleic acids were extracted from 500 </w:t>
      </w:r>
      <w:r>
        <w:rPr>
          <w:iCs/>
        </w:rPr>
        <w:t>µ</w:t>
      </w:r>
      <w:r w:rsidRPr="006F1059">
        <w:rPr>
          <w:iCs/>
        </w:rPr>
        <w:t>L</w:t>
      </w:r>
      <w:r>
        <w:rPr>
          <w:iCs/>
        </w:rPr>
        <w:t xml:space="preserve"> taken from each pool</w:t>
      </w:r>
      <w:r w:rsidR="00595976">
        <w:rPr>
          <w:iCs/>
        </w:rPr>
        <w:t xml:space="preserve"> and each individual specimen</w:t>
      </w:r>
      <w:r>
        <w:rPr>
          <w:iCs/>
        </w:rPr>
        <w:t xml:space="preserve"> </w:t>
      </w:r>
      <w:r w:rsidR="00E30C16">
        <w:t xml:space="preserve">on the </w:t>
      </w:r>
      <w:proofErr w:type="spellStart"/>
      <w:r w:rsidR="00E30C16">
        <w:t>QIAsymphony</w:t>
      </w:r>
      <w:proofErr w:type="spellEnd"/>
      <w:r w:rsidR="00E30C16">
        <w:t xml:space="preserve"> using the </w:t>
      </w:r>
      <w:proofErr w:type="spellStart"/>
      <w:r w:rsidR="00E30C16">
        <w:t>QIAsymphony</w:t>
      </w:r>
      <w:proofErr w:type="spellEnd"/>
      <w:r w:rsidR="00E30C16">
        <w:t xml:space="preserve"> DSP Virus/Pathogen Midi Kit (both from Qiagen, Germantown, MD)</w:t>
      </w:r>
      <w:r w:rsidR="000F0C36">
        <w:t>,</w:t>
      </w:r>
      <w:r w:rsidR="00E30C16">
        <w:t xml:space="preserve"> and eluted into 60 </w:t>
      </w:r>
      <w:r w:rsidR="00E30C16">
        <w:rPr>
          <w:iCs/>
        </w:rPr>
        <w:t>µ</w:t>
      </w:r>
      <w:r w:rsidR="00E30C16" w:rsidRPr="006F1059">
        <w:rPr>
          <w:iCs/>
        </w:rPr>
        <w:t>L</w:t>
      </w:r>
      <w:r w:rsidR="00E30C16">
        <w:t xml:space="preserve"> of buffer AVE according to manufacturer’s instructions. </w:t>
      </w:r>
      <w:r w:rsidR="00F059D8">
        <w:t xml:space="preserve">Real-time reverse transcription </w:t>
      </w:r>
      <w:r w:rsidR="00DB7137">
        <w:t>PCR</w:t>
      </w:r>
      <w:r w:rsidR="00F059D8">
        <w:t xml:space="preserve"> (</w:t>
      </w:r>
      <w:proofErr w:type="spellStart"/>
      <w:r w:rsidR="00F059D8">
        <w:t>rRT</w:t>
      </w:r>
      <w:proofErr w:type="spellEnd"/>
      <w:r w:rsidR="00F059D8">
        <w:t xml:space="preserve">-PCR) was performed using an emergency use authorization (EUA) laboratory-developed assay targeting the </w:t>
      </w:r>
      <w:r w:rsidR="00F059D8">
        <w:rPr>
          <w:i/>
        </w:rPr>
        <w:t>E</w:t>
      </w:r>
      <w:r w:rsidR="00F059D8">
        <w:t xml:space="preserve"> gene on the Rotor-Gene Q instrument (Qiagen) </w:t>
      </w:r>
      <w:r w:rsidR="00E21D0E">
        <w:t>as previously described</w:t>
      </w:r>
      <w:r w:rsidR="00193D20">
        <w:t xml:space="preserve"> </w:t>
      </w:r>
      <w:r w:rsidR="00E21D0E">
        <w:fldChar w:fldCharType="begin" w:fldLock="1"/>
      </w:r>
      <w:r w:rsidR="00597F3E">
        <w:instrText>ADDIN CSL_CITATION {"citationItems":[{"id":"ITEM-1","itemData":{"id":"ITEM-1","issued":{"date-parts":[["0"]]},"title":"Food and Drug Administration. EUA Summary: SARS-CoV-2 RT-PCR Assay (Stanford Health Care Clinical Virology Laboratory). 2020 April 08 [cited 2020 Jul 11]. https://www.fda.gov/media/136818/download","type":"webpage"},"uris":["http://www.mendeley.com/documents/?uuid=b61c91f9-c43e-4eef-9878-d7749b233c7f"]},{"id":"ITEM-2","itemData":{"DOI":"10.1016/j.jcv.2020.104427","ISSN":"18735967","abstract":"Background: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Virology","id":"ITEM-2","issue":"April","issued":{"date-parts":[["2020"]]},"page":"10-13","title":"Comparison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mendeley":{"formattedCitation":"(&lt;i&gt;14&lt;/i&gt;–&lt;i&gt;16&lt;/i&gt;)","plainTextFormattedCitation":"(14–16)","previouslyFormattedCitation":"(&lt;i&gt;14&lt;/i&gt;–&lt;i&gt;16&lt;/i&gt;)"},"properties":{"noteIndex":0},"schema":"https://github.com/citation-style-language/schema/raw/master/csl-citation.json"}</w:instrText>
      </w:r>
      <w:r w:rsidR="00E21D0E">
        <w:fldChar w:fldCharType="separate"/>
      </w:r>
      <w:r w:rsidR="00597F3E" w:rsidRPr="00597F3E">
        <w:rPr>
          <w:noProof/>
        </w:rPr>
        <w:t>(</w:t>
      </w:r>
      <w:r w:rsidR="00597F3E" w:rsidRPr="00597F3E">
        <w:rPr>
          <w:i/>
          <w:noProof/>
        </w:rPr>
        <w:t>14</w:t>
      </w:r>
      <w:r w:rsidR="00597F3E" w:rsidRPr="00597F3E">
        <w:rPr>
          <w:noProof/>
        </w:rPr>
        <w:t>–</w:t>
      </w:r>
      <w:r w:rsidR="00597F3E" w:rsidRPr="00597F3E">
        <w:rPr>
          <w:i/>
          <w:noProof/>
        </w:rPr>
        <w:t>16</w:t>
      </w:r>
      <w:r w:rsidR="00597F3E" w:rsidRPr="00597F3E">
        <w:rPr>
          <w:noProof/>
        </w:rPr>
        <w:t>)</w:t>
      </w:r>
      <w:r w:rsidR="00E21D0E">
        <w:fldChar w:fldCharType="end"/>
      </w:r>
      <w:r w:rsidR="6412F46A" w:rsidRPr="006F1059">
        <w:t>,</w:t>
      </w:r>
      <w:r w:rsidR="00E21D0E">
        <w:t xml:space="preserve"> with pool</w:t>
      </w:r>
      <w:r w:rsidR="00193D20">
        <w:t>ed samples</w:t>
      </w:r>
      <w:r w:rsidR="00E21D0E">
        <w:t xml:space="preserve"> </w:t>
      </w:r>
      <w:r w:rsidR="00C80494">
        <w:t xml:space="preserve">tested </w:t>
      </w:r>
      <w:r w:rsidR="6412F46A" w:rsidRPr="006F1059">
        <w:t>on the same run as the component individual samples.</w:t>
      </w:r>
      <w:r w:rsidR="00193D20">
        <w:t xml:space="preserve"> </w:t>
      </w:r>
      <w:r w:rsidR="00193D20" w:rsidRPr="006134E4">
        <w:rPr>
          <w:highlight w:val="yellow"/>
        </w:rPr>
        <w:t>A</w:t>
      </w:r>
      <w:r w:rsidR="6412F46A" w:rsidRPr="006134E4">
        <w:rPr>
          <w:highlight w:val="yellow"/>
        </w:rPr>
        <w:t xml:space="preserve"> C</w:t>
      </w:r>
      <w:r w:rsidR="6412F46A" w:rsidRPr="006134E4">
        <w:rPr>
          <w:highlight w:val="yellow"/>
          <w:vertAlign w:val="subscript"/>
        </w:rPr>
        <w:t>t</w:t>
      </w:r>
      <w:r w:rsidR="6412F46A" w:rsidRPr="006134E4">
        <w:rPr>
          <w:highlight w:val="yellow"/>
        </w:rPr>
        <w:t xml:space="preserve"> </w:t>
      </w:r>
      <w:r w:rsidR="00193D20" w:rsidRPr="006134E4">
        <w:rPr>
          <w:highlight w:val="yellow"/>
        </w:rPr>
        <w:t xml:space="preserve">result </w:t>
      </w:r>
      <w:r w:rsidR="6412F46A" w:rsidRPr="006134E4">
        <w:rPr>
          <w:highlight w:val="yellow"/>
        </w:rPr>
        <w:t>between 40-45 was considered an indeterminate result, which was adjudicated by repeat testing</w:t>
      </w:r>
      <w:r w:rsidR="00193D20" w:rsidRPr="006134E4">
        <w:rPr>
          <w:highlight w:val="yellow"/>
        </w:rPr>
        <w:t xml:space="preserve"> and resulted as positive if reproducible with </w:t>
      </w:r>
      <w:r w:rsidR="6412F46A" w:rsidRPr="006134E4">
        <w:rPr>
          <w:highlight w:val="yellow"/>
        </w:rPr>
        <w:t>an acceptable amplification curv</w:t>
      </w:r>
      <w:r w:rsidR="00193D20" w:rsidRPr="006134E4">
        <w:rPr>
          <w:highlight w:val="yellow"/>
        </w:rPr>
        <w:t>e</w:t>
      </w:r>
      <w:r w:rsidR="6412F46A" w:rsidRPr="006F1059">
        <w:t>.</w:t>
      </w:r>
      <w:r w:rsidR="00430D61">
        <w:t xml:space="preserve"> </w:t>
      </w:r>
      <w:r w:rsidR="00026BBB" w:rsidRPr="006134E4">
        <w:rPr>
          <w:highlight w:val="yellow"/>
        </w:rPr>
        <w:t xml:space="preserve">Specimens were only reported as negative if internal control human </w:t>
      </w:r>
      <w:r w:rsidR="00430D61" w:rsidRPr="006134E4">
        <w:rPr>
          <w:i/>
          <w:highlight w:val="yellow"/>
        </w:rPr>
        <w:t>RN</w:t>
      </w:r>
      <w:r w:rsidR="00C47EF1" w:rsidRPr="006134E4">
        <w:rPr>
          <w:i/>
          <w:highlight w:val="yellow"/>
        </w:rPr>
        <w:t>a</w:t>
      </w:r>
      <w:r w:rsidR="00430D61" w:rsidRPr="006134E4">
        <w:rPr>
          <w:i/>
          <w:highlight w:val="yellow"/>
        </w:rPr>
        <w:t>se P</w:t>
      </w:r>
      <w:r w:rsidR="00026BBB" w:rsidRPr="006134E4">
        <w:rPr>
          <w:highlight w:val="yellow"/>
        </w:rPr>
        <w:t xml:space="preserve"> was detected at a C</w:t>
      </w:r>
      <w:r w:rsidR="00026BBB" w:rsidRPr="006134E4">
        <w:rPr>
          <w:highlight w:val="yellow"/>
          <w:vertAlign w:val="subscript"/>
        </w:rPr>
        <w:t>t</w:t>
      </w:r>
      <w:r w:rsidR="00026BBB" w:rsidRPr="006134E4">
        <w:rPr>
          <w:highlight w:val="yellow"/>
        </w:rPr>
        <w:t xml:space="preserve"> of less than 35</w:t>
      </w:r>
      <w:r w:rsidR="00026BBB">
        <w:t>.</w:t>
      </w:r>
    </w:p>
    <w:p w14:paraId="1527FD43" w14:textId="6A57280A" w:rsidR="00814D6B" w:rsidRDefault="00F059D8" w:rsidP="00522EE0">
      <w:pPr>
        <w:spacing w:line="480" w:lineRule="auto"/>
        <w:ind w:firstLine="720"/>
      </w:pPr>
      <w:r>
        <w:lastRenderedPageBreak/>
        <w:t xml:space="preserve">On the same day as </w:t>
      </w:r>
      <w:proofErr w:type="spellStart"/>
      <w:r>
        <w:t>QIAsymphony</w:t>
      </w:r>
      <w:proofErr w:type="spellEnd"/>
      <w:r>
        <w:t xml:space="preserve"> extraction, another 500 </w:t>
      </w:r>
      <w:r>
        <w:rPr>
          <w:iCs/>
        </w:rPr>
        <w:t>µ</w:t>
      </w:r>
      <w:r w:rsidRPr="006F1059">
        <w:rPr>
          <w:iCs/>
        </w:rPr>
        <w:t>L</w:t>
      </w:r>
      <w:r>
        <w:rPr>
          <w:iCs/>
        </w:rPr>
        <w:t xml:space="preserve"> from each pool was transferred to a Hologic Panther Specimen Lysis Tube, and tested using </w:t>
      </w:r>
      <w:r w:rsidR="6412F46A" w:rsidRPr="006F1059">
        <w:t xml:space="preserve">the Panther Fusion SARS-CoV-2 </w:t>
      </w:r>
      <w:r w:rsidR="00193D20">
        <w:t xml:space="preserve">assay </w:t>
      </w:r>
      <w:r w:rsidR="6412F46A" w:rsidRPr="006F1059">
        <w:t>(Hologic</w:t>
      </w:r>
      <w:r w:rsidR="001C3113">
        <w:t>, Marlborough, MA</w:t>
      </w:r>
      <w:r w:rsidR="6412F46A" w:rsidRPr="006F1059">
        <w:t xml:space="preserve">) </w:t>
      </w:r>
      <w:r w:rsidR="00534ADC" w:rsidRPr="006F1059">
        <w:t xml:space="preserve">and Panther Aptima SARS-CoV-2 </w:t>
      </w:r>
      <w:r w:rsidR="00193D20">
        <w:t xml:space="preserve">assay </w:t>
      </w:r>
      <w:r w:rsidR="00534ADC" w:rsidRPr="006F1059">
        <w:t xml:space="preserve">(Hologic), </w:t>
      </w:r>
      <w:r w:rsidR="00193D20">
        <w:t>per manufacturer recommendations</w:t>
      </w:r>
      <w:r w:rsidR="001C3113">
        <w:t xml:space="preserve"> </w:t>
      </w:r>
      <w:r w:rsidR="002254FF">
        <w:fldChar w:fldCharType="begin" w:fldLock="1"/>
      </w:r>
      <w:r w:rsidR="00597F3E">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https://www.fda.gov/media/136156/download","type":"article-journal"},"uris":["http://www.mendeley.com/documents/?uuid=54c09098-03b1-49d4-ba54-83bcc8397239"]},{"id":"ITEM-2","itemData":{"abstract":"The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Authorization.","id":"ITEM-2","issued":{"date-parts":[["0"]]},"title":"Food and Drug Administration. EUA Summary: Aptima SARS-CoV-2. 2020 May 14 [cited 2020 Jul 11]. https://www.fda.gov/media/138096/download","type":"article-journal"},"uris":["http://www.mendeley.com/documents/?uuid=f0b2691e-5966-4449-98ba-3cccf00255cc"]}],"mendeley":{"formattedCitation":"(&lt;i&gt;17&lt;/i&gt;,&lt;i&gt;18&lt;/i&gt;)","plainTextFormattedCitation":"(17,18)","previouslyFormattedCitation":"(&lt;i&gt;17&lt;/i&gt;,&lt;i&gt;18&lt;/i&gt;)"},"properties":{"noteIndex":0},"schema":"https://github.com/citation-style-language/schema/raw/master/csl-citation.json"}</w:instrText>
      </w:r>
      <w:r w:rsidR="002254FF">
        <w:fldChar w:fldCharType="separate"/>
      </w:r>
      <w:r w:rsidR="00597F3E" w:rsidRPr="00597F3E">
        <w:rPr>
          <w:noProof/>
        </w:rPr>
        <w:t>(</w:t>
      </w:r>
      <w:r w:rsidR="00597F3E" w:rsidRPr="00597F3E">
        <w:rPr>
          <w:i/>
          <w:noProof/>
        </w:rPr>
        <w:t>17</w:t>
      </w:r>
      <w:r w:rsidR="00597F3E" w:rsidRPr="00597F3E">
        <w:rPr>
          <w:noProof/>
        </w:rPr>
        <w:t>,</w:t>
      </w:r>
      <w:r w:rsidR="00597F3E" w:rsidRPr="00597F3E">
        <w:rPr>
          <w:i/>
          <w:noProof/>
        </w:rPr>
        <w:t>18</w:t>
      </w:r>
      <w:r w:rsidR="00597F3E" w:rsidRPr="00597F3E">
        <w:rPr>
          <w:noProof/>
        </w:rPr>
        <w:t>)</w:t>
      </w:r>
      <w:r w:rsidR="002254FF">
        <w:fldChar w:fldCharType="end"/>
      </w:r>
      <w:r w:rsidR="002254FF">
        <w:t xml:space="preserve">. In addition to the manufacturer-set cutoff, </w:t>
      </w:r>
      <w:r w:rsidR="00576DE8">
        <w:t xml:space="preserve">receiver operating characteristic (ROC) </w:t>
      </w:r>
      <w:r w:rsidR="00AC4712">
        <w:t xml:space="preserve">curve </w:t>
      </w:r>
      <w:r w:rsidR="00576DE8">
        <w:t xml:space="preserve">analysis of pooled relative light unit (RLU) values, with individual test results as the reference method, was used to determine </w:t>
      </w:r>
      <w:r w:rsidR="00943ED9">
        <w:t xml:space="preserve">the </w:t>
      </w:r>
      <w:r w:rsidR="00576DE8">
        <w:t>optimal RLU discrimination threshold.</w:t>
      </w:r>
      <w:r w:rsidR="00026BBB">
        <w:t xml:space="preserve"> A focused electronic medical record review was conducted for all samples</w:t>
      </w:r>
      <w:r w:rsidR="00C329D0">
        <w:t>.</w:t>
      </w:r>
    </w:p>
    <w:p w14:paraId="35BF3417" w14:textId="77777777" w:rsidR="000F0C36" w:rsidRPr="006F1059" w:rsidRDefault="000F0C36" w:rsidP="00522EE0">
      <w:pPr>
        <w:spacing w:line="480" w:lineRule="auto"/>
        <w:ind w:firstLine="720"/>
      </w:pPr>
    </w:p>
    <w:p w14:paraId="7949362B" w14:textId="1394751B" w:rsidR="007E2793" w:rsidRDefault="6412F46A" w:rsidP="00814D6B">
      <w:pPr>
        <w:spacing w:line="480" w:lineRule="auto"/>
      </w:pPr>
      <w:r w:rsidRPr="006F1059">
        <w:t>Statistical Analysis</w:t>
      </w:r>
    </w:p>
    <w:p w14:paraId="0937D7B0" w14:textId="66BE571A" w:rsidR="00D94B94" w:rsidRDefault="00AC4712" w:rsidP="00814D6B">
      <w:pPr>
        <w:spacing w:line="480" w:lineRule="auto"/>
        <w:ind w:firstLine="720"/>
      </w:pPr>
      <w:r>
        <w:t>ROC</w:t>
      </w:r>
      <w:r w:rsidR="00EA5440">
        <w:t xml:space="preserve"> curve analysis was conducted using R package “</w:t>
      </w:r>
      <w:proofErr w:type="spellStart"/>
      <w:r w:rsidR="00EA5440">
        <w:t>pROC</w:t>
      </w:r>
      <w:proofErr w:type="spellEnd"/>
      <w:r w:rsidR="00EA5440">
        <w:t xml:space="preserve">” </w:t>
      </w:r>
      <w:r w:rsidR="00EA5440">
        <w:fldChar w:fldCharType="begin" w:fldLock="1"/>
      </w:r>
      <w:r w:rsidR="00597F3E">
        <w:instrText>ADDIN CSL_CITATION {"citationItems":[{"id":"ITEM-1","itemData":{"DOI":"10.1186/1471-2105-12-77","ISSN":"14712105","PMID":"21414208","abstract":"Background: 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interface.Results: With data previously imported into the R or S+ environment, the pROC package builds ROC curves and includes functions for computing confidence intervals, statistical tests for comparing total or partial area under the curve or the operating points of different classifiers, and methods for smoothing ROC curves. Intermediary and final results are visualised in user-friendly interfaces. A case study based on published clinical and biomarker data shows how to perform a typical ROC analysis with pROC.Conclusions: pROC is a package for R and S+ specifically dedicated to ROC analysis. It proposes multiple statistical tests to compare ROC curves, and in particular partial areas under the curve, allowing proper ROC interpretation. pROC is available in two versions: in the R programming language or with a graphical user interface in the S+ statistical software. It is accessible at http://expasy.org/tools/pROC/ under the GNU General Public License. It is also distributed through the CRAN and CSAN public repositories, facilitating its installation. © 2011 Robin et al; licensee BioMed Central Ltd.","author":[{"dropping-particle":"","family":"Robin","given":"Xavier","non-dropping-particle":"","parse-names":false,"suffix":""},{"dropping-particle":"","family":"Turck","given":"Natacha","non-dropping-particle":"","parse-names":false,"suffix":""},{"dropping-particle":"","family":"Hainard","given":"Alexandre","non-dropping-particle":"","parse-names":false,"suffix":""},{"dropping-particle":"","family":"Tiberti","given":"Natalia","non-dropping-particle":"","parse-names":false,"suffix":""},{"dropping-particle":"","family":"Lisacek","given":"Frédérique","non-dropping-particle":"","parse-names":false,"suffix":""},{"dropping-particle":"","family":"Sanchez","given":"Jean Charles","non-dropping-particle":"","parse-names":false,"suffix":""},{"dropping-particle":"","family":"Müller","given":"Markus","non-dropping-particle":"","parse-names":false,"suffix":""}],"container-title":"BMC Bioinformatics","id":"ITEM-1","issued":{"date-parts":[["2011"]]},"title":"pROC: An open-source package for R and S+ to analyze and compare ROC curves","type":"article-journal","volume":"12"},"uris":["http://www.mendeley.com/documents/?uuid=b7e88bdc-7ef6-4019-a56f-5b051549ef3a","http://www.mendeley.com/documents/?uuid=f788f3e2-d855-4952-9ab1-db895450c7fd"]}],"mendeley":{"formattedCitation":"(&lt;i&gt;19&lt;/i&gt;)","plainTextFormattedCitation":"(19)","previouslyFormattedCitation":"(&lt;i&gt;19&lt;/i&gt;)"},"properties":{"noteIndex":0},"schema":"https://github.com/citation-style-language/schema/raw/master/csl-citation.json"}</w:instrText>
      </w:r>
      <w:r w:rsidR="00EA5440">
        <w:fldChar w:fldCharType="separate"/>
      </w:r>
      <w:r w:rsidR="00597F3E" w:rsidRPr="00597F3E">
        <w:rPr>
          <w:noProof/>
        </w:rPr>
        <w:t>(</w:t>
      </w:r>
      <w:r w:rsidR="00597F3E" w:rsidRPr="00597F3E">
        <w:rPr>
          <w:i/>
          <w:noProof/>
        </w:rPr>
        <w:t>19</w:t>
      </w:r>
      <w:r w:rsidR="00597F3E" w:rsidRPr="00597F3E">
        <w:rPr>
          <w:noProof/>
        </w:rPr>
        <w:t>)</w:t>
      </w:r>
      <w:r w:rsidR="00EA5440">
        <w:fldChar w:fldCharType="end"/>
      </w:r>
      <w:r w:rsidR="00EA5440">
        <w:t xml:space="preserve">. </w:t>
      </w:r>
      <w:r w:rsidR="002254FF">
        <w:t xml:space="preserve">Positive percent agreement </w:t>
      </w:r>
      <w:r w:rsidR="00404106">
        <w:t xml:space="preserve">(PPA) </w:t>
      </w:r>
      <w:r w:rsidR="002254FF">
        <w:t xml:space="preserve">and negative percent agreement </w:t>
      </w:r>
      <w:r w:rsidR="00404106">
        <w:t xml:space="preserve">(NPA) </w:t>
      </w:r>
      <w:r w:rsidR="002254FF">
        <w:t>were calculated using individual testing as the reference method</w:t>
      </w:r>
      <w:r w:rsidR="002F6B07">
        <w:t xml:space="preserve">, </w:t>
      </w:r>
      <w:r w:rsidR="005D638E">
        <w:t>and were reported with</w:t>
      </w:r>
      <w:r w:rsidR="002F6B07">
        <w:t xml:space="preserve"> </w:t>
      </w:r>
      <w:r w:rsidR="005A4468">
        <w:t>exact (</w:t>
      </w:r>
      <w:r w:rsidR="005D638E">
        <w:t>Clopper-Pearson</w:t>
      </w:r>
      <w:r w:rsidR="005A4468">
        <w:t>)</w:t>
      </w:r>
      <w:r w:rsidR="005D638E">
        <w:t xml:space="preserve"> </w:t>
      </w:r>
      <w:r w:rsidR="0047120E">
        <w:t xml:space="preserve">95% </w:t>
      </w:r>
      <w:r w:rsidR="002F6B07">
        <w:t>confidence intervals</w:t>
      </w:r>
      <w:r w:rsidR="005D638E">
        <w:t xml:space="preserve"> </w:t>
      </w:r>
      <w:r w:rsidR="0047120E">
        <w:t xml:space="preserve">(95% CI) </w:t>
      </w:r>
      <w:r w:rsidR="005A4468">
        <w:fldChar w:fldCharType="begin" w:fldLock="1"/>
      </w:r>
      <w:r w:rsidR="00597F3E">
        <w:instrText>ADDIN CSL_CITATION {"citationItems":[{"id":"ITEM-1","itemData":{"ISBN":"9780727913753","abstract":"This highly popular introduction to confidence intervals has been thoroughly updated and expanded. It includes methods for using confidence intervals, with illustrative worked examples and extensive guidelines and checklists to help the novice.This highly popular introduction to confidence intervals has been thoroughly updated and expanded. It includes methods for using confidence intervals, with illustrative worked examples and extensive guidelines and checklists to help the novice.","author":[{"dropping-particle":"","family":"Altman","given":"Douglas","non-dropping-particle":"","parse-names":false,"suffix":""},{"dropping-particle":"","family":"Machin","given":"David","non-dropping-particle":"","parse-names":false,"suffix":""},{"dropping-particle":"","family":"Bryant","given":"Trevor","non-dropping-particle":"","parse-names":false,"suffix":""},{"dropping-particle":"","family":"Gardner","given":"Martin","non-dropping-particle":"","parse-names":false,"suffix":""},{"dropping-particle":"","family":"Editors","given":"","non-dropping-particle":"","parse-names":false,"suffix":""}],"container-title":"British Medical Journal","edition":"2nd","id":"ITEM-1","issued":{"date-parts":[["2000"]]},"publisher":"British Medical Journal Books","publisher-place":"London","title":"Statistics With Confidence","type":"book"},"uris":["http://www.mendeley.com/documents/?uuid=7aefa299-c120-4a98-bc6c-65884ea88710"]}],"mendeley":{"formattedCitation":"(&lt;i&gt;20&lt;/i&gt;)","plainTextFormattedCitation":"(20)","previouslyFormattedCitation":"(&lt;i&gt;20&lt;/i&gt;)"},"properties":{"noteIndex":0},"schema":"https://github.com/citation-style-language/schema/raw/master/csl-citation.json"}</w:instrText>
      </w:r>
      <w:r w:rsidR="005A4468">
        <w:fldChar w:fldCharType="separate"/>
      </w:r>
      <w:r w:rsidR="00597F3E" w:rsidRPr="00597F3E">
        <w:rPr>
          <w:noProof/>
        </w:rPr>
        <w:t>(</w:t>
      </w:r>
      <w:r w:rsidR="00597F3E" w:rsidRPr="00597F3E">
        <w:rPr>
          <w:i/>
          <w:noProof/>
        </w:rPr>
        <w:t>20</w:t>
      </w:r>
      <w:r w:rsidR="00597F3E" w:rsidRPr="00597F3E">
        <w:rPr>
          <w:noProof/>
        </w:rPr>
        <w:t>)</w:t>
      </w:r>
      <w:r w:rsidR="005A4468">
        <w:fldChar w:fldCharType="end"/>
      </w:r>
      <w:r w:rsidR="002254FF">
        <w:t xml:space="preserve">. </w:t>
      </w:r>
      <w:r w:rsidR="000F104F">
        <w:t>Passing-Bablok</w:t>
      </w:r>
      <w:r w:rsidR="000F104F" w:rsidRPr="006F1059">
        <w:t xml:space="preserve"> </w:t>
      </w:r>
      <w:r w:rsidR="7897BC07" w:rsidRPr="006F1059">
        <w:t>regression was used to compare C</w:t>
      </w:r>
      <w:r w:rsidR="7897BC07" w:rsidRPr="006F1059">
        <w:rPr>
          <w:vertAlign w:val="subscript"/>
        </w:rPr>
        <w:t>t</w:t>
      </w:r>
      <w:r w:rsidR="7897BC07" w:rsidRPr="006F1059">
        <w:t xml:space="preserve"> values of </w:t>
      </w:r>
      <w:r w:rsidR="00E87C78">
        <w:t xml:space="preserve">the </w:t>
      </w:r>
      <w:r w:rsidR="7897BC07" w:rsidRPr="006F1059">
        <w:t>individual</w:t>
      </w:r>
      <w:r w:rsidR="001C3113" w:rsidRPr="001C3113">
        <w:rPr>
          <w:i/>
        </w:rPr>
        <w:t xml:space="preserve"> </w:t>
      </w:r>
      <w:r w:rsidR="00E87C78">
        <w:t>laboratory-developed test (</w:t>
      </w:r>
      <w:r w:rsidR="7897BC07" w:rsidRPr="006F1059">
        <w:t>LDT</w:t>
      </w:r>
      <w:r w:rsidR="00E87C78">
        <w:t>)</w:t>
      </w:r>
      <w:r w:rsidR="7897BC07" w:rsidRPr="006F1059">
        <w:t>, pooled</w:t>
      </w:r>
      <w:r w:rsidR="001C3113" w:rsidRPr="001C3113">
        <w:rPr>
          <w:i/>
        </w:rPr>
        <w:t xml:space="preserve"> </w:t>
      </w:r>
      <w:r w:rsidR="7897BC07" w:rsidRPr="006F1059">
        <w:t xml:space="preserve">LDT, and pooled Panther Fusion assays. The 95% </w:t>
      </w:r>
      <w:r w:rsidR="0047120E">
        <w:t>CIs</w:t>
      </w:r>
      <w:r w:rsidR="7897BC07" w:rsidRPr="006F1059">
        <w:t xml:space="preserve"> of slope</w:t>
      </w:r>
      <w:r w:rsidR="00F95362">
        <w:t xml:space="preserve">, </w:t>
      </w:r>
      <w:r w:rsidR="7897BC07" w:rsidRPr="006F1059">
        <w:t>intercept</w:t>
      </w:r>
      <w:r w:rsidR="00F95362">
        <w:t>, and bias</w:t>
      </w:r>
      <w:r w:rsidR="7897BC07" w:rsidRPr="006F1059">
        <w:t xml:space="preserve"> were calculated using a</w:t>
      </w:r>
      <w:r w:rsidR="00CC1209">
        <w:t>n</w:t>
      </w:r>
      <w:r w:rsidR="7897BC07" w:rsidRPr="006F1059">
        <w:t xml:space="preserve"> </w:t>
      </w:r>
      <w:r w:rsidR="00CC1209" w:rsidRPr="00CC1209">
        <w:t>ordinary non-parametric bootstrap resampling</w:t>
      </w:r>
      <w:r w:rsidR="00CC1209">
        <w:t xml:space="preserve"> </w:t>
      </w:r>
      <w:r w:rsidR="7897BC07" w:rsidRPr="006F1059">
        <w:t xml:space="preserve">method with default parameters in R package “mcr”. </w:t>
      </w:r>
      <w:r w:rsidR="00EA5440">
        <w:t>P</w:t>
      </w:r>
      <w:r w:rsidR="00E079A6" w:rsidRPr="006F1059">
        <w:t>aired t-tests were used to compare the mean differences between paired C</w:t>
      </w:r>
      <w:r w:rsidR="00E079A6" w:rsidRPr="006F1059">
        <w:rPr>
          <w:vertAlign w:val="subscript"/>
        </w:rPr>
        <w:t>t</w:t>
      </w:r>
      <w:r w:rsidR="00E079A6" w:rsidRPr="006F1059">
        <w:t xml:space="preserve"> values among different assays.</w:t>
      </w:r>
      <w:r w:rsidR="00F6646E" w:rsidRPr="006F1059">
        <w:t xml:space="preserve"> </w:t>
      </w:r>
      <w:r w:rsidR="00026BBB">
        <w:t xml:space="preserve">A student’s t-test was used to compare the mean difference between internal control </w:t>
      </w:r>
      <w:r w:rsidR="00026BBB">
        <w:rPr>
          <w:i/>
        </w:rPr>
        <w:t>RN</w:t>
      </w:r>
      <w:r w:rsidR="00C47EF1">
        <w:rPr>
          <w:i/>
        </w:rPr>
        <w:t>a</w:t>
      </w:r>
      <w:r w:rsidR="00026BBB">
        <w:rPr>
          <w:i/>
        </w:rPr>
        <w:t xml:space="preserve">se P </w:t>
      </w:r>
      <w:r w:rsidR="00943ED9" w:rsidRPr="006F1059">
        <w:t>C</w:t>
      </w:r>
      <w:r w:rsidR="00943ED9" w:rsidRPr="006F1059">
        <w:rPr>
          <w:vertAlign w:val="subscript"/>
        </w:rPr>
        <w:t>t</w:t>
      </w:r>
      <w:r w:rsidR="00026BBB">
        <w:t xml:space="preserve"> values</w:t>
      </w:r>
      <w:r w:rsidR="00EA5440">
        <w:t xml:space="preserve"> in false negative and true negative pools. All comparisons were two-sided with Type I error set at 0.05. </w:t>
      </w:r>
      <w:commentRangeStart w:id="3"/>
      <w:r w:rsidR="000E4350">
        <w:t xml:space="preserve">We used </w:t>
      </w:r>
      <w:r w:rsidR="009F6B9E">
        <w:t xml:space="preserve">the </w:t>
      </w:r>
      <w:r w:rsidR="000E4350" w:rsidRPr="006F1059">
        <w:t xml:space="preserve">laboratory-wide </w:t>
      </w:r>
      <w:r w:rsidR="000E4350">
        <w:t>C</w:t>
      </w:r>
      <w:r w:rsidR="000E4350" w:rsidRPr="00DF4098">
        <w:rPr>
          <w:vertAlign w:val="subscript"/>
        </w:rPr>
        <w:t>t</w:t>
      </w:r>
      <w:r w:rsidR="000E4350">
        <w:t xml:space="preserve"> value distribution </w:t>
      </w:r>
      <w:r w:rsidR="009F6B9E">
        <w:t xml:space="preserve">and a separate </w:t>
      </w:r>
      <w:proofErr w:type="spellStart"/>
      <w:r w:rsidR="009F6B9E">
        <w:t>LoD</w:t>
      </w:r>
      <w:proofErr w:type="spellEnd"/>
      <w:r w:rsidR="009F6B9E">
        <w:t xml:space="preserve"> experiment </w:t>
      </w:r>
      <w:r w:rsidR="000E4350">
        <w:t xml:space="preserve">to develop a stochastic simulation model to estimate PPA and efficiency for a two-stage pooled testing algorithm, </w:t>
      </w:r>
      <w:r w:rsidR="009F6B9E">
        <w:t>which was subsequently validated using the</w:t>
      </w:r>
      <w:r w:rsidR="000E4350">
        <w:t xml:space="preserve"> independent empiric pools of 8 and pools of 4 </w:t>
      </w:r>
      <w:r w:rsidR="00276D54">
        <w:t>data</w:t>
      </w:r>
      <w:r w:rsidR="000E4350">
        <w:t>, as well as in silico pools of 5 and pools of 3 data. The methods used to develop this model are described in the Technical Appendix</w:t>
      </w:r>
      <w:commentRangeEnd w:id="3"/>
      <w:r w:rsidR="006134E4">
        <w:rPr>
          <w:rStyle w:val="CommentReference"/>
        </w:rPr>
        <w:commentReference w:id="3"/>
      </w:r>
      <w:r w:rsidR="000E4350">
        <w:t xml:space="preserve">.  </w:t>
      </w:r>
    </w:p>
    <w:p w14:paraId="0DEDDE09" w14:textId="77777777" w:rsidR="004E7C8E" w:rsidRPr="00071C38" w:rsidRDefault="004E7C8E" w:rsidP="006E7F30">
      <w:pPr>
        <w:spacing w:line="480" w:lineRule="auto"/>
      </w:pPr>
    </w:p>
    <w:p w14:paraId="7A9979BE" w14:textId="2AA3B3C7" w:rsidR="007E2793" w:rsidRDefault="6412F46A" w:rsidP="00814D6B">
      <w:pPr>
        <w:spacing w:line="480" w:lineRule="auto"/>
        <w:rPr>
          <w:b/>
          <w:bCs/>
        </w:rPr>
      </w:pPr>
      <w:r w:rsidRPr="006F1059">
        <w:rPr>
          <w:b/>
          <w:bCs/>
        </w:rPr>
        <w:t>Results</w:t>
      </w:r>
    </w:p>
    <w:p w14:paraId="36478052" w14:textId="77777777" w:rsidR="00C71AAF" w:rsidRDefault="00C71AAF" w:rsidP="00814D6B">
      <w:pPr>
        <w:spacing w:line="480" w:lineRule="auto"/>
        <w:rPr>
          <w:b/>
          <w:bCs/>
        </w:rPr>
      </w:pPr>
    </w:p>
    <w:p w14:paraId="19231FA5" w14:textId="0AF71E04" w:rsidR="00814D6B" w:rsidRPr="00814D6B" w:rsidRDefault="00814D6B" w:rsidP="00814D6B">
      <w:pPr>
        <w:spacing w:line="480" w:lineRule="auto"/>
        <w:rPr>
          <w:bCs/>
        </w:rPr>
      </w:pPr>
      <w:r>
        <w:rPr>
          <w:bCs/>
        </w:rPr>
        <w:t>Assay Comparisons</w:t>
      </w:r>
      <w:r w:rsidR="003024BE">
        <w:rPr>
          <w:bCs/>
        </w:rPr>
        <w:t xml:space="preserve"> for Pools of </w:t>
      </w:r>
      <w:r w:rsidR="001214DA">
        <w:rPr>
          <w:bCs/>
        </w:rPr>
        <w:t>8</w:t>
      </w:r>
    </w:p>
    <w:p w14:paraId="3746D3AC" w14:textId="5E047DD9" w:rsidR="00C55F63" w:rsidRDefault="003024BE" w:rsidP="00CC00DA">
      <w:pPr>
        <w:spacing w:line="480" w:lineRule="auto"/>
        <w:ind w:firstLine="720"/>
      </w:pPr>
      <w:r>
        <w:t xml:space="preserve">To evaluate a pool size of </w:t>
      </w:r>
      <w:r w:rsidR="001214DA">
        <w:t>8</w:t>
      </w:r>
      <w:r>
        <w:t xml:space="preserve">, a </w:t>
      </w:r>
      <w:r w:rsidR="000D6F57">
        <w:t xml:space="preserve">total of 112 pools from 896 samples </w:t>
      </w:r>
      <w:r w:rsidR="000D6F57" w:rsidRPr="006F1059">
        <w:t xml:space="preserve">were </w:t>
      </w:r>
      <w:r w:rsidR="000D6F57">
        <w:t xml:space="preserve">each </w:t>
      </w:r>
      <w:r w:rsidR="000D6F57" w:rsidRPr="006F1059">
        <w:t xml:space="preserve">tested on three different </w:t>
      </w:r>
      <w:r w:rsidR="000D6F57">
        <w:t xml:space="preserve">NAAT </w:t>
      </w:r>
      <w:r w:rsidR="000D6F57" w:rsidRPr="006F1059">
        <w:t>platforms</w:t>
      </w:r>
      <w:r w:rsidR="000D6F57">
        <w:t xml:space="preserve"> (Table 1)</w:t>
      </w:r>
      <w:r w:rsidR="000D6F57" w:rsidRPr="006F1059">
        <w:t xml:space="preserve">. </w:t>
      </w:r>
      <w:r w:rsidR="00576DE8" w:rsidRPr="006F1059">
        <w:t>Two pools resulted as invalid, one on the Panther Fusion assay</w:t>
      </w:r>
      <w:r w:rsidR="00576DE8">
        <w:t xml:space="preserve"> (0.9%)</w:t>
      </w:r>
      <w:r w:rsidR="00576DE8" w:rsidRPr="006F1059">
        <w:t>, and one on the Panther Aptima assay</w:t>
      </w:r>
      <w:r w:rsidR="00576DE8">
        <w:t xml:space="preserve"> (0.9%</w:t>
      </w:r>
      <w:proofErr w:type="gramStart"/>
      <w:r w:rsidR="00576DE8">
        <w:t>)</w:t>
      </w:r>
      <w:r w:rsidR="00576DE8" w:rsidRPr="006F1059">
        <w:t>, and</w:t>
      </w:r>
      <w:proofErr w:type="gramEnd"/>
      <w:r w:rsidR="00576DE8" w:rsidRPr="006F1059">
        <w:t xml:space="preserve"> were excluded from subsequent analysis. All 16 individual samples in these two pools tested negative. The remaining 110 pools contained 880 individual samples. Four samples were tested in duplicate in two different pools with identical results.</w:t>
      </w:r>
      <w:r w:rsidR="006E7F30" w:rsidRPr="006E7F30">
        <w:t xml:space="preserve"> </w:t>
      </w:r>
      <w:r w:rsidR="00CC00DA">
        <w:t>Among the 880 individual samples, 5</w:t>
      </w:r>
      <w:r w:rsidR="00306D05">
        <w:t>8</w:t>
      </w:r>
      <w:r w:rsidR="00CC00DA">
        <w:t xml:space="preserve"> (6.</w:t>
      </w:r>
      <w:r w:rsidR="00306D05">
        <w:t>6</w:t>
      </w:r>
      <w:r w:rsidR="00CC00DA">
        <w:t>%) were positive, with a median C</w:t>
      </w:r>
      <w:r w:rsidR="00CC00DA" w:rsidRPr="00716A4B">
        <w:rPr>
          <w:vertAlign w:val="subscript"/>
        </w:rPr>
        <w:t>t</w:t>
      </w:r>
      <w:r w:rsidR="00CC00DA">
        <w:t xml:space="preserve"> value of 31.</w:t>
      </w:r>
      <w:r w:rsidR="00306D05">
        <w:t>4</w:t>
      </w:r>
      <w:r w:rsidR="00CC00DA">
        <w:t xml:space="preserve"> (IQR </w:t>
      </w:r>
      <w:r w:rsidR="00CC00DA" w:rsidRPr="00C55F63">
        <w:t>2</w:t>
      </w:r>
      <w:r w:rsidR="00306D05">
        <w:t>2</w:t>
      </w:r>
      <w:r w:rsidR="00CC00DA" w:rsidRPr="00C55F63">
        <w:t>.</w:t>
      </w:r>
      <w:r w:rsidR="00306D05">
        <w:t>1</w:t>
      </w:r>
      <w:r w:rsidR="00CC00DA" w:rsidRPr="00C55F63">
        <w:t>-35.</w:t>
      </w:r>
      <w:r w:rsidR="00306D05">
        <w:t>5</w:t>
      </w:r>
      <w:r w:rsidR="00CC00DA">
        <w:t xml:space="preserve">). </w:t>
      </w:r>
      <w:r w:rsidR="00492F59">
        <w:t>First-time diagnostic specimens had a higher median C</w:t>
      </w:r>
      <w:r w:rsidR="00492F59" w:rsidRPr="00716A4B">
        <w:rPr>
          <w:vertAlign w:val="subscript"/>
        </w:rPr>
        <w:t>t</w:t>
      </w:r>
      <w:r w:rsidR="00492F59">
        <w:t xml:space="preserve"> value than follow-up tests (Table 2). </w:t>
      </w:r>
      <w:r w:rsidR="00AC4712">
        <w:t xml:space="preserve">ROC </w:t>
      </w:r>
      <w:r w:rsidR="00C55F63">
        <w:t>curve analysis for the Panther Aptima revealed an optimal cutoff between 343 and 393 RLUs; a cutoff of 350 was chosen as the nearest round number (</w:t>
      </w:r>
      <w:r w:rsidR="00780683">
        <w:t xml:space="preserve">Panther Aptima-350, </w:t>
      </w:r>
      <w:r w:rsidR="00C55F63">
        <w:t>Appendix Table 1, Appendix Figure 1).</w:t>
      </w:r>
      <w:r w:rsidR="00C55F63" w:rsidRPr="00BD05EF">
        <w:t xml:space="preserve"> </w:t>
      </w:r>
    </w:p>
    <w:p w14:paraId="5861075F" w14:textId="6C81E191" w:rsidR="00814D6B" w:rsidRDefault="005927E8" w:rsidP="00CB337B">
      <w:pPr>
        <w:spacing w:line="480" w:lineRule="auto"/>
        <w:ind w:firstLine="720"/>
      </w:pPr>
      <w:r>
        <w:t>Among</w:t>
      </w:r>
      <w:r w:rsidR="5885873D" w:rsidRPr="006F1059">
        <w:t xml:space="preserve"> the tested </w:t>
      </w:r>
      <w:r>
        <w:t xml:space="preserve">pools of </w:t>
      </w:r>
      <w:r w:rsidR="001214DA">
        <w:t>8</w:t>
      </w:r>
      <w:r w:rsidR="5885873D" w:rsidRPr="006F1059">
        <w:t>, 4</w:t>
      </w:r>
      <w:r w:rsidR="00082E4F">
        <w:t>1.8</w:t>
      </w:r>
      <w:r w:rsidR="5885873D" w:rsidRPr="006F1059">
        <w:t>% (4</w:t>
      </w:r>
      <w:r w:rsidR="00082E4F">
        <w:t>6</w:t>
      </w:r>
      <w:r w:rsidR="5885873D" w:rsidRPr="006F1059">
        <w:t>/110) contained at least one positive sample. The positive pools were comprised of 3</w:t>
      </w:r>
      <w:r w:rsidR="00082E4F">
        <w:t>6</w:t>
      </w:r>
      <w:r w:rsidR="5885873D" w:rsidRPr="006F1059">
        <w:t xml:space="preserve"> pools with </w:t>
      </w:r>
      <w:r w:rsidR="001214DA">
        <w:t>1</w:t>
      </w:r>
      <w:r w:rsidR="5885873D" w:rsidRPr="006F1059">
        <w:t xml:space="preserve"> positive sample, 9 pools with </w:t>
      </w:r>
      <w:r w:rsidR="001214DA">
        <w:t>2</w:t>
      </w:r>
      <w:r w:rsidR="5885873D" w:rsidRPr="006F1059">
        <w:t xml:space="preserve"> positive samples, and 1 pool with </w:t>
      </w:r>
      <w:r w:rsidR="001214DA">
        <w:t>4</w:t>
      </w:r>
      <w:r w:rsidR="5885873D" w:rsidRPr="006F1059">
        <w:t xml:space="preserve"> positive samples (Table </w:t>
      </w:r>
      <w:r w:rsidR="00492F59">
        <w:t>3</w:t>
      </w:r>
      <w:r w:rsidR="5885873D" w:rsidRPr="006F1059">
        <w:t xml:space="preserve">). </w:t>
      </w:r>
      <w:commentRangeStart w:id="4"/>
      <w:r w:rsidR="5885873D" w:rsidRPr="006F1059">
        <w:t xml:space="preserve">There were 3 false positive pools, </w:t>
      </w:r>
      <w:r w:rsidR="00407DA1">
        <w:t>one</w:t>
      </w:r>
      <w:r w:rsidR="5885873D" w:rsidRPr="006F1059">
        <w:t xml:space="preserve"> on each platform, in which </w:t>
      </w:r>
      <w:r w:rsidR="007F2625">
        <w:t>each</w:t>
      </w:r>
      <w:r w:rsidR="5885873D" w:rsidRPr="006F1059">
        <w:t xml:space="preserve"> of the individual samples tested negative</w:t>
      </w:r>
      <w:commentRangeEnd w:id="4"/>
      <w:r w:rsidR="00EB6B54">
        <w:rPr>
          <w:rStyle w:val="CommentReference"/>
        </w:rPr>
        <w:commentReference w:id="4"/>
      </w:r>
      <w:r w:rsidR="5885873D" w:rsidRPr="006F1059">
        <w:t>.</w:t>
      </w:r>
      <w:r w:rsidR="005659C9" w:rsidRPr="006F1059">
        <w:t xml:space="preserve"> The overall </w:t>
      </w:r>
      <w:r w:rsidR="00404106">
        <w:t>PPA</w:t>
      </w:r>
      <w:r w:rsidR="005659C9" w:rsidRPr="006F1059">
        <w:t xml:space="preserve"> of pooled testing ranged from 7</w:t>
      </w:r>
      <w:r w:rsidR="00082E4F">
        <w:t>1.7</w:t>
      </w:r>
      <w:r w:rsidR="005659C9" w:rsidRPr="006F1059">
        <w:t>% to 8</w:t>
      </w:r>
      <w:r w:rsidR="00082E4F">
        <w:t>2.6</w:t>
      </w:r>
      <w:r w:rsidR="005659C9" w:rsidRPr="006F1059">
        <w:t xml:space="preserve">%, while </w:t>
      </w:r>
      <w:r w:rsidR="00404106">
        <w:t>NPA</w:t>
      </w:r>
      <w:r w:rsidR="005659C9" w:rsidRPr="006F1059">
        <w:t xml:space="preserve"> </w:t>
      </w:r>
      <w:r w:rsidR="005A4468">
        <w:t>ranged from</w:t>
      </w:r>
      <w:r w:rsidR="005659C9" w:rsidRPr="006F1059">
        <w:t xml:space="preserve"> 98.4% </w:t>
      </w:r>
      <w:r w:rsidR="005A4468">
        <w:t xml:space="preserve">to 100.0% </w:t>
      </w:r>
      <w:r w:rsidR="005659C9" w:rsidRPr="006F1059">
        <w:t xml:space="preserve">(Table </w:t>
      </w:r>
      <w:r w:rsidR="00492F59">
        <w:t>4</w:t>
      </w:r>
      <w:r w:rsidR="005659C9" w:rsidRPr="006F1059">
        <w:t>).</w:t>
      </w:r>
      <w:r w:rsidR="00454162">
        <w:t xml:space="preserve"> </w:t>
      </w:r>
      <w:r w:rsidR="00CB337B">
        <w:t>The 14 pools containing positive first-time diagnostic samples had higher PPA than the 28 pools containing positive follow-up tests by LDT (Appendix Table 3).</w:t>
      </w:r>
    </w:p>
    <w:p w14:paraId="0B999D39" w14:textId="5BE7C54D" w:rsidR="007E2793" w:rsidRPr="000D20BD" w:rsidRDefault="00814D6B" w:rsidP="000D20BD">
      <w:pPr>
        <w:spacing w:line="480" w:lineRule="auto"/>
        <w:ind w:firstLine="720"/>
        <w:rPr>
          <w:rFonts w:eastAsia="Arial"/>
        </w:rPr>
      </w:pPr>
      <w:r w:rsidRPr="006F1059">
        <w:rPr>
          <w:rFonts w:eastAsia="Arial"/>
        </w:rPr>
        <w:t>There were 1</w:t>
      </w:r>
      <w:r w:rsidR="00082E4F">
        <w:rPr>
          <w:rFonts w:eastAsia="Arial"/>
        </w:rPr>
        <w:t>6</w:t>
      </w:r>
      <w:r w:rsidRPr="006F1059">
        <w:rPr>
          <w:rFonts w:eastAsia="Arial"/>
        </w:rPr>
        <w:t xml:space="preserve"> total pools for which at least one method was falsely negative. </w:t>
      </w:r>
      <w:r>
        <w:rPr>
          <w:rFonts w:eastAsia="Arial"/>
        </w:rPr>
        <w:t>Except for the one pool containing four positive specimens, which was not detected by Panther Aptima</w:t>
      </w:r>
      <w:r w:rsidR="00E87C78">
        <w:rPr>
          <w:rFonts w:eastAsia="Arial"/>
        </w:rPr>
        <w:t xml:space="preserve"> using </w:t>
      </w:r>
      <w:r w:rsidR="00367038">
        <w:rPr>
          <w:rFonts w:eastAsia="Arial"/>
        </w:rPr>
        <w:t xml:space="preserve">the </w:t>
      </w:r>
      <w:r w:rsidR="00E87C78">
        <w:rPr>
          <w:rFonts w:eastAsia="Arial"/>
        </w:rPr>
        <w:t>manufacturer’s cutoff</w:t>
      </w:r>
      <w:r w:rsidR="00B75C89">
        <w:rPr>
          <w:rFonts w:eastAsia="Arial"/>
        </w:rPr>
        <w:t xml:space="preserve"> (Panther Aptima-M)</w:t>
      </w:r>
      <w:r>
        <w:rPr>
          <w:rFonts w:eastAsia="Arial"/>
        </w:rPr>
        <w:t>, the remaining 1</w:t>
      </w:r>
      <w:r w:rsidR="00082E4F">
        <w:rPr>
          <w:rFonts w:eastAsia="Arial"/>
        </w:rPr>
        <w:t>5</w:t>
      </w:r>
      <w:r>
        <w:rPr>
          <w:rFonts w:eastAsia="Arial"/>
        </w:rPr>
        <w:t xml:space="preserve"> false negative pools </w:t>
      </w:r>
      <w:r w:rsidR="00430D61">
        <w:rPr>
          <w:rFonts w:eastAsia="Arial"/>
        </w:rPr>
        <w:t xml:space="preserve">each </w:t>
      </w:r>
      <w:r>
        <w:rPr>
          <w:rFonts w:eastAsia="Arial"/>
        </w:rPr>
        <w:t>contained only a single positive specimen.</w:t>
      </w:r>
      <w:r w:rsidRPr="006F1059">
        <w:rPr>
          <w:rFonts w:eastAsia="Arial"/>
        </w:rPr>
        <w:t xml:space="preserve"> For all missed pools, the </w:t>
      </w:r>
      <w:r w:rsidRPr="006F1059">
        <w:t>C</w:t>
      </w:r>
      <w:r w:rsidRPr="006F1059">
        <w:rPr>
          <w:vertAlign w:val="subscript"/>
        </w:rPr>
        <w:t>t</w:t>
      </w:r>
      <w:r w:rsidRPr="006F1059">
        <w:rPr>
          <w:rFonts w:eastAsia="Arial"/>
        </w:rPr>
        <w:t xml:space="preserve"> value of the individual positive sample was greater than 34 cycles (median 3</w:t>
      </w:r>
      <w:r w:rsidR="00082E4F">
        <w:rPr>
          <w:rFonts w:eastAsia="Arial"/>
        </w:rPr>
        <w:t>6.6</w:t>
      </w:r>
      <w:r w:rsidRPr="006F1059">
        <w:rPr>
          <w:rFonts w:eastAsia="Arial"/>
        </w:rPr>
        <w:t>, IQR 35.</w:t>
      </w:r>
      <w:r w:rsidR="00082E4F">
        <w:rPr>
          <w:rFonts w:eastAsia="Arial"/>
        </w:rPr>
        <w:t>5</w:t>
      </w:r>
      <w:r w:rsidRPr="006F1059">
        <w:rPr>
          <w:rFonts w:eastAsia="Arial"/>
        </w:rPr>
        <w:t>-3</w:t>
      </w:r>
      <w:r w:rsidR="00082E4F">
        <w:rPr>
          <w:rFonts w:eastAsia="Arial"/>
        </w:rPr>
        <w:t>7.7</w:t>
      </w:r>
      <w:r w:rsidR="00694562">
        <w:rPr>
          <w:rFonts w:eastAsia="Arial"/>
        </w:rPr>
        <w:t>, Figure 1)</w:t>
      </w:r>
      <w:r w:rsidRPr="006F1059">
        <w:rPr>
          <w:rFonts w:eastAsia="Arial"/>
        </w:rPr>
        <w:t xml:space="preserve">. </w:t>
      </w:r>
      <w:r w:rsidR="000D20BD" w:rsidRPr="000D20BD">
        <w:rPr>
          <w:rFonts w:eastAsia="Arial"/>
        </w:rPr>
        <w:t>Among individual positive specimens in the pools of 8 dataset, 22 (37.9%) had C</w:t>
      </w:r>
      <w:r w:rsidR="000D20BD" w:rsidRPr="00F5368C">
        <w:rPr>
          <w:rFonts w:eastAsia="Arial"/>
          <w:vertAlign w:val="subscript"/>
        </w:rPr>
        <w:t>t</w:t>
      </w:r>
      <w:r w:rsidR="000D20BD" w:rsidRPr="000D20BD">
        <w:rPr>
          <w:rFonts w:eastAsia="Arial"/>
        </w:rPr>
        <w:t xml:space="preserve">&gt;34. For the LDT, Panther Fusion, Panther Aptima-M, and </w:t>
      </w:r>
      <w:r w:rsidR="000D20BD" w:rsidRPr="000D20BD">
        <w:rPr>
          <w:rFonts w:eastAsia="Arial"/>
        </w:rPr>
        <w:lastRenderedPageBreak/>
        <w:t xml:space="preserve">Panther Aptima-350, 13/22 (59.1%), 11/22 (50.0%), 15/22 (68%), and 8/22 (36.4%) were falsely negative. </w:t>
      </w:r>
      <w:r w:rsidRPr="006F1059">
        <w:t xml:space="preserve">Each of these </w:t>
      </w:r>
      <w:r w:rsidR="00A70749">
        <w:t xml:space="preserve">false negative </w:t>
      </w:r>
      <w:r w:rsidRPr="006F1059">
        <w:t xml:space="preserve">samples was collected from known symptomatic or convalescent patients being monitored for viral clearance; none were </w:t>
      </w:r>
      <w:r w:rsidR="005927E8">
        <w:t xml:space="preserve">initial </w:t>
      </w:r>
      <w:r w:rsidRPr="006F1059">
        <w:t>diagnostic specimens. The pooled</w:t>
      </w:r>
      <w:r w:rsidRPr="001C3113">
        <w:rPr>
          <w:i/>
        </w:rPr>
        <w:t xml:space="preserve"> </w:t>
      </w:r>
      <w:r w:rsidRPr="006F1059">
        <w:t xml:space="preserve">LDT </w:t>
      </w:r>
      <w:r w:rsidRPr="001C3113">
        <w:rPr>
          <w:i/>
        </w:rPr>
        <w:t>RN</w:t>
      </w:r>
      <w:r w:rsidR="005F694F">
        <w:rPr>
          <w:i/>
        </w:rPr>
        <w:t>a</w:t>
      </w:r>
      <w:r w:rsidRPr="001C3113">
        <w:rPr>
          <w:i/>
        </w:rPr>
        <w:t>se P</w:t>
      </w:r>
      <w:r w:rsidRPr="006F1059">
        <w:t xml:space="preserve"> internal control C</w:t>
      </w:r>
      <w:r w:rsidRPr="006F1059">
        <w:rPr>
          <w:vertAlign w:val="subscript"/>
        </w:rPr>
        <w:t>t</w:t>
      </w:r>
      <w:r w:rsidRPr="006F1059">
        <w:t xml:space="preserve"> values were similar in false negative (mean 23.5, 95% CI 22.</w:t>
      </w:r>
      <w:r w:rsidR="00624A91">
        <w:t>7</w:t>
      </w:r>
      <w:r w:rsidRPr="006F1059">
        <w:t>-24.</w:t>
      </w:r>
      <w:r w:rsidR="00624A91">
        <w:t>3</w:t>
      </w:r>
      <w:r w:rsidRPr="006F1059">
        <w:t>) and true negative (mean 23.4, 95% CI 2</w:t>
      </w:r>
      <w:r w:rsidR="004733B7">
        <w:t>2</w:t>
      </w:r>
      <w:r w:rsidRPr="006F1059">
        <w:t>.</w:t>
      </w:r>
      <w:r w:rsidR="004733B7">
        <w:t>7</w:t>
      </w:r>
      <w:r w:rsidRPr="006F1059">
        <w:t>-2</w:t>
      </w:r>
      <w:r w:rsidR="004733B7">
        <w:t>4.1</w:t>
      </w:r>
      <w:r w:rsidRPr="006F1059">
        <w:t>, p=0.</w:t>
      </w:r>
      <w:r w:rsidR="004733B7">
        <w:t>7</w:t>
      </w:r>
      <w:r w:rsidRPr="006F1059">
        <w:t>) pools.</w:t>
      </w:r>
    </w:p>
    <w:p w14:paraId="58354F4C" w14:textId="77777777" w:rsidR="00814D6B" w:rsidRDefault="00814D6B" w:rsidP="00814D6B">
      <w:pPr>
        <w:spacing w:line="480" w:lineRule="auto"/>
      </w:pPr>
    </w:p>
    <w:p w14:paraId="741E3A11" w14:textId="5561F4F5" w:rsidR="00814D6B" w:rsidRPr="006F1059" w:rsidRDefault="00814D6B" w:rsidP="00814D6B">
      <w:pPr>
        <w:spacing w:line="480" w:lineRule="auto"/>
      </w:pPr>
      <w:r>
        <w:t>Linearity Studies</w:t>
      </w:r>
      <w:r w:rsidR="008F2D69">
        <w:t xml:space="preserve"> for </w:t>
      </w:r>
      <w:r w:rsidR="003024BE">
        <w:t xml:space="preserve">Pools of </w:t>
      </w:r>
      <w:r w:rsidR="001214DA">
        <w:t>8</w:t>
      </w:r>
    </w:p>
    <w:p w14:paraId="6D9A5081" w14:textId="419C753E" w:rsidR="00D45642" w:rsidRDefault="00E674C6" w:rsidP="0026079D">
      <w:pPr>
        <w:spacing w:line="480" w:lineRule="auto"/>
        <w:ind w:firstLine="720"/>
      </w:pPr>
      <w:r w:rsidRPr="006F1059">
        <w:t>For pools containing only a single positive sample, t</w:t>
      </w:r>
      <w:r w:rsidR="0050286A" w:rsidRPr="006F1059">
        <w:t xml:space="preserve">he pooled </w:t>
      </w:r>
      <w:proofErr w:type="spellStart"/>
      <w:r w:rsidR="0050286A" w:rsidRPr="006F1059">
        <w:t>rRT</w:t>
      </w:r>
      <w:proofErr w:type="spellEnd"/>
      <w:r w:rsidR="0050286A" w:rsidRPr="006F1059">
        <w:t>-PCR assays showed positive system</w:t>
      </w:r>
      <w:r w:rsidR="002E7D13">
        <w:t>at</w:t>
      </w:r>
      <w:r w:rsidR="0050286A" w:rsidRPr="006F1059">
        <w:t xml:space="preserve">ic bias when compared to </w:t>
      </w:r>
      <w:r w:rsidRPr="006F1059">
        <w:t>the individual</w:t>
      </w:r>
      <w:r w:rsidR="001C3113" w:rsidRPr="001C3113">
        <w:rPr>
          <w:i/>
        </w:rPr>
        <w:t xml:space="preserve"> </w:t>
      </w:r>
      <w:r w:rsidRPr="006F1059">
        <w:t>LDT assay</w:t>
      </w:r>
      <w:r w:rsidR="008F4D34">
        <w:t>, as evidenced by the Passing-Bablok regression intercept value being greater than zero</w:t>
      </w:r>
      <w:r w:rsidRPr="006F1059">
        <w:t xml:space="preserve">. </w:t>
      </w:r>
      <w:r w:rsidR="0026079D">
        <w:t xml:space="preserve">Mean bias between pooled and individual </w:t>
      </w:r>
      <w:r w:rsidR="0026079D" w:rsidRPr="006F1059">
        <w:t>C</w:t>
      </w:r>
      <w:r w:rsidR="0026079D" w:rsidRPr="006F1059">
        <w:rPr>
          <w:vertAlign w:val="subscript"/>
        </w:rPr>
        <w:t>t</w:t>
      </w:r>
      <w:r w:rsidR="0026079D" w:rsidRPr="006F1059">
        <w:t xml:space="preserve"> </w:t>
      </w:r>
      <w:r w:rsidR="0026079D">
        <w:t xml:space="preserve">values was </w:t>
      </w:r>
      <w:r w:rsidR="0026079D" w:rsidRPr="006F1059">
        <w:t xml:space="preserve">3.4 cycles (95% limits of agreement 1.2-5.6, p&lt;0.001) </w:t>
      </w:r>
      <w:r w:rsidR="0026079D">
        <w:t xml:space="preserve">by LDT and </w:t>
      </w:r>
      <w:r w:rsidR="0026079D" w:rsidRPr="006F1059">
        <w:t xml:space="preserve">4.0 cycles (0.0-8.0, p&lt;0.001) </w:t>
      </w:r>
      <w:r w:rsidR="0026079D">
        <w:t xml:space="preserve">by Panther Fusion (Figure 2). </w:t>
      </w:r>
      <w:r w:rsidR="00E32768" w:rsidRPr="006F1059">
        <w:t>Panther Fusion showed negative proportional bias</w:t>
      </w:r>
      <w:r w:rsidR="009521FC" w:rsidRPr="009521FC">
        <w:t xml:space="preserve"> </w:t>
      </w:r>
      <w:r w:rsidR="009521FC" w:rsidRPr="006F1059">
        <w:t>when compared to both individual and pooled</w:t>
      </w:r>
      <w:r w:rsidR="009521FC" w:rsidRPr="001C3113">
        <w:rPr>
          <w:i/>
        </w:rPr>
        <w:t xml:space="preserve"> </w:t>
      </w:r>
      <w:r w:rsidR="009521FC" w:rsidRPr="006F1059">
        <w:t>LDT assays</w:t>
      </w:r>
      <w:r w:rsidR="009521FC">
        <w:t>, as evidenced by Passing-Bablok regression slopes with 95% confidence intervals that do not contain 1</w:t>
      </w:r>
      <w:r w:rsidR="00BC381A">
        <w:t>.</w:t>
      </w:r>
      <w:r w:rsidR="009521FC">
        <w:rPr>
          <w:rFonts w:eastAsia="Arial"/>
        </w:rPr>
        <w:t xml:space="preserve"> </w:t>
      </w:r>
      <w:r w:rsidR="00D45642">
        <w:t>This is additionally highlighted in the Bland-Altman plots, which demonstrate that at higher C</w:t>
      </w:r>
      <w:r w:rsidR="00D45642" w:rsidRPr="000A0FFD">
        <w:rPr>
          <w:vertAlign w:val="subscript"/>
        </w:rPr>
        <w:t>t</w:t>
      </w:r>
      <w:r w:rsidR="00D45642">
        <w:t xml:space="preserve"> values, Panther Fusion outperforms the LDT.</w:t>
      </w:r>
    </w:p>
    <w:p w14:paraId="4A3A57F9" w14:textId="77777777" w:rsidR="00D45642" w:rsidRPr="00886DB7" w:rsidRDefault="00D45642" w:rsidP="00D45642">
      <w:pPr>
        <w:spacing w:line="480" w:lineRule="auto"/>
        <w:rPr>
          <w:rFonts w:eastAsia="Arial"/>
        </w:rPr>
      </w:pPr>
    </w:p>
    <w:p w14:paraId="052707FD" w14:textId="4789B68D" w:rsidR="006E7F30" w:rsidRDefault="00814D6B" w:rsidP="008D1E44">
      <w:pPr>
        <w:spacing w:line="480" w:lineRule="auto"/>
      </w:pPr>
      <w:r>
        <w:rPr>
          <w:bCs/>
        </w:rPr>
        <w:t>Model</w:t>
      </w:r>
      <w:r w:rsidR="00F95362">
        <w:rPr>
          <w:bCs/>
        </w:rPr>
        <w:t xml:space="preserve"> </w:t>
      </w:r>
      <w:r w:rsidR="00273DD2">
        <w:rPr>
          <w:bCs/>
        </w:rPr>
        <w:t>Estimates</w:t>
      </w:r>
    </w:p>
    <w:p w14:paraId="7F2AE708" w14:textId="357469EB" w:rsidR="00367038" w:rsidRDefault="00DF24D1" w:rsidP="00814D6B">
      <w:pPr>
        <w:spacing w:line="480" w:lineRule="auto"/>
        <w:ind w:firstLine="720"/>
      </w:pPr>
      <w:r w:rsidRPr="00F929FF">
        <w:rPr>
          <w:highlight w:val="yellow"/>
        </w:rPr>
        <w:t xml:space="preserve">The </w:t>
      </w:r>
      <w:r w:rsidR="00477430" w:rsidRPr="00F929FF">
        <w:rPr>
          <w:highlight w:val="yellow"/>
        </w:rPr>
        <w:t xml:space="preserve">modeled </w:t>
      </w:r>
      <w:r w:rsidRPr="00F929FF">
        <w:rPr>
          <w:highlight w:val="yellow"/>
        </w:rPr>
        <w:t>PPA</w:t>
      </w:r>
      <w:r w:rsidR="00477430" w:rsidRPr="00F929FF">
        <w:rPr>
          <w:highlight w:val="yellow"/>
        </w:rPr>
        <w:t xml:space="preserve"> estimate</w:t>
      </w:r>
      <w:r w:rsidR="00B23FD0" w:rsidRPr="00F929FF">
        <w:rPr>
          <w:highlight w:val="yellow"/>
        </w:rPr>
        <w:t xml:space="preserve"> </w:t>
      </w:r>
      <w:r w:rsidR="00477430" w:rsidRPr="00F929FF">
        <w:rPr>
          <w:highlight w:val="yellow"/>
        </w:rPr>
        <w:t xml:space="preserve">is sensitive to the input parameters of 1) </w:t>
      </w:r>
      <w:r w:rsidR="00E85F79" w:rsidRPr="00F929FF">
        <w:rPr>
          <w:highlight w:val="yellow"/>
        </w:rPr>
        <w:t>proportion of positive tests</w:t>
      </w:r>
      <w:r w:rsidR="00477430" w:rsidRPr="00F929FF">
        <w:rPr>
          <w:highlight w:val="yellow"/>
        </w:rPr>
        <w:t xml:space="preserve">, 2) </w:t>
      </w:r>
      <w:r w:rsidR="00780683" w:rsidRPr="00F929FF">
        <w:rPr>
          <w:highlight w:val="yellow"/>
        </w:rPr>
        <w:t xml:space="preserve">assay </w:t>
      </w:r>
      <w:r w:rsidR="00477430" w:rsidRPr="00F929FF">
        <w:rPr>
          <w:highlight w:val="yellow"/>
        </w:rPr>
        <w:t>analytical sensitivity, and 3) viral load distribution</w:t>
      </w:r>
      <w:r w:rsidR="00EB30AA">
        <w:t xml:space="preserve">. </w:t>
      </w:r>
      <w:r w:rsidR="00E85F79">
        <w:t>The analytical sensitivity of the assay is approximated in this model by the C</w:t>
      </w:r>
      <w:r w:rsidR="00E85F79" w:rsidRPr="00DE700A">
        <w:rPr>
          <w:vertAlign w:val="subscript"/>
        </w:rPr>
        <w:t>t</w:t>
      </w:r>
      <w:r w:rsidR="00E85F79">
        <w:t xml:space="preserve"> value corresponding to the probability of detecting 95% of true positives, otherwise known as the 95% </w:t>
      </w:r>
      <w:proofErr w:type="spellStart"/>
      <w:r w:rsidR="007F2625">
        <w:t>LoD</w:t>
      </w:r>
      <w:proofErr w:type="spellEnd"/>
      <w:r w:rsidR="00E85F79">
        <w:t>.</w:t>
      </w:r>
      <w:r w:rsidR="0088033F">
        <w:t xml:space="preserve"> Specimens with C</w:t>
      </w:r>
      <w:r w:rsidR="0088033F" w:rsidRPr="000A0FFD">
        <w:rPr>
          <w:vertAlign w:val="subscript"/>
        </w:rPr>
        <w:t>t</w:t>
      </w:r>
      <w:r w:rsidR="0088033F">
        <w:t xml:space="preserve"> beyond the </w:t>
      </w:r>
      <w:proofErr w:type="spellStart"/>
      <w:r w:rsidR="0088033F">
        <w:t>LoD</w:t>
      </w:r>
      <w:proofErr w:type="spellEnd"/>
      <w:r w:rsidR="0088033F">
        <w:t xml:space="preserve"> are assigned a decreasing probability of detection based on a probit regression curve, the shape of which was determined in the initial validation of the LDT assay (Appendix Figure 5). </w:t>
      </w:r>
      <w:r w:rsidR="00EB30AA">
        <w:t>The viral load distribution of the tested population is approximated in this model by the proportion of samples with C</w:t>
      </w:r>
      <w:r w:rsidR="00EB30AA" w:rsidRPr="000A0FFD">
        <w:rPr>
          <w:vertAlign w:val="subscript"/>
        </w:rPr>
        <w:t>t</w:t>
      </w:r>
      <w:r w:rsidR="00EB30AA">
        <w:t xml:space="preserve"> greater </w:t>
      </w:r>
      <w:r w:rsidR="00EB30AA">
        <w:lastRenderedPageBreak/>
        <w:t xml:space="preserve">than the </w:t>
      </w:r>
      <w:proofErr w:type="spellStart"/>
      <w:r w:rsidR="00EB30AA">
        <w:t>LoD</w:t>
      </w:r>
      <w:proofErr w:type="spellEnd"/>
      <w:r w:rsidR="00EB30AA">
        <w:t xml:space="preserve">. This </w:t>
      </w:r>
      <w:r w:rsidR="003C6BE8">
        <w:t>makes</w:t>
      </w:r>
      <w:r w:rsidR="00EB30AA">
        <w:t xml:space="preserve"> the model output independent of the actual </w:t>
      </w:r>
      <w:proofErr w:type="spellStart"/>
      <w:r w:rsidR="00EB30AA">
        <w:t>LoD</w:t>
      </w:r>
      <w:proofErr w:type="spellEnd"/>
      <w:r w:rsidR="00EB30AA">
        <w:t xml:space="preserve"> </w:t>
      </w:r>
      <w:r w:rsidR="003C6BE8">
        <w:t>C</w:t>
      </w:r>
      <w:r w:rsidR="003C6BE8" w:rsidRPr="00DE700A">
        <w:rPr>
          <w:vertAlign w:val="subscript"/>
        </w:rPr>
        <w:t xml:space="preserve">t </w:t>
      </w:r>
      <w:r w:rsidR="00EB30AA">
        <w:t xml:space="preserve">value itself, allowing for the model to be used across different </w:t>
      </w:r>
      <w:proofErr w:type="spellStart"/>
      <w:r w:rsidR="00EB30AA">
        <w:t>rRT</w:t>
      </w:r>
      <w:proofErr w:type="spellEnd"/>
      <w:r w:rsidR="00EB30AA">
        <w:t>-PCR assays.</w:t>
      </w:r>
    </w:p>
    <w:p w14:paraId="3A2FB40F" w14:textId="5A0874A0" w:rsidR="004903BA" w:rsidRDefault="00E81D00" w:rsidP="00250024">
      <w:pPr>
        <w:spacing w:line="480" w:lineRule="auto"/>
        <w:ind w:firstLine="720"/>
      </w:pPr>
      <w:r w:rsidRPr="00200D5D">
        <w:rPr>
          <w:highlight w:val="yellow"/>
        </w:rPr>
        <w:t xml:space="preserve">If the assay analytical sensitivity is kept constant, but the </w:t>
      </w:r>
      <w:r w:rsidR="003C6BE8" w:rsidRPr="00200D5D">
        <w:rPr>
          <w:highlight w:val="yellow"/>
        </w:rPr>
        <w:t>tested</w:t>
      </w:r>
      <w:r w:rsidRPr="00200D5D">
        <w:rPr>
          <w:highlight w:val="yellow"/>
        </w:rPr>
        <w:t xml:space="preserve"> population changes such that a greater proportion have a C</w:t>
      </w:r>
      <w:r w:rsidRPr="00200D5D">
        <w:rPr>
          <w:highlight w:val="yellow"/>
          <w:vertAlign w:val="subscript"/>
        </w:rPr>
        <w:t>t</w:t>
      </w:r>
      <w:r w:rsidRPr="00200D5D">
        <w:rPr>
          <w:highlight w:val="yellow"/>
        </w:rPr>
        <w:t xml:space="preserve"> value beyond the 95% </w:t>
      </w:r>
      <w:proofErr w:type="spellStart"/>
      <w:r w:rsidRPr="00200D5D">
        <w:rPr>
          <w:highlight w:val="yellow"/>
        </w:rPr>
        <w:t>LoD</w:t>
      </w:r>
      <w:proofErr w:type="spellEnd"/>
      <w:r w:rsidRPr="00200D5D">
        <w:rPr>
          <w:highlight w:val="yellow"/>
        </w:rPr>
        <w:t>, PPA decreases</w:t>
      </w:r>
      <w:r w:rsidR="00367038" w:rsidRPr="00200D5D">
        <w:rPr>
          <w:highlight w:val="yellow"/>
        </w:rPr>
        <w:t xml:space="preserve"> (Figure 3A). Conversely, if the patient population is kept constant, but assay analytical sensitivity increases (</w:t>
      </w:r>
      <w:proofErr w:type="spellStart"/>
      <w:r w:rsidR="00367038" w:rsidRPr="00200D5D">
        <w:rPr>
          <w:highlight w:val="yellow"/>
        </w:rPr>
        <w:t>ie</w:t>
      </w:r>
      <w:proofErr w:type="spellEnd"/>
      <w:r w:rsidR="00367038" w:rsidRPr="00200D5D">
        <w:rPr>
          <w:highlight w:val="yellow"/>
        </w:rPr>
        <w:t>. moving from lower C</w:t>
      </w:r>
      <w:r w:rsidR="00367038" w:rsidRPr="00200D5D">
        <w:rPr>
          <w:highlight w:val="yellow"/>
          <w:vertAlign w:val="subscript"/>
        </w:rPr>
        <w:t>t</w:t>
      </w:r>
      <w:r w:rsidR="00367038" w:rsidRPr="00200D5D">
        <w:rPr>
          <w:highlight w:val="yellow"/>
        </w:rPr>
        <w:t xml:space="preserve"> </w:t>
      </w:r>
      <w:proofErr w:type="spellStart"/>
      <w:r w:rsidR="00367038" w:rsidRPr="00200D5D">
        <w:rPr>
          <w:highlight w:val="yellow"/>
        </w:rPr>
        <w:t>LoD</w:t>
      </w:r>
      <w:proofErr w:type="spellEnd"/>
      <w:r w:rsidR="00367038" w:rsidRPr="00200D5D">
        <w:rPr>
          <w:highlight w:val="yellow"/>
        </w:rPr>
        <w:t xml:space="preserve"> to higher C</w:t>
      </w:r>
      <w:r w:rsidR="00367038" w:rsidRPr="00200D5D">
        <w:rPr>
          <w:highlight w:val="yellow"/>
          <w:vertAlign w:val="subscript"/>
        </w:rPr>
        <w:t>t</w:t>
      </w:r>
      <w:r w:rsidR="00367038" w:rsidRPr="00200D5D">
        <w:rPr>
          <w:highlight w:val="yellow"/>
        </w:rPr>
        <w:t xml:space="preserve"> </w:t>
      </w:r>
      <w:proofErr w:type="spellStart"/>
      <w:r w:rsidR="00367038" w:rsidRPr="00200D5D">
        <w:rPr>
          <w:highlight w:val="yellow"/>
        </w:rPr>
        <w:t>LoD</w:t>
      </w:r>
      <w:proofErr w:type="spellEnd"/>
      <w:r w:rsidR="00367038" w:rsidRPr="00200D5D">
        <w:rPr>
          <w:highlight w:val="yellow"/>
        </w:rPr>
        <w:t xml:space="preserve">), </w:t>
      </w:r>
      <w:r w:rsidR="00B53FDF" w:rsidRPr="00200D5D">
        <w:rPr>
          <w:highlight w:val="yellow"/>
        </w:rPr>
        <w:t xml:space="preserve">PPA increases (Figure 4A). However, if </w:t>
      </w:r>
      <w:r w:rsidR="003C6BE8" w:rsidRPr="00200D5D">
        <w:rPr>
          <w:highlight w:val="yellow"/>
        </w:rPr>
        <w:t>assay analytical sensitivity changes while the tested population shifts accordingly such that it retains the same proportion C</w:t>
      </w:r>
      <w:r w:rsidR="003C6BE8" w:rsidRPr="00200D5D">
        <w:rPr>
          <w:highlight w:val="yellow"/>
          <w:vertAlign w:val="subscript"/>
        </w:rPr>
        <w:t xml:space="preserve">t </w:t>
      </w:r>
      <w:r w:rsidR="003C6BE8" w:rsidRPr="00200D5D">
        <w:rPr>
          <w:highlight w:val="yellow"/>
        </w:rPr>
        <w:t xml:space="preserve">&gt; </w:t>
      </w:r>
      <w:proofErr w:type="spellStart"/>
      <w:r w:rsidR="003C6BE8" w:rsidRPr="00200D5D">
        <w:rPr>
          <w:highlight w:val="yellow"/>
        </w:rPr>
        <w:t>LoD</w:t>
      </w:r>
      <w:proofErr w:type="spellEnd"/>
      <w:r w:rsidR="003C6BE8" w:rsidRPr="00200D5D">
        <w:rPr>
          <w:highlight w:val="yellow"/>
        </w:rPr>
        <w:t xml:space="preserve">, then the PPA </w:t>
      </w:r>
      <w:r w:rsidR="009855E8" w:rsidRPr="00200D5D">
        <w:rPr>
          <w:highlight w:val="yellow"/>
        </w:rPr>
        <w:t>stays</w:t>
      </w:r>
      <w:r w:rsidR="003C6BE8" w:rsidRPr="00200D5D">
        <w:rPr>
          <w:highlight w:val="yellow"/>
        </w:rPr>
        <w:t xml:space="preserve"> constant (Appendix Figure 6).</w:t>
      </w:r>
      <w:r w:rsidR="000A4363" w:rsidRPr="00200D5D">
        <w:rPr>
          <w:highlight w:val="yellow"/>
        </w:rPr>
        <w:t xml:space="preserve"> In contrast,</w:t>
      </w:r>
      <w:r w:rsidR="00EB6385" w:rsidRPr="00200D5D">
        <w:rPr>
          <w:highlight w:val="yellow"/>
        </w:rPr>
        <w:t xml:space="preserve"> the average expected tests per sample is almost entirely determined by pool size and prevalence, whereas analytical sensitivity (</w:t>
      </w:r>
      <w:proofErr w:type="spellStart"/>
      <w:r w:rsidR="00EB6385" w:rsidRPr="00200D5D">
        <w:rPr>
          <w:highlight w:val="yellow"/>
        </w:rPr>
        <w:t>LoD</w:t>
      </w:r>
      <w:proofErr w:type="spellEnd"/>
      <w:r w:rsidR="00EB6385" w:rsidRPr="00200D5D">
        <w:rPr>
          <w:highlight w:val="yellow"/>
        </w:rPr>
        <w:t xml:space="preserve"> C</w:t>
      </w:r>
      <w:r w:rsidR="00EB6385" w:rsidRPr="00200D5D">
        <w:rPr>
          <w:highlight w:val="yellow"/>
          <w:vertAlign w:val="subscript"/>
        </w:rPr>
        <w:t>t</w:t>
      </w:r>
      <w:r w:rsidR="00EB6385" w:rsidRPr="00200D5D">
        <w:rPr>
          <w:highlight w:val="yellow"/>
        </w:rPr>
        <w:t>) and the underlying C</w:t>
      </w:r>
      <w:r w:rsidR="00EB6385" w:rsidRPr="00200D5D">
        <w:rPr>
          <w:highlight w:val="yellow"/>
          <w:vertAlign w:val="subscript"/>
        </w:rPr>
        <w:t>t</w:t>
      </w:r>
      <w:r w:rsidR="00EB6385" w:rsidRPr="00200D5D">
        <w:rPr>
          <w:highlight w:val="yellow"/>
        </w:rPr>
        <w:t xml:space="preserve"> distribution minimally impact efficiency due to small absolute numbers of false positive pools </w:t>
      </w:r>
      <w:r w:rsidR="000A4363" w:rsidRPr="00200D5D">
        <w:rPr>
          <w:highlight w:val="yellow"/>
        </w:rPr>
        <w:t>(Figures 3B, 4B)</w:t>
      </w:r>
      <w:r w:rsidR="00250024" w:rsidRPr="00200D5D">
        <w:rPr>
          <w:highlight w:val="yellow"/>
        </w:rPr>
        <w:t xml:space="preserve">. </w:t>
      </w:r>
      <w:r w:rsidR="004903BA" w:rsidRPr="00200D5D">
        <w:rPr>
          <w:highlight w:val="yellow"/>
        </w:rPr>
        <w:t xml:space="preserve">To achieve a 5% absolute difference in efficiency with an increase in </w:t>
      </w:r>
      <w:proofErr w:type="spellStart"/>
      <w:r w:rsidR="004903BA" w:rsidRPr="00200D5D">
        <w:rPr>
          <w:highlight w:val="yellow"/>
        </w:rPr>
        <w:t>LoD</w:t>
      </w:r>
      <w:proofErr w:type="spellEnd"/>
      <w:r w:rsidR="004903BA" w:rsidRPr="00200D5D">
        <w:rPr>
          <w:highlight w:val="yellow"/>
        </w:rPr>
        <w:t xml:space="preserve"> C</w:t>
      </w:r>
      <w:r w:rsidR="004903BA" w:rsidRPr="00200D5D">
        <w:rPr>
          <w:highlight w:val="yellow"/>
          <w:vertAlign w:val="subscript"/>
        </w:rPr>
        <w:t xml:space="preserve">t </w:t>
      </w:r>
      <w:r w:rsidR="004903BA" w:rsidRPr="00200D5D">
        <w:rPr>
          <w:highlight w:val="yellow"/>
        </w:rPr>
        <w:t>from 32 to 40, a prevalence of 25% would be required.</w:t>
      </w:r>
    </w:p>
    <w:p w14:paraId="4586DA8A" w14:textId="00FFD267" w:rsidR="00DF24D1" w:rsidRDefault="00250024" w:rsidP="0029207B">
      <w:pPr>
        <w:spacing w:line="480" w:lineRule="auto"/>
        <w:ind w:firstLine="720"/>
      </w:pPr>
      <w:r>
        <w:t xml:space="preserve">Both PPA and tests per sample are highly dependent on pool size and prevalence of infection. As prevalence increases, PPA can counterintuitively increase with larger pool sizes as there is a greater likelihood of having more than one positive sample in a given pool, which would be expected to </w:t>
      </w:r>
      <w:r w:rsidR="007F2625">
        <w:t>increase PPA.</w:t>
      </w:r>
      <w:r>
        <w:t xml:space="preserve"> Similarly, test efficiency can decrease with larger pool sizes </w:t>
      </w:r>
      <w:r w:rsidR="007F2625">
        <w:t xml:space="preserve">as the likelihood of deconvoluting </w:t>
      </w:r>
      <w:r w:rsidR="0029207B">
        <w:t>a positive pool increases.</w:t>
      </w:r>
      <w:r w:rsidR="00D05C92">
        <w:rPr>
          <w:rFonts w:cs="Arial"/>
          <w:bCs/>
        </w:rPr>
        <w:t xml:space="preserve"> </w:t>
      </w:r>
      <w:r w:rsidR="001E6EA0">
        <w:t xml:space="preserve">Estimated PPA and average tests per sample for inputs of percentage of positive tests 0.1%-15.0% and proportion of samples with Ct value above </w:t>
      </w:r>
      <w:proofErr w:type="spellStart"/>
      <w:r w:rsidR="001E6EA0">
        <w:t>LoD</w:t>
      </w:r>
      <w:proofErr w:type="spellEnd"/>
      <w:r w:rsidR="001E6EA0">
        <w:t xml:space="preserve"> ranging from 5%-30% are available in Appendix Table </w:t>
      </w:r>
      <w:r w:rsidR="00C6158A">
        <w:t>4</w:t>
      </w:r>
      <w:r w:rsidR="001E6EA0">
        <w:t>.</w:t>
      </w:r>
    </w:p>
    <w:p w14:paraId="32046DEB" w14:textId="0FBA8F14" w:rsidR="000778F3" w:rsidRDefault="000778F3" w:rsidP="000778F3">
      <w:pPr>
        <w:spacing w:line="480" w:lineRule="auto"/>
      </w:pPr>
    </w:p>
    <w:p w14:paraId="030F9FFA" w14:textId="666EB3CD" w:rsidR="000778F3" w:rsidRDefault="000778F3" w:rsidP="000778F3">
      <w:pPr>
        <w:spacing w:line="480" w:lineRule="auto"/>
      </w:pPr>
      <w:r>
        <w:t>Model Sensitivity Analyses and Validation</w:t>
      </w:r>
    </w:p>
    <w:p w14:paraId="2306AB8B" w14:textId="4A6946CF" w:rsidR="00814D6B" w:rsidRDefault="0029207B" w:rsidP="00E17427">
      <w:pPr>
        <w:spacing w:line="480" w:lineRule="auto"/>
        <w:ind w:firstLine="720"/>
      </w:pPr>
      <w:r>
        <w:t xml:space="preserve">One-way deterministic </w:t>
      </w:r>
      <w:r w:rsidR="00456751">
        <w:t xml:space="preserve">and </w:t>
      </w:r>
      <w:r>
        <w:t xml:space="preserve">probabilistic sensitivity </w:t>
      </w:r>
      <w:r w:rsidR="00456751">
        <w:t xml:space="preserve">analyses </w:t>
      </w:r>
      <w:r>
        <w:t xml:space="preserve">incorporating uncertainty </w:t>
      </w:r>
      <w:r w:rsidR="007F2625">
        <w:t>in</w:t>
      </w:r>
      <w:r>
        <w:t xml:space="preserve"> the underlying model assumptions of dilutional effect and probit regression shape </w:t>
      </w:r>
      <w:r w:rsidR="00456751">
        <w:t>demonstrate</w:t>
      </w:r>
      <w:r>
        <w:t xml:space="preserve"> a moderate </w:t>
      </w:r>
      <w:r w:rsidR="00456751">
        <w:t>(</w:t>
      </w:r>
      <w:r w:rsidR="007F2625" w:rsidRPr="007F2625">
        <w:t>±</w:t>
      </w:r>
      <w:r w:rsidR="00456751">
        <w:t>2-7%) impact upon PPA, which is more pronounced with larger pool sizes and proportion of C</w:t>
      </w:r>
      <w:r w:rsidR="00456751" w:rsidRPr="000A0FFD">
        <w:rPr>
          <w:vertAlign w:val="subscript"/>
        </w:rPr>
        <w:t>t</w:t>
      </w:r>
      <w:r w:rsidR="00456751">
        <w:t xml:space="preserve"> values above the </w:t>
      </w:r>
      <w:proofErr w:type="spellStart"/>
      <w:r w:rsidR="00456751">
        <w:t>LoD</w:t>
      </w:r>
      <w:proofErr w:type="spellEnd"/>
      <w:r w:rsidR="00456751">
        <w:t xml:space="preserve"> (Appendix Figure 7A</w:t>
      </w:r>
      <w:r w:rsidR="007303F8">
        <w:t>, 7</w:t>
      </w:r>
      <w:r w:rsidR="00456751">
        <w:t xml:space="preserve">B). In contrast, these parameters have a much smaller </w:t>
      </w:r>
      <w:r w:rsidR="00456751">
        <w:lastRenderedPageBreak/>
        <w:t>impact on testing efficiency (Appendix Figure 8A</w:t>
      </w:r>
      <w:r w:rsidR="007303F8">
        <w:t>, 8</w:t>
      </w:r>
      <w:r w:rsidR="00456751">
        <w:t>B).</w:t>
      </w:r>
      <w:r w:rsidR="00CB337B">
        <w:t xml:space="preserve"> The 95% confidence intervals for the empirically determined and modeled PPAs overlapped </w:t>
      </w:r>
      <w:r w:rsidR="00E17427">
        <w:t xml:space="preserve">for the majority of the evaluated empiric datasets, although it overestimated PPA for the LDT follow-up tests only subset (Figure 5). </w:t>
      </w:r>
      <w:r w:rsidR="00C43C79">
        <w:t xml:space="preserve">For the </w:t>
      </w:r>
      <w:proofErr w:type="gramStart"/>
      <w:r w:rsidR="00C43C79">
        <w:t>in silico</w:t>
      </w:r>
      <w:proofErr w:type="gramEnd"/>
      <w:r w:rsidR="00C43C79">
        <w:t xml:space="preserve"> validation data, the modeled PPA was similar for pool sizes of 5 and 3, despite in silico data </w:t>
      </w:r>
      <w:r w:rsidR="00072B16">
        <w:t xml:space="preserve">analysis </w:t>
      </w:r>
      <w:r w:rsidR="00C43C79">
        <w:t xml:space="preserve">predicting a higher PPA for pools of 3. Modeled testing efficiency was actually slightly higher for pools of 3 than pools of 5, likely due to the high prevalence of 19.1% in this dataset (Appendix Table </w:t>
      </w:r>
      <w:r w:rsidR="00E17427">
        <w:t>3</w:t>
      </w:r>
      <w:r w:rsidR="00C43C79">
        <w:t>).</w:t>
      </w:r>
    </w:p>
    <w:p w14:paraId="3C0C9A4F" w14:textId="77777777" w:rsidR="00814D6B" w:rsidRPr="00814D6B" w:rsidRDefault="00814D6B" w:rsidP="006F6BA7">
      <w:pPr>
        <w:spacing w:line="480" w:lineRule="auto"/>
      </w:pPr>
    </w:p>
    <w:p w14:paraId="51231F84" w14:textId="2E916F96" w:rsidR="00CD510E" w:rsidRPr="006F1059" w:rsidRDefault="001A4045" w:rsidP="00814D6B">
      <w:pPr>
        <w:spacing w:line="480" w:lineRule="auto"/>
        <w:rPr>
          <w:b/>
        </w:rPr>
      </w:pPr>
      <w:r w:rsidRPr="006F1059">
        <w:rPr>
          <w:b/>
        </w:rPr>
        <w:t>Discussion</w:t>
      </w:r>
    </w:p>
    <w:p w14:paraId="316D60F9" w14:textId="7D012FEA" w:rsidR="00EF1604" w:rsidRDefault="002B3F0F">
      <w:pPr>
        <w:spacing w:line="480" w:lineRule="auto"/>
        <w:ind w:firstLine="720"/>
      </w:pPr>
      <w:r>
        <w:t>In this study</w:t>
      </w:r>
      <w:r w:rsidR="00CD6578">
        <w:t xml:space="preserve">, </w:t>
      </w:r>
      <w:r w:rsidR="00C43C79">
        <w:t xml:space="preserve">over 1600 </w:t>
      </w:r>
      <w:r w:rsidR="00CD6578">
        <w:t xml:space="preserve">samples </w:t>
      </w:r>
      <w:r w:rsidR="00201B08">
        <w:t>were tested in pool</w:t>
      </w:r>
      <w:r w:rsidR="00C43C79">
        <w:t xml:space="preserve"> sizes of 8 and 4 </w:t>
      </w:r>
      <w:r w:rsidR="00CD6578">
        <w:t xml:space="preserve">by three different SARS-CoV-2 </w:t>
      </w:r>
      <w:r w:rsidR="00934D34">
        <w:t>platforms</w:t>
      </w:r>
      <w:r>
        <w:t xml:space="preserve">, </w:t>
      </w:r>
      <w:r w:rsidR="00934D34">
        <w:t>with</w:t>
      </w:r>
      <w:r w:rsidR="00CD6578">
        <w:t xml:space="preserve"> pooled testing </w:t>
      </w:r>
      <w:r w:rsidR="00934D34">
        <w:t>demonstrating</w:t>
      </w:r>
      <w:r w:rsidR="00CD6578">
        <w:t xml:space="preserve"> </w:t>
      </w:r>
      <w:r w:rsidR="00934D34">
        <w:t>diminished</w:t>
      </w:r>
      <w:r w:rsidR="00CD6578">
        <w:t xml:space="preserve"> positive percent agreement </w:t>
      </w:r>
      <w:r w:rsidR="00934D34">
        <w:t xml:space="preserve">relative </w:t>
      </w:r>
      <w:r w:rsidR="00CD6578">
        <w:t>to individual samples. F</w:t>
      </w:r>
      <w:r w:rsidR="00916AC5">
        <w:t xml:space="preserve">alse negative </w:t>
      </w:r>
      <w:r w:rsidR="00CD6578">
        <w:t>results</w:t>
      </w:r>
      <w:r w:rsidR="00916AC5">
        <w:t xml:space="preserve"> occurred</w:t>
      </w:r>
      <w:r w:rsidR="00513237" w:rsidRPr="006F1059">
        <w:t xml:space="preserve"> exclusively in pools containing samples with low </w:t>
      </w:r>
      <w:r>
        <w:t xml:space="preserve">estimated </w:t>
      </w:r>
      <w:r w:rsidR="00513237" w:rsidRPr="006F1059">
        <w:t>viral load (C</w:t>
      </w:r>
      <w:r w:rsidR="00513237" w:rsidRPr="006F1059">
        <w:rPr>
          <w:vertAlign w:val="subscript"/>
        </w:rPr>
        <w:t>t</w:t>
      </w:r>
      <w:r w:rsidR="00513237" w:rsidRPr="006F1059">
        <w:t xml:space="preserve"> value</w:t>
      </w:r>
      <w:r w:rsidR="001509C4" w:rsidRPr="006F1059">
        <w:t xml:space="preserve"> &gt;34). </w:t>
      </w:r>
      <w:r w:rsidR="00324FC2">
        <w:t xml:space="preserve">Overlapping confidence intervals </w:t>
      </w:r>
      <w:r w:rsidR="002260B9">
        <w:t>in</w:t>
      </w:r>
      <w:r w:rsidR="00324FC2">
        <w:t xml:space="preserve"> PPA and NPA </w:t>
      </w:r>
      <w:r w:rsidR="00932801">
        <w:t xml:space="preserve">at each pool size </w:t>
      </w:r>
      <w:r w:rsidR="002260B9">
        <w:t>suggest that the lower test performance is inherent to the pooling process itself rather than the assay</w:t>
      </w:r>
      <w:r w:rsidR="00324FC2">
        <w:t xml:space="preserve">. </w:t>
      </w:r>
      <w:r w:rsidR="0070350F" w:rsidRPr="006F1059">
        <w:t>While Panther Fusion C</w:t>
      </w:r>
      <w:r w:rsidR="0070350F" w:rsidRPr="006F1059">
        <w:rPr>
          <w:vertAlign w:val="subscript"/>
        </w:rPr>
        <w:t>t</w:t>
      </w:r>
      <w:r w:rsidR="0070350F" w:rsidRPr="006F1059">
        <w:t xml:space="preserve"> values were on average higher than those of</w:t>
      </w:r>
      <w:r w:rsidR="001C3113" w:rsidRPr="001C3113">
        <w:rPr>
          <w:i/>
        </w:rPr>
        <w:t xml:space="preserve"> </w:t>
      </w:r>
      <w:r w:rsidR="0006546B">
        <w:t>the</w:t>
      </w:r>
      <w:r w:rsidR="0070350F" w:rsidRPr="006F1059">
        <w:t xml:space="preserve"> LDT, the negative proportional bias </w:t>
      </w:r>
      <w:r w:rsidR="00886DB7">
        <w:t>suggests</w:t>
      </w:r>
      <w:r w:rsidR="0070350F" w:rsidRPr="006F1059">
        <w:t xml:space="preserve"> that at very low </w:t>
      </w:r>
      <w:r w:rsidR="00324FC2">
        <w:t xml:space="preserve">estimated </w:t>
      </w:r>
      <w:r w:rsidR="0070350F" w:rsidRPr="006F1059">
        <w:t>viral loads (C</w:t>
      </w:r>
      <w:r w:rsidR="0070350F" w:rsidRPr="006F1059">
        <w:rPr>
          <w:vertAlign w:val="subscript"/>
        </w:rPr>
        <w:t>t</w:t>
      </w:r>
      <w:r w:rsidR="0070350F" w:rsidRPr="006F1059">
        <w:t xml:space="preserve"> &gt;36), the Panther Fusion outperformed the</w:t>
      </w:r>
      <w:r w:rsidR="001C3113" w:rsidRPr="001C3113">
        <w:rPr>
          <w:i/>
        </w:rPr>
        <w:t xml:space="preserve"> </w:t>
      </w:r>
      <w:r w:rsidR="005756A0">
        <w:t xml:space="preserve">LDT. </w:t>
      </w:r>
      <w:r w:rsidR="0024735C">
        <w:t>This may be due to the different targets of amplification (</w:t>
      </w:r>
      <w:r w:rsidR="0024735C" w:rsidRPr="00916AC5">
        <w:rPr>
          <w:i/>
        </w:rPr>
        <w:t>E</w:t>
      </w:r>
      <w:r w:rsidR="0024735C">
        <w:t xml:space="preserve"> gene vs. </w:t>
      </w:r>
      <w:r w:rsidR="0024735C" w:rsidRPr="003772D8">
        <w:rPr>
          <w:iCs/>
        </w:rPr>
        <w:t>ORF1</w:t>
      </w:r>
      <w:r w:rsidR="00916AC5" w:rsidRPr="003772D8">
        <w:rPr>
          <w:iCs/>
        </w:rPr>
        <w:t>ab</w:t>
      </w:r>
      <w:r w:rsidR="0024735C">
        <w:t xml:space="preserve">) </w:t>
      </w:r>
      <w:r w:rsidR="004E3DBE">
        <w:t xml:space="preserve">or PCR reaction efficiency. </w:t>
      </w:r>
      <w:r w:rsidR="00EF1604" w:rsidRPr="006F1059">
        <w:t>These subtle differences between the two assays highlight the method-dependent nature of test performance, a variable that cannot be anticipated, and therefore is not explicitly accounted for in most statistical models</w:t>
      </w:r>
      <w:r w:rsidR="009C08B7" w:rsidRPr="006F1059">
        <w:t xml:space="preserve"> of pooled testing</w:t>
      </w:r>
      <w:r w:rsidR="00EF1604" w:rsidRPr="006F1059">
        <w:t xml:space="preserve">. As such, </w:t>
      </w:r>
      <w:r w:rsidR="009C08B7" w:rsidRPr="006F1059">
        <w:t xml:space="preserve">method comparison studies should </w:t>
      </w:r>
      <w:r w:rsidR="00EF1604" w:rsidRPr="006F1059">
        <w:t xml:space="preserve">be performed prior to large-scale implementation of any pooled testing strategies, especially those that use different </w:t>
      </w:r>
      <w:r w:rsidR="004E3DBE">
        <w:t>platforms</w:t>
      </w:r>
      <w:r w:rsidR="00EF1604" w:rsidRPr="006F1059">
        <w:t xml:space="preserve"> for the pooled and individual stages of testing.</w:t>
      </w:r>
    </w:p>
    <w:p w14:paraId="643B008B" w14:textId="00C32B3B" w:rsidR="00DC48CE" w:rsidRDefault="00280DE9" w:rsidP="00814D6B">
      <w:pPr>
        <w:spacing w:line="480" w:lineRule="auto"/>
        <w:ind w:firstLine="720"/>
      </w:pPr>
      <w:r>
        <w:t>The findings in this study contrast with those of a recent study that concluded pooling in groups of 8 did not compromise test performance</w:t>
      </w:r>
      <w:r w:rsidR="008B14DE" w:rsidRPr="006F1059">
        <w:t xml:space="preserve"> </w:t>
      </w:r>
      <w:r w:rsidR="008B14DE" w:rsidRPr="006F1059">
        <w:fldChar w:fldCharType="begin" w:fldLock="1"/>
      </w:r>
      <w:r w:rsidR="005927E8">
        <w:instrText>ADDIN CSL_CITATION {"citationItems":[{"id":"ITEM-1","itemData":{"DOI":"10.1016/j.cmi.2020.06.009","ISSN":"1469-0691","PMID":"32585353","abstract":"OBJECTIVES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8.","id":"ITEM-1","issued":{"date-parts":[["0"]]},"title":"Large-scale implementation of pooled RNA extraction and RT-PCR for SARS-CoV-2 detection.","type":"article-journal"},"uris":["http://www.mendeley.com/documents/?uuid=2017cf29-debc-42f5-97c3-234581c3f4b5"]}],"mendeley":{"formattedCitation":"(&lt;i&gt;5&lt;/i&gt;)","plainTextFormattedCitation":"(5)","previouslyFormattedCitation":"(&lt;i&gt;5&lt;/i&gt;)"},"properties":{"noteIndex":0},"schema":"https://github.com/citation-style-language/schema/raw/master/csl-citation.json"}</w:instrText>
      </w:r>
      <w:r w:rsidR="008B14DE" w:rsidRPr="006F1059">
        <w:fldChar w:fldCharType="separate"/>
      </w:r>
      <w:r w:rsidR="007C46D3" w:rsidRPr="007C46D3">
        <w:rPr>
          <w:noProof/>
        </w:rPr>
        <w:t>(</w:t>
      </w:r>
      <w:r w:rsidR="007C46D3" w:rsidRPr="007C46D3">
        <w:rPr>
          <w:i/>
          <w:noProof/>
        </w:rPr>
        <w:t>5</w:t>
      </w:r>
      <w:r w:rsidR="007C46D3" w:rsidRPr="007C46D3">
        <w:rPr>
          <w:noProof/>
        </w:rPr>
        <w:t>)</w:t>
      </w:r>
      <w:r w:rsidR="008B14DE" w:rsidRPr="006F1059">
        <w:fldChar w:fldCharType="end"/>
      </w:r>
      <w:r w:rsidR="008923C7" w:rsidRPr="006F1059">
        <w:t xml:space="preserve">. </w:t>
      </w:r>
      <w:r w:rsidR="006920B9" w:rsidRPr="006F1059">
        <w:t xml:space="preserve">This </w:t>
      </w:r>
      <w:r>
        <w:t>may be explained by</w:t>
      </w:r>
      <w:r w:rsidR="006920B9" w:rsidRPr="006F1059">
        <w:t xml:space="preserve"> differences in patient population</w:t>
      </w:r>
      <w:r w:rsidR="007303F8">
        <w:t xml:space="preserve">, higher proportion of positive pools and </w:t>
      </w:r>
      <w:proofErr w:type="spellStart"/>
      <w:r w:rsidR="00D0572C" w:rsidRPr="006F1059">
        <w:t>rRT</w:t>
      </w:r>
      <w:proofErr w:type="spellEnd"/>
      <w:r w:rsidR="00D0572C" w:rsidRPr="006F1059">
        <w:t>-PCR result</w:t>
      </w:r>
      <w:r w:rsidR="006920B9" w:rsidRPr="006F1059">
        <w:t xml:space="preserve"> interpretation. </w:t>
      </w:r>
      <w:r w:rsidR="00B941C5">
        <w:t>A</w:t>
      </w:r>
      <w:r w:rsidR="006760E7">
        <w:t>nother</w:t>
      </w:r>
      <w:r w:rsidR="00B941C5">
        <w:t xml:space="preserve"> recent</w:t>
      </w:r>
      <w:r w:rsidR="00FF7BDC">
        <w:t xml:space="preserve"> </w:t>
      </w:r>
      <w:r w:rsidR="00FF7BDC">
        <w:lastRenderedPageBreak/>
        <w:t xml:space="preserve">study </w:t>
      </w:r>
      <w:r w:rsidR="006760E7">
        <w:t xml:space="preserve">of artificially constructed pools </w:t>
      </w:r>
      <w:r w:rsidR="00FF7BDC">
        <w:t>reported no significant decrease in sensitivity in pool</w:t>
      </w:r>
      <w:r w:rsidR="006760E7">
        <w:t xml:space="preserve">s of up to 32 samples </w:t>
      </w:r>
      <w:r w:rsidR="00FF7BDC" w:rsidRPr="006F1059">
        <w:fldChar w:fldCharType="begin" w:fldLock="1"/>
      </w:r>
      <w:r w:rsidR="00FF7BDC">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mendeley":{"formattedCitation":"(&lt;i&gt;3&lt;/i&gt;)","plainTextFormattedCitation":"(3)","previouslyFormattedCitation":"(&lt;i&gt;3&lt;/i&gt;)"},"properties":{"noteIndex":0},"schema":"https://github.com/citation-style-language/schema/raw/master/csl-citation.json"}</w:instrText>
      </w:r>
      <w:r w:rsidR="00FF7BDC" w:rsidRPr="006F1059">
        <w:fldChar w:fldCharType="separate"/>
      </w:r>
      <w:r w:rsidR="00FF7BDC" w:rsidRPr="007C46D3">
        <w:rPr>
          <w:noProof/>
        </w:rPr>
        <w:t>(</w:t>
      </w:r>
      <w:r w:rsidR="00FF7BDC" w:rsidRPr="007C46D3">
        <w:rPr>
          <w:i/>
          <w:noProof/>
        </w:rPr>
        <w:t>3</w:t>
      </w:r>
      <w:r w:rsidR="00FF7BDC" w:rsidRPr="007C46D3">
        <w:rPr>
          <w:noProof/>
        </w:rPr>
        <w:t>)</w:t>
      </w:r>
      <w:r w:rsidR="00FF7BDC" w:rsidRPr="006F1059">
        <w:fldChar w:fldCharType="end"/>
      </w:r>
      <w:r w:rsidR="00FF7BDC">
        <w:t>. T</w:t>
      </w:r>
      <w:r w:rsidR="00FF7BDC" w:rsidRPr="006F1059">
        <w:t>his is likely explained by the relatively low starting C</w:t>
      </w:r>
      <w:r w:rsidR="00FF7BDC" w:rsidRPr="006F1059">
        <w:rPr>
          <w:vertAlign w:val="subscript"/>
        </w:rPr>
        <w:t>t</w:t>
      </w:r>
      <w:r w:rsidR="00FF7BDC" w:rsidRPr="006F1059">
        <w:t xml:space="preserve"> values of the</w:t>
      </w:r>
      <w:r w:rsidR="00FF7BDC">
        <w:t xml:space="preserve">ir individual positive samples; </w:t>
      </w:r>
      <w:r w:rsidR="00FF7BDC" w:rsidRPr="006F1059">
        <w:t>none exceeded a C</w:t>
      </w:r>
      <w:r w:rsidR="00FF7BDC" w:rsidRPr="006F1059">
        <w:rPr>
          <w:vertAlign w:val="subscript"/>
        </w:rPr>
        <w:t>t</w:t>
      </w:r>
      <w:r w:rsidR="00FF7BDC" w:rsidRPr="006F1059">
        <w:t xml:space="preserve"> of 3</w:t>
      </w:r>
      <w:r w:rsidR="00FF7BDC">
        <w:t>0</w:t>
      </w:r>
      <w:r w:rsidR="00FF7BDC" w:rsidRPr="006F1059">
        <w:t>.</w:t>
      </w:r>
      <w:r w:rsidR="00FF7BDC">
        <w:t xml:space="preserve"> </w:t>
      </w:r>
      <w:r w:rsidR="00DC48CE">
        <w:t xml:space="preserve">However, they, and other experimental studies have shown empirical increases </w:t>
      </w:r>
      <w:r w:rsidR="00932801">
        <w:t xml:space="preserve">in </w:t>
      </w:r>
      <w:r w:rsidR="00DC48CE">
        <w:t xml:space="preserve">pooled </w:t>
      </w:r>
      <w:r w:rsidR="00DC48CE" w:rsidRPr="006F1059">
        <w:t>C</w:t>
      </w:r>
      <w:r w:rsidR="00DC48CE" w:rsidRPr="006F1059">
        <w:rPr>
          <w:vertAlign w:val="subscript"/>
        </w:rPr>
        <w:t>t</w:t>
      </w:r>
      <w:r w:rsidR="00DC48CE" w:rsidRPr="006F1059">
        <w:t xml:space="preserve"> </w:t>
      </w:r>
      <w:r w:rsidR="00DC48CE">
        <w:t>values directly proportional to dilution factor,</w:t>
      </w:r>
      <w:r w:rsidR="00DC48CE">
        <w:rPr>
          <w:color w:val="000000"/>
        </w:rPr>
        <w:t xml:space="preserve"> a relationship that was also observed in our study </w:t>
      </w:r>
      <w:r w:rsidR="00DC48CE">
        <w:rPr>
          <w:color w:val="000000"/>
        </w:rPr>
        <w:fldChar w:fldCharType="begin" w:fldLock="1"/>
      </w:r>
      <w:r w:rsidR="00A76304">
        <w:rPr>
          <w:color w:val="000000"/>
        </w:rPr>
        <w:instrText>ADDIN CSL_CITATION {"citationItems":[{"id":"ITEM-1","itemData":{"DOI":"10.1016/j.jcv.2020.104381","ISSN":"18735967","PMID":"32344319","abstract":"Background: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Virology","id":"ITEM-1","issue":"April","issued":{"date-parts":[["2020"]]},"publisher":"Elsevier","title":"Ad hoc laboratory-based surveillance of SARS-CoV-2 by real-time RT-PCR using minipools of RNA prepared from routine respiratory samples","type":"article-journal","volume":"127"},"uris":["http://www.mendeley.com/documents/?uuid=ff090c12-4769-49b8-b840-5843418e1397"]},{"id":"ITEM-2","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2.","id":"ITEM-2","issued":{"date-parts":[["0"]]},"title":"Evaluation of COVID-19 RT-qPCR test in multi-sample pools","type":"article-journal"},"uris":["http://www.mendeley.com/documents/?uuid=ddc38fd2-5a83-4d0c-8541-be4176341774"]},{"id":"ITEM-3","itemData":{"DOI":"10.1093/ajcp/aqaa064","ISSN":"0002-9173","PMID":"32511649","abstract":"Objectives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Pathology","id":"ITEM-3","issue":"6","issued":{"date-parts":[["2020"]]},"page":"715-718","title":"Assessment of Specimen Pooling to Conserve SARS CoV-2 Testing Resources","type":"article-journal","volume":"153"},"uris":["http://www.mendeley.com/documents/?uuid=e150c347-ae11-4f6f-acff-dbfcd714f6b0"]}],"mendeley":{"formattedCitation":"(&lt;i&gt;3&lt;/i&gt;,&lt;i&gt;4&lt;/i&gt;,&lt;i&gt;9&lt;/i&gt;)","plainTextFormattedCitation":"(3,4,9)","previouslyFormattedCitation":"(&lt;i&gt;3&lt;/i&gt;,&lt;i&gt;4&lt;/i&gt;,&lt;i&gt;9&lt;/i&gt;)"},"properties":{"noteIndex":0},"schema":"https://github.com/citation-style-language/schema/raw/master/csl-citation.json"}</w:instrText>
      </w:r>
      <w:r w:rsidR="00DC48CE">
        <w:rPr>
          <w:color w:val="000000"/>
        </w:rPr>
        <w:fldChar w:fldCharType="separate"/>
      </w:r>
      <w:r w:rsidR="006760E7" w:rsidRPr="006760E7">
        <w:rPr>
          <w:noProof/>
          <w:color w:val="000000"/>
        </w:rPr>
        <w:t>(</w:t>
      </w:r>
      <w:r w:rsidR="006760E7" w:rsidRPr="006760E7">
        <w:rPr>
          <w:i/>
          <w:noProof/>
          <w:color w:val="000000"/>
        </w:rPr>
        <w:t>3</w:t>
      </w:r>
      <w:r w:rsidR="006760E7" w:rsidRPr="006760E7">
        <w:rPr>
          <w:noProof/>
          <w:color w:val="000000"/>
        </w:rPr>
        <w:t>,</w:t>
      </w:r>
      <w:r w:rsidR="006760E7" w:rsidRPr="006760E7">
        <w:rPr>
          <w:i/>
          <w:noProof/>
          <w:color w:val="000000"/>
        </w:rPr>
        <w:t>4</w:t>
      </w:r>
      <w:r w:rsidR="006760E7" w:rsidRPr="006760E7">
        <w:rPr>
          <w:noProof/>
          <w:color w:val="000000"/>
        </w:rPr>
        <w:t>,</w:t>
      </w:r>
      <w:r w:rsidR="006760E7" w:rsidRPr="006760E7">
        <w:rPr>
          <w:i/>
          <w:noProof/>
          <w:color w:val="000000"/>
        </w:rPr>
        <w:t>9</w:t>
      </w:r>
      <w:r w:rsidR="006760E7" w:rsidRPr="006760E7">
        <w:rPr>
          <w:noProof/>
          <w:color w:val="000000"/>
        </w:rPr>
        <w:t>)</w:t>
      </w:r>
      <w:r w:rsidR="00DC48CE">
        <w:rPr>
          <w:color w:val="000000"/>
        </w:rPr>
        <w:fldChar w:fldCharType="end"/>
      </w:r>
      <w:r w:rsidR="00DC48CE">
        <w:rPr>
          <w:color w:val="000000"/>
        </w:rPr>
        <w:t>.</w:t>
      </w:r>
    </w:p>
    <w:p w14:paraId="01C63130" w14:textId="7530C692" w:rsidR="008C5FDA" w:rsidRPr="006F1059" w:rsidRDefault="00FF7BDC" w:rsidP="00013324">
      <w:pPr>
        <w:spacing w:line="480" w:lineRule="auto"/>
        <w:ind w:firstLine="720"/>
      </w:pPr>
      <w:r w:rsidRPr="00F929FF">
        <w:rPr>
          <w:highlight w:val="yellow"/>
        </w:rPr>
        <w:t xml:space="preserve">These differences highlight the effect of viral load distribution </w:t>
      </w:r>
      <w:r w:rsidR="00DC48CE" w:rsidRPr="00F929FF">
        <w:rPr>
          <w:highlight w:val="yellow"/>
        </w:rPr>
        <w:t>and assay analytical sensitivity on pooled test performance, both of which should be taken into account when choosing pool size and diagnostic assay</w:t>
      </w:r>
      <w:r w:rsidR="00DC48CE">
        <w:t>.</w:t>
      </w:r>
      <w:r w:rsidR="006760E7">
        <w:t xml:space="preserve"> </w:t>
      </w:r>
      <w:r w:rsidR="008A4BD0" w:rsidRPr="006F1059">
        <w:t>While samples with a C</w:t>
      </w:r>
      <w:r w:rsidR="008A4BD0" w:rsidRPr="006F1059">
        <w:rPr>
          <w:vertAlign w:val="subscript"/>
        </w:rPr>
        <w:t>t</w:t>
      </w:r>
      <w:r w:rsidR="00F97C59">
        <w:t xml:space="preserve"> </w:t>
      </w:r>
      <w:r w:rsidR="008A4BD0" w:rsidRPr="006F1059">
        <w:t>greater than 3</w:t>
      </w:r>
      <w:r w:rsidR="00C71BF3">
        <w:t>3</w:t>
      </w:r>
      <w:r w:rsidR="008A4BD0" w:rsidRPr="006F1059">
        <w:t xml:space="preserve"> have not been reported to produce cultivable virus in convalescing </w:t>
      </w:r>
      <w:r w:rsidR="00672021" w:rsidRPr="006F1059">
        <w:t xml:space="preserve">COVID-19 </w:t>
      </w:r>
      <w:r w:rsidR="008A4BD0" w:rsidRPr="006F1059">
        <w:t>patients</w:t>
      </w:r>
      <w:r w:rsidR="00672021" w:rsidRPr="006F1059">
        <w:t xml:space="preserve"> </w:t>
      </w:r>
      <w:r w:rsidR="00672021" w:rsidRPr="006F1059">
        <w:fldChar w:fldCharType="begin" w:fldLock="1"/>
      </w:r>
      <w:r w:rsidR="00597F3E">
        <w:instrText>ADDIN CSL_CITATION {"citationItems":[{"id":"ITEM-1","itemData":{"DOI":"10.1007/s10096-020-03913-9","ISBN":"1009602003913","ISSN":"14354373","PMID":"32342252","abstract":"In a preliminary clinical study, we observed that the combination of hydroxychloroquine and azithromycin was effective against SARS-CoV-2 by shortening the duration of viral load in Covid-19 patients. It is of paramount importance to define when a treated patient can be considered as no longer contagious. Correlation between successful isolation of virus in cell culture and Ct value of quantitative RT-PCR targeting E gene suggests that patients with Ct above 33–34 using our RT-PCR system are not contagious and thus can be discharged from hospital care or strict confinement for non-hospitalized patients.","author":[{"dropping-particle":"","family":"Scola","given":"Bernard","non-dropping-particle":"La","parse-names":false,"suffix":""},{"dropping-particle":"","family":"Bideau","given":"Marion","non-dropping-particle":"Le","parse-names":false,"suffix":""},{"dropping-particle":"","family":"Andreani","given":"Julien","non-dropping-particle":"","parse-names":false,"suffix":""},{"dropping-particle":"","family":"Hoang","given":"Van Thuan","non-dropping-particle":"","parse-names":false,"suffix":""},{"dropping-particle":"","family":"Grimaldier","given":"Clio","non-dropping-particle":"","parse-names":false,"suffix":""},{"dropping-particle":"","family":"Colson","given":"Philippe","non-dropping-particle":"","parse-names":false,"suffix":""},{"dropping-particle":"","family":"Gautret","given":"Philippe","non-dropping-particle":"","parse-names":false,"suffix":""},{"dropping-particle":"","family":"Raoult","given":"Didier","non-dropping-particle":"","parse-names":false,"suffix":""}],"container-title":"European Journal of Clinical Microbiology and Infectious Diseases","id":"ITEM-1","issue":"6","issued":{"date-parts":[["2020"]]},"page":"1059-1061","publisher":"European Journal of Clinical Microbiology &amp; Infectious Diseases","title":"Viral RNA load as determined by cell culture as a management tool for discharge of SARS-CoV-2 patients from infectious disease wards","type":"article-journal","volume":"39"},"uris":["http://www.mendeley.com/documents/?uuid=3bf9f2b3-03bd-4520-b166-d69e17ad6f81"]}],"mendeley":{"formattedCitation":"(&lt;i&gt;21&lt;/i&gt;)","plainTextFormattedCitation":"(21)","previouslyFormattedCitation":"(&lt;i&gt;21&lt;/i&gt;)"},"properties":{"noteIndex":0},"schema":"https://github.com/citation-style-language/schema/raw/master/csl-citation.json"}</w:instrText>
      </w:r>
      <w:r w:rsidR="00672021" w:rsidRPr="006F1059">
        <w:fldChar w:fldCharType="separate"/>
      </w:r>
      <w:r w:rsidR="00597F3E" w:rsidRPr="00597F3E">
        <w:rPr>
          <w:noProof/>
        </w:rPr>
        <w:t>(</w:t>
      </w:r>
      <w:r w:rsidR="00597F3E" w:rsidRPr="00597F3E">
        <w:rPr>
          <w:i/>
          <w:noProof/>
        </w:rPr>
        <w:t>21</w:t>
      </w:r>
      <w:r w:rsidR="00597F3E" w:rsidRPr="00597F3E">
        <w:rPr>
          <w:noProof/>
        </w:rPr>
        <w:t>)</w:t>
      </w:r>
      <w:r w:rsidR="00672021" w:rsidRPr="006F1059">
        <w:fldChar w:fldCharType="end"/>
      </w:r>
      <w:r w:rsidR="004E3DBE">
        <w:t>, more than 15</w:t>
      </w:r>
      <w:r w:rsidR="008A4BD0" w:rsidRPr="006F1059">
        <w:t>% of first-time diagnostic specimens in our lab</w:t>
      </w:r>
      <w:r w:rsidR="00BF50B1">
        <w:t>oratory</w:t>
      </w:r>
      <w:r w:rsidR="008A4BD0" w:rsidRPr="006F1059">
        <w:t xml:space="preserve"> were detected at a C</w:t>
      </w:r>
      <w:r w:rsidR="008A4BD0" w:rsidRPr="006F1059">
        <w:rPr>
          <w:vertAlign w:val="subscript"/>
        </w:rPr>
        <w:t>t</w:t>
      </w:r>
      <w:r w:rsidR="008A4BD0" w:rsidRPr="006F1059">
        <w:t xml:space="preserve"> </w:t>
      </w:r>
      <w:r w:rsidR="004E3DBE">
        <w:t>of 35 or above</w:t>
      </w:r>
      <w:r w:rsidR="008A4BD0" w:rsidRPr="006F1059">
        <w:t xml:space="preserve">. </w:t>
      </w:r>
      <w:proofErr w:type="spellStart"/>
      <w:r w:rsidR="0091105B" w:rsidRPr="006F1059">
        <w:t>Griesemer</w:t>
      </w:r>
      <w:proofErr w:type="spellEnd"/>
      <w:r w:rsidR="0091105B" w:rsidRPr="006F1059">
        <w:t xml:space="preserve"> et al. described a </w:t>
      </w:r>
      <w:r w:rsidR="00886DB7">
        <w:t>similar</w:t>
      </w:r>
      <w:r w:rsidR="0091105B" w:rsidRPr="006F1059">
        <w:t xml:space="preserve"> proportion of weak positive samples with high C</w:t>
      </w:r>
      <w:r w:rsidR="0091105B" w:rsidRPr="006F1059">
        <w:rPr>
          <w:vertAlign w:val="subscript"/>
        </w:rPr>
        <w:t>t</w:t>
      </w:r>
      <w:r w:rsidR="0091105B" w:rsidRPr="006F1059">
        <w:t xml:space="preserve"> values at their public health department virology lab in New York </w:t>
      </w:r>
      <w:r w:rsidR="0091105B" w:rsidRPr="006F1059">
        <w:fldChar w:fldCharType="begin" w:fldLock="1"/>
      </w:r>
      <w:r w:rsidR="005927E8">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91105B" w:rsidRPr="006F1059">
        <w:fldChar w:fldCharType="separate"/>
      </w:r>
      <w:r w:rsidR="007C46D3" w:rsidRPr="007C46D3">
        <w:rPr>
          <w:noProof/>
        </w:rPr>
        <w:t>(</w:t>
      </w:r>
      <w:r w:rsidR="007C46D3" w:rsidRPr="007C46D3">
        <w:rPr>
          <w:i/>
          <w:noProof/>
        </w:rPr>
        <w:t>10</w:t>
      </w:r>
      <w:r w:rsidR="007C46D3" w:rsidRPr="007C46D3">
        <w:rPr>
          <w:noProof/>
        </w:rPr>
        <w:t>)</w:t>
      </w:r>
      <w:r w:rsidR="0091105B" w:rsidRPr="006F1059">
        <w:fldChar w:fldCharType="end"/>
      </w:r>
      <w:r w:rsidR="0091105B" w:rsidRPr="006F1059">
        <w:t xml:space="preserve">. </w:t>
      </w:r>
      <w:r w:rsidR="00013324">
        <w:t>Assays with lower analytical sensitivity may miss specimens with late C</w:t>
      </w:r>
      <w:r w:rsidR="00013324" w:rsidRPr="002B7D9F">
        <w:rPr>
          <w:vertAlign w:val="subscript"/>
        </w:rPr>
        <w:t>t</w:t>
      </w:r>
      <w:r w:rsidR="00932801">
        <w:t xml:space="preserve"> values</w:t>
      </w:r>
      <w:r w:rsidR="00013324">
        <w:t>, for which the potential associated burden of onward transmission is currently unclear.</w:t>
      </w:r>
    </w:p>
    <w:p w14:paraId="7FB7E77F" w14:textId="1D978FCF" w:rsidR="00864CC6" w:rsidRPr="00D524DD" w:rsidRDefault="004A1C8D" w:rsidP="00814D6B">
      <w:pPr>
        <w:spacing w:line="480" w:lineRule="auto"/>
        <w:ind w:firstLine="720"/>
        <w:rPr>
          <w:rFonts w:cs="Arial"/>
          <w:bCs/>
          <w:color w:val="000000"/>
        </w:rPr>
      </w:pPr>
      <w:r>
        <w:rPr>
          <w:color w:val="000000"/>
        </w:rPr>
        <w:t xml:space="preserve">The </w:t>
      </w:r>
      <w:r w:rsidR="00181C18">
        <w:rPr>
          <w:color w:val="000000"/>
        </w:rPr>
        <w:t xml:space="preserve">stochastic </w:t>
      </w:r>
      <w:r w:rsidR="00013DC4">
        <w:rPr>
          <w:color w:val="000000"/>
        </w:rPr>
        <w:t xml:space="preserve">model </w:t>
      </w:r>
      <w:r>
        <w:rPr>
          <w:color w:val="000000"/>
        </w:rPr>
        <w:t xml:space="preserve">in this study </w:t>
      </w:r>
      <w:r w:rsidR="00013DC4">
        <w:rPr>
          <w:color w:val="000000"/>
        </w:rPr>
        <w:t>demonstrate</w:t>
      </w:r>
      <w:r>
        <w:rPr>
          <w:color w:val="000000"/>
        </w:rPr>
        <w:t>d</w:t>
      </w:r>
      <w:r w:rsidR="00013DC4">
        <w:rPr>
          <w:color w:val="000000"/>
        </w:rPr>
        <w:t xml:space="preserve"> that expected </w:t>
      </w:r>
      <w:r w:rsidR="005A626B">
        <w:rPr>
          <w:color w:val="000000"/>
        </w:rPr>
        <w:t>PPA</w:t>
      </w:r>
      <w:r w:rsidR="00013DC4">
        <w:rPr>
          <w:color w:val="000000"/>
        </w:rPr>
        <w:t xml:space="preserve"> betwe</w:t>
      </w:r>
      <w:r w:rsidR="00181C18">
        <w:rPr>
          <w:color w:val="000000"/>
        </w:rPr>
        <w:t xml:space="preserve">en </w:t>
      </w:r>
      <w:r w:rsidR="00013DC4">
        <w:rPr>
          <w:color w:val="000000"/>
        </w:rPr>
        <w:t xml:space="preserve">pooled and individual </w:t>
      </w:r>
      <w:proofErr w:type="spellStart"/>
      <w:r w:rsidR="00404106">
        <w:rPr>
          <w:color w:val="000000"/>
        </w:rPr>
        <w:t>rRT</w:t>
      </w:r>
      <w:proofErr w:type="spellEnd"/>
      <w:r w:rsidR="00404106">
        <w:rPr>
          <w:color w:val="000000"/>
        </w:rPr>
        <w:t>-PCR assays</w:t>
      </w:r>
      <w:r w:rsidR="00CD55F8">
        <w:rPr>
          <w:color w:val="000000"/>
        </w:rPr>
        <w:t xml:space="preserve"> </w:t>
      </w:r>
      <w:r w:rsidR="00A13197">
        <w:rPr>
          <w:color w:val="000000"/>
        </w:rPr>
        <w:t xml:space="preserve">was </w:t>
      </w:r>
      <w:r w:rsidR="00CD55F8">
        <w:rPr>
          <w:color w:val="000000"/>
        </w:rPr>
        <w:t>highly dependent on assay</w:t>
      </w:r>
      <w:r w:rsidR="00013DC4">
        <w:rPr>
          <w:color w:val="000000"/>
        </w:rPr>
        <w:t xml:space="preserve"> </w:t>
      </w:r>
      <w:r w:rsidR="00352C32">
        <w:rPr>
          <w:color w:val="000000"/>
        </w:rPr>
        <w:t xml:space="preserve">analytical sensitivity (represented by 95% </w:t>
      </w:r>
      <w:proofErr w:type="spellStart"/>
      <w:r w:rsidR="00352C32">
        <w:rPr>
          <w:color w:val="000000"/>
        </w:rPr>
        <w:t>LoD</w:t>
      </w:r>
      <w:proofErr w:type="spellEnd"/>
      <w:r w:rsidR="00352C32">
        <w:rPr>
          <w:color w:val="000000"/>
        </w:rPr>
        <w:t>)</w:t>
      </w:r>
      <w:r w:rsidR="000E50D5">
        <w:rPr>
          <w:color w:val="000000"/>
        </w:rPr>
        <w:t xml:space="preserve">, </w:t>
      </w:r>
      <w:r w:rsidR="00CD55F8">
        <w:rPr>
          <w:rFonts w:cs="Arial"/>
          <w:bCs/>
          <w:color w:val="000000"/>
        </w:rPr>
        <w:t xml:space="preserve">viral load distribution of test-positive patients (represented by proportion </w:t>
      </w:r>
      <w:r w:rsidR="00CD55F8" w:rsidRPr="00CD55F8">
        <w:rPr>
          <w:rFonts w:cs="Arial"/>
          <w:bCs/>
          <w:color w:val="000000"/>
        </w:rPr>
        <w:t>C</w:t>
      </w:r>
      <w:r w:rsidR="00CD55F8" w:rsidRPr="00CD55F8">
        <w:rPr>
          <w:rFonts w:cs="Arial"/>
          <w:bCs/>
          <w:color w:val="000000"/>
          <w:vertAlign w:val="subscript"/>
        </w:rPr>
        <w:t>t</w:t>
      </w:r>
      <w:r w:rsidR="00CD55F8" w:rsidRPr="00CD55F8">
        <w:rPr>
          <w:rFonts w:cs="Arial"/>
          <w:bCs/>
          <w:color w:val="000000"/>
        </w:rPr>
        <w:t xml:space="preserve"> </w:t>
      </w:r>
      <w:r w:rsidR="00CD55F8">
        <w:rPr>
          <w:rFonts w:cs="Arial"/>
          <w:bCs/>
          <w:color w:val="000000"/>
        </w:rPr>
        <w:t>&gt;</w:t>
      </w:r>
      <w:proofErr w:type="spellStart"/>
      <w:r w:rsidR="00CD55F8">
        <w:rPr>
          <w:rFonts w:cs="Arial"/>
          <w:bCs/>
          <w:color w:val="000000"/>
        </w:rPr>
        <w:t>LoD</w:t>
      </w:r>
      <w:proofErr w:type="spellEnd"/>
      <w:r w:rsidR="00CD55F8">
        <w:rPr>
          <w:rFonts w:cs="Arial"/>
          <w:bCs/>
          <w:color w:val="000000"/>
        </w:rPr>
        <w:t>)</w:t>
      </w:r>
      <w:r w:rsidR="00CD55F8">
        <w:rPr>
          <w:color w:val="000000"/>
        </w:rPr>
        <w:t xml:space="preserve">, </w:t>
      </w:r>
      <w:r w:rsidR="00934D34">
        <w:rPr>
          <w:color w:val="000000"/>
        </w:rPr>
        <w:t xml:space="preserve">pool size, </w:t>
      </w:r>
      <w:r w:rsidR="00CD55F8">
        <w:rPr>
          <w:color w:val="000000"/>
        </w:rPr>
        <w:t>and disease prevalence (represented by proportion of tests positive)</w:t>
      </w:r>
      <w:r w:rsidR="00D524DD">
        <w:rPr>
          <w:color w:val="000000"/>
        </w:rPr>
        <w:t xml:space="preserve">. </w:t>
      </w:r>
      <w:r w:rsidR="00864CC6">
        <w:rPr>
          <w:color w:val="000000"/>
        </w:rPr>
        <w:t xml:space="preserve">The model outputs </w:t>
      </w:r>
      <w:r w:rsidR="00A13197">
        <w:rPr>
          <w:color w:val="000000"/>
        </w:rPr>
        <w:t xml:space="preserve">were </w:t>
      </w:r>
      <w:r w:rsidR="00864CC6">
        <w:rPr>
          <w:color w:val="000000"/>
        </w:rPr>
        <w:t>not always intuitive</w:t>
      </w:r>
      <w:r w:rsidR="00CD55F8">
        <w:rPr>
          <w:color w:val="000000"/>
        </w:rPr>
        <w:t xml:space="preserve">; larger pool sizes </w:t>
      </w:r>
      <w:r w:rsidR="00A13197">
        <w:rPr>
          <w:color w:val="000000"/>
        </w:rPr>
        <w:t xml:space="preserve">were </w:t>
      </w:r>
      <w:r w:rsidR="00CD55F8">
        <w:rPr>
          <w:color w:val="000000"/>
        </w:rPr>
        <w:t>not always l</w:t>
      </w:r>
      <w:r w:rsidR="00864CC6">
        <w:rPr>
          <w:color w:val="000000"/>
        </w:rPr>
        <w:t xml:space="preserve">ess sensitive or more efficient. </w:t>
      </w:r>
      <w:r w:rsidR="00864CC6">
        <w:rPr>
          <w:rFonts w:cs="Arial"/>
          <w:bCs/>
          <w:color w:val="000000"/>
        </w:rPr>
        <w:t xml:space="preserve">With increased prevalence, larger pool sizes </w:t>
      </w:r>
      <w:r w:rsidR="00A13197">
        <w:rPr>
          <w:rFonts w:cs="Arial"/>
          <w:bCs/>
          <w:color w:val="000000"/>
        </w:rPr>
        <w:t>were</w:t>
      </w:r>
      <w:r w:rsidR="00864CC6">
        <w:rPr>
          <w:rFonts w:cs="Arial"/>
          <w:bCs/>
          <w:color w:val="000000"/>
        </w:rPr>
        <w:t xml:space="preserve"> more sensitive as they </w:t>
      </w:r>
      <w:r w:rsidR="00A13197">
        <w:rPr>
          <w:rFonts w:cs="Arial"/>
          <w:bCs/>
          <w:color w:val="000000"/>
        </w:rPr>
        <w:t xml:space="preserve">were </w:t>
      </w:r>
      <w:r w:rsidR="00864CC6">
        <w:rPr>
          <w:rFonts w:cs="Arial"/>
          <w:bCs/>
          <w:color w:val="000000"/>
        </w:rPr>
        <w:t xml:space="preserve">more likely to contain more than one positive sample per pool. They </w:t>
      </w:r>
      <w:r w:rsidR="00A13197">
        <w:rPr>
          <w:rFonts w:cs="Arial"/>
          <w:bCs/>
          <w:color w:val="000000"/>
        </w:rPr>
        <w:t>were also</w:t>
      </w:r>
      <w:r w:rsidR="00864CC6">
        <w:rPr>
          <w:rFonts w:cs="Arial"/>
          <w:bCs/>
          <w:color w:val="000000"/>
        </w:rPr>
        <w:t xml:space="preserve"> less efficient as a larger proportion </w:t>
      </w:r>
      <w:r w:rsidR="00A13197">
        <w:rPr>
          <w:rFonts w:cs="Arial"/>
          <w:bCs/>
          <w:color w:val="000000"/>
        </w:rPr>
        <w:t>were</w:t>
      </w:r>
      <w:r w:rsidR="00864CC6">
        <w:rPr>
          <w:rFonts w:cs="Arial"/>
          <w:bCs/>
          <w:color w:val="000000"/>
        </w:rPr>
        <w:t xml:space="preserve"> positive</w:t>
      </w:r>
      <w:r w:rsidR="00A13197">
        <w:rPr>
          <w:rFonts w:cs="Arial"/>
          <w:bCs/>
          <w:color w:val="000000"/>
        </w:rPr>
        <w:t>,</w:t>
      </w:r>
      <w:r w:rsidR="00864CC6">
        <w:rPr>
          <w:rFonts w:cs="Arial"/>
          <w:bCs/>
          <w:color w:val="000000"/>
        </w:rPr>
        <w:t xml:space="preserve"> </w:t>
      </w:r>
      <w:r w:rsidR="00A13197">
        <w:rPr>
          <w:rFonts w:cs="Arial"/>
          <w:bCs/>
          <w:color w:val="000000"/>
        </w:rPr>
        <w:t>requiring</w:t>
      </w:r>
      <w:r w:rsidR="00864CC6">
        <w:rPr>
          <w:rFonts w:cs="Arial"/>
          <w:bCs/>
          <w:color w:val="000000"/>
        </w:rPr>
        <w:t xml:space="preserve"> deconvolution.</w:t>
      </w:r>
    </w:p>
    <w:p w14:paraId="079D0281" w14:textId="77777777" w:rsidR="008942E3" w:rsidRDefault="00CD55F8" w:rsidP="00814D6B">
      <w:pPr>
        <w:spacing w:line="480" w:lineRule="auto"/>
        <w:ind w:firstLine="720"/>
        <w:rPr>
          <w:rFonts w:cs="Arial"/>
          <w:bCs/>
          <w:color w:val="000000"/>
        </w:rPr>
      </w:pPr>
      <w:r>
        <w:rPr>
          <w:color w:val="000000"/>
        </w:rPr>
        <w:t xml:space="preserve">The model output </w:t>
      </w:r>
      <w:r w:rsidR="00A13197">
        <w:rPr>
          <w:rFonts w:cs="Arial"/>
          <w:bCs/>
          <w:color w:val="000000"/>
        </w:rPr>
        <w:t xml:space="preserve">was </w:t>
      </w:r>
      <w:r w:rsidR="00181C18">
        <w:rPr>
          <w:rFonts w:cs="Arial"/>
          <w:bCs/>
          <w:color w:val="000000"/>
        </w:rPr>
        <w:t>largely</w:t>
      </w:r>
      <w:r w:rsidR="00D524DD">
        <w:rPr>
          <w:rFonts w:cs="Arial"/>
          <w:bCs/>
          <w:color w:val="000000"/>
        </w:rPr>
        <w:t xml:space="preserve"> independent of the actual </w:t>
      </w:r>
      <w:proofErr w:type="spellStart"/>
      <w:r w:rsidR="00D524DD">
        <w:rPr>
          <w:rFonts w:cs="Arial"/>
          <w:bCs/>
          <w:color w:val="000000"/>
        </w:rPr>
        <w:t>LoD</w:t>
      </w:r>
      <w:proofErr w:type="spellEnd"/>
      <w:r w:rsidR="00D524DD">
        <w:rPr>
          <w:rFonts w:cs="Arial"/>
          <w:bCs/>
          <w:color w:val="000000"/>
        </w:rPr>
        <w:t xml:space="preserve"> and </w:t>
      </w:r>
      <w:r>
        <w:rPr>
          <w:rFonts w:cs="Arial"/>
          <w:bCs/>
          <w:color w:val="000000"/>
        </w:rPr>
        <w:t>viral load-to-</w:t>
      </w:r>
      <w:r w:rsidRPr="00CD55F8">
        <w:rPr>
          <w:rFonts w:cs="Arial"/>
          <w:bCs/>
          <w:color w:val="000000"/>
        </w:rPr>
        <w:t>C</w:t>
      </w:r>
      <w:r w:rsidRPr="00CD55F8">
        <w:rPr>
          <w:rFonts w:cs="Arial"/>
          <w:bCs/>
          <w:color w:val="000000"/>
          <w:vertAlign w:val="subscript"/>
        </w:rPr>
        <w:t>t</w:t>
      </w:r>
      <w:r w:rsidRPr="00CD55F8">
        <w:rPr>
          <w:rFonts w:cs="Arial"/>
          <w:bCs/>
          <w:color w:val="000000"/>
        </w:rPr>
        <w:t xml:space="preserve"> value </w:t>
      </w:r>
      <w:r>
        <w:rPr>
          <w:rFonts w:cs="Arial"/>
          <w:bCs/>
          <w:color w:val="000000"/>
        </w:rPr>
        <w:t xml:space="preserve">relationship of a given </w:t>
      </w:r>
      <w:r w:rsidR="00D524DD">
        <w:rPr>
          <w:rFonts w:cs="Arial"/>
          <w:bCs/>
          <w:color w:val="000000"/>
        </w:rPr>
        <w:t>assay</w:t>
      </w:r>
      <w:r>
        <w:rPr>
          <w:rFonts w:cs="Arial"/>
          <w:bCs/>
          <w:color w:val="000000"/>
        </w:rPr>
        <w:t xml:space="preserve">, making it generalizable across different </w:t>
      </w:r>
      <w:proofErr w:type="spellStart"/>
      <w:r>
        <w:rPr>
          <w:rFonts w:cs="Arial"/>
          <w:bCs/>
          <w:color w:val="000000"/>
        </w:rPr>
        <w:t>rRT</w:t>
      </w:r>
      <w:proofErr w:type="spellEnd"/>
      <w:r>
        <w:rPr>
          <w:rFonts w:cs="Arial"/>
          <w:bCs/>
          <w:color w:val="000000"/>
        </w:rPr>
        <w:t xml:space="preserve">-PCR assays. The only input parameters it requires </w:t>
      </w:r>
      <w:r w:rsidR="00181C18">
        <w:rPr>
          <w:rFonts w:cs="Arial"/>
          <w:bCs/>
          <w:color w:val="000000"/>
        </w:rPr>
        <w:t>are</w:t>
      </w:r>
      <w:r w:rsidR="00A13197">
        <w:rPr>
          <w:rFonts w:cs="Arial"/>
          <w:bCs/>
          <w:color w:val="000000"/>
        </w:rPr>
        <w:t xml:space="preserve"> proportion of tests positive and proportion of samples with Ct &gt; </w:t>
      </w:r>
      <w:proofErr w:type="spellStart"/>
      <w:r w:rsidR="00A13197">
        <w:rPr>
          <w:rFonts w:cs="Arial"/>
          <w:bCs/>
          <w:color w:val="000000"/>
        </w:rPr>
        <w:t>LoD</w:t>
      </w:r>
      <w:proofErr w:type="spellEnd"/>
      <w:r w:rsidR="00A13197">
        <w:rPr>
          <w:rFonts w:cs="Arial"/>
          <w:bCs/>
          <w:color w:val="000000"/>
        </w:rPr>
        <w:t xml:space="preserve">, both of </w:t>
      </w:r>
      <w:r w:rsidR="00A13197">
        <w:rPr>
          <w:rFonts w:cs="Arial"/>
          <w:bCs/>
          <w:color w:val="000000"/>
        </w:rPr>
        <w:lastRenderedPageBreak/>
        <w:t xml:space="preserve">which should be </w:t>
      </w:r>
      <w:r w:rsidR="00181C18">
        <w:rPr>
          <w:rFonts w:cs="Arial"/>
          <w:bCs/>
          <w:color w:val="000000"/>
        </w:rPr>
        <w:t xml:space="preserve">readily available to any laboratories conducting </w:t>
      </w:r>
      <w:r>
        <w:rPr>
          <w:rFonts w:cs="Arial"/>
          <w:bCs/>
          <w:color w:val="000000"/>
        </w:rPr>
        <w:t>clinical testing</w:t>
      </w:r>
      <w:r w:rsidR="00013324">
        <w:rPr>
          <w:rFonts w:cs="Arial"/>
          <w:bCs/>
          <w:color w:val="000000"/>
        </w:rPr>
        <w:t xml:space="preserve">. </w:t>
      </w:r>
      <w:r>
        <w:rPr>
          <w:rFonts w:cs="Arial"/>
          <w:bCs/>
          <w:color w:val="000000"/>
        </w:rPr>
        <w:t xml:space="preserve">As such, future studies </w:t>
      </w:r>
      <w:r w:rsidR="00864CC6">
        <w:rPr>
          <w:rFonts w:cs="Arial"/>
          <w:bCs/>
          <w:color w:val="000000"/>
        </w:rPr>
        <w:t>on</w:t>
      </w:r>
      <w:r>
        <w:rPr>
          <w:rFonts w:cs="Arial"/>
          <w:bCs/>
          <w:color w:val="000000"/>
        </w:rPr>
        <w:t xml:space="preserve"> the sensitivity of pooled testing strategies </w:t>
      </w:r>
      <w:r w:rsidR="00864CC6">
        <w:rPr>
          <w:rFonts w:cs="Arial"/>
          <w:bCs/>
          <w:color w:val="000000"/>
        </w:rPr>
        <w:t xml:space="preserve">should report these parameters. </w:t>
      </w:r>
    </w:p>
    <w:p w14:paraId="6069C77A" w14:textId="7BE13CF1" w:rsidR="00301BFC" w:rsidRDefault="00CD55F8" w:rsidP="008942E3">
      <w:pPr>
        <w:spacing w:line="480" w:lineRule="auto"/>
        <w:ind w:firstLine="720"/>
        <w:rPr>
          <w:rFonts w:cs="Arial"/>
          <w:bCs/>
          <w:color w:val="000000"/>
        </w:rPr>
      </w:pPr>
      <w:r>
        <w:rPr>
          <w:color w:val="000000"/>
        </w:rPr>
        <w:t xml:space="preserve">Prior models of pooled testing strategies for SARS-CoV-2 have primarily examined the effect of pool size and prevalence on testing efficiency, but have not </w:t>
      </w:r>
      <w:r w:rsidR="00586B47">
        <w:rPr>
          <w:color w:val="000000"/>
        </w:rPr>
        <w:t>addressed</w:t>
      </w:r>
      <w:r>
        <w:rPr>
          <w:color w:val="000000"/>
        </w:rPr>
        <w:t xml:space="preserve"> the expected decrement in assay sensitivity that ac</w:t>
      </w:r>
      <w:r w:rsidR="000D708D">
        <w:rPr>
          <w:color w:val="000000"/>
        </w:rPr>
        <w:t xml:space="preserve">companies </w:t>
      </w:r>
      <w:r w:rsidR="00181C18">
        <w:rPr>
          <w:color w:val="000000"/>
        </w:rPr>
        <w:t>a putative increase in</w:t>
      </w:r>
      <w:r w:rsidR="000D708D">
        <w:rPr>
          <w:color w:val="000000"/>
        </w:rPr>
        <w:t xml:space="preserve"> efficiency</w:t>
      </w:r>
      <w:r w:rsidR="00586B47">
        <w:rPr>
          <w:color w:val="000000"/>
        </w:rPr>
        <w:t xml:space="preserve"> </w:t>
      </w:r>
      <w:r w:rsidR="00586B47">
        <w:rPr>
          <w:color w:val="000000"/>
        </w:rPr>
        <w:fldChar w:fldCharType="begin" w:fldLock="1"/>
      </w:r>
      <w:r w:rsidR="00597F3E">
        <w:rPr>
          <w:color w:val="000000"/>
        </w:rPr>
        <w:instrText>ADDIN CSL_CITATION {"citationItems":[{"id":"ITEM-1","itemData":{"DOI":"10.1002/jmv.25929","ISSN":"10969071","PMID":"32330297","abstract":"Coronavirus disease (Covid-19) has reached unprecedented pandemic levels and is affecting almost every country in the world. Ramping up the testing capacity of a country supposes an essential public health response to this new outbreak. A pool testing strategy where multiple samples are tested in a single reverse transcriptase-polymerase chain reaction (RT-PCR) kit could potentially increase a country's testing capacity. The aim of this study is to propose a simple mathematical model to estimate the optimum number of pooled samples according to the relative prevalence of positive tests in a particular healthcare context, assuming that if a group tests negative, no further testing is done whereas if a group tests positive, all the subjects of the group are retested individually. The model predicts group sizes that range from 11 to 3 subjects. For a prevalence of 10% of positive tests, 40.6% of tests can be saved using testing groups of four subjects. For a 20% prevalence, 17.9% of tests can be saved using groups of three subjects. For higher prevalences, the strategy flattens and loses effectiveness. Pool testing individuals for severe acute respiratory syndrome coronavirus 2 is a valuable strategy that could considerably boost a country's testing capacity. However, further studies are needed to address how large these groups can be, without losing sensitivity on the RT-PCR. The strategy best works in settings with a low prevalence of positive tests. It is best implemented in subgroups with low clinical suspicion. The model can be adapted to specific prevalences, generating a tailored to the context implementation of the pool testing strategy.","author":[{"dropping-particle":"","family":"Aragón-Caqueo","given":"Diego","non-dropping-particle":"","parse-names":false,"suffix":""},{"dropping-particle":"","family":"Fernández-Salinas","given":"Javier","non-dropping-particle":"","parse-names":false,"suffix":""},{"dropping-particle":"","family":"Laroze","given":"David","non-dropping-particle":"","parse-names":false,"suffix":""}],"container-title":"J Med Virol.. 2020 Jul 13 [date cited].. Epub 2020 Apr.","id":"ITEM-1","issued":{"date-parts":[["0"]]},"title":"Optimization of group size in pool testing strategy for SARS-CoV-2: A simple mathematical model","type":"article-journal"},"uris":["http://www.mendeley.com/documents/?uuid=9a27312b-d431-4661-a7d7-13c7d9b4538a"]},{"id":"ITEM-2","itemData":{"PMID":"32388468","author":[{"dropping-particle":"","family":"Eberhardt","given":"J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Virology","id":"ITEM-2","issue":"104382","issued":{"date-parts":[["2020"]]},"title":"Multi-Stage Group Testing Improves Efficiency of Large-Scale COVID-19 Screening","type":"article-journal","volume":"128"},"uris":["http://www.mendeley.com/documents/?uuid=a9c58d08-e014-448d-a194-d2a155e034c3"]}],"mendeley":{"formattedCitation":"(&lt;i&gt;6&lt;/i&gt;,&lt;i&gt;22&lt;/i&gt;)","plainTextFormattedCitation":"(6,22)","previouslyFormattedCitation":"(&lt;i&gt;6&lt;/i&gt;,&lt;i&gt;22&lt;/i&gt;)"},"properties":{"noteIndex":0},"schema":"https://github.com/citation-style-language/schema/raw/master/csl-citation.json"}</w:instrText>
      </w:r>
      <w:r w:rsidR="00586B47">
        <w:rPr>
          <w:color w:val="000000"/>
        </w:rPr>
        <w:fldChar w:fldCharType="separate"/>
      </w:r>
      <w:r w:rsidR="00597F3E" w:rsidRPr="00597F3E">
        <w:rPr>
          <w:noProof/>
          <w:color w:val="000000"/>
        </w:rPr>
        <w:t>(</w:t>
      </w:r>
      <w:r w:rsidR="00597F3E" w:rsidRPr="00597F3E">
        <w:rPr>
          <w:i/>
          <w:noProof/>
          <w:color w:val="000000"/>
        </w:rPr>
        <w:t>6</w:t>
      </w:r>
      <w:r w:rsidR="00597F3E" w:rsidRPr="00597F3E">
        <w:rPr>
          <w:noProof/>
          <w:color w:val="000000"/>
        </w:rPr>
        <w:t>,</w:t>
      </w:r>
      <w:r w:rsidR="00597F3E" w:rsidRPr="00597F3E">
        <w:rPr>
          <w:i/>
          <w:noProof/>
          <w:color w:val="000000"/>
        </w:rPr>
        <w:t>22</w:t>
      </w:r>
      <w:r w:rsidR="00597F3E" w:rsidRPr="00597F3E">
        <w:rPr>
          <w:noProof/>
          <w:color w:val="000000"/>
        </w:rPr>
        <w:t>)</w:t>
      </w:r>
      <w:r w:rsidR="00586B47">
        <w:rPr>
          <w:color w:val="000000"/>
        </w:rPr>
        <w:fldChar w:fldCharType="end"/>
      </w:r>
      <w:r w:rsidR="00586B47">
        <w:rPr>
          <w:color w:val="000000"/>
        </w:rPr>
        <w:t>. Those that have</w:t>
      </w:r>
      <w:r w:rsidR="00181C18">
        <w:rPr>
          <w:color w:val="000000"/>
        </w:rPr>
        <w:t xml:space="preserve"> examined sensitivity</w:t>
      </w:r>
      <w:r w:rsidR="00586B47">
        <w:rPr>
          <w:color w:val="000000"/>
        </w:rPr>
        <w:t xml:space="preserve"> did not explicitly model the effect of </w:t>
      </w:r>
      <w:r w:rsidR="004B56E8">
        <w:rPr>
          <w:color w:val="000000"/>
        </w:rPr>
        <w:t xml:space="preserve">variable </w:t>
      </w:r>
      <w:r w:rsidR="00586B47">
        <w:rPr>
          <w:color w:val="000000"/>
        </w:rPr>
        <w:t xml:space="preserve">viral load distribution of test-positive patients, a parameter that can </w:t>
      </w:r>
      <w:r w:rsidR="00A8050A">
        <w:rPr>
          <w:color w:val="000000"/>
        </w:rPr>
        <w:t>vary</w:t>
      </w:r>
      <w:r w:rsidR="00586B47">
        <w:rPr>
          <w:color w:val="000000"/>
        </w:rPr>
        <w:t xml:space="preserve"> based on </w:t>
      </w:r>
      <w:r w:rsidR="00586B47">
        <w:rPr>
          <w:rFonts w:cs="Arial"/>
          <w:bCs/>
          <w:color w:val="000000"/>
        </w:rPr>
        <w:t>the underlying patient population (asymptomatic vs. symptomatic</w:t>
      </w:r>
      <w:r w:rsidR="00A8050A">
        <w:rPr>
          <w:rFonts w:cs="Arial"/>
          <w:bCs/>
          <w:color w:val="000000"/>
        </w:rPr>
        <w:t>, severe vs. non-severe</w:t>
      </w:r>
      <w:r w:rsidR="00586B47">
        <w:rPr>
          <w:rFonts w:cs="Arial"/>
          <w:bCs/>
          <w:color w:val="000000"/>
        </w:rPr>
        <w:t xml:space="preserve">), purpose of testing (diagnostic vs. follow-up), and specimen type </w:t>
      </w:r>
      <w:r w:rsidR="00586B47">
        <w:rPr>
          <w:rFonts w:cs="Arial"/>
          <w:bCs/>
          <w:color w:val="000000"/>
        </w:rPr>
        <w:fldChar w:fldCharType="begin" w:fldLock="1"/>
      </w:r>
      <w:r w:rsidR="00597F3E">
        <w:rPr>
          <w:rFonts w:cs="Arial"/>
          <w:bCs/>
          <w:color w:val="000000"/>
        </w:rPr>
        <w:instrText>ADDIN CSL_CITATION {"citationItems":[{"id":"ITEM-1","itemData":{"DOI":"10.1101/2020.04.30.20085290","abstract":"Background: Due to the ongoing COVID-19 pandemic, demand for diagnostic testing has increased drastically, resulting in shortages of necessary materials to conduct the tests and overwhelming the capacity of testing laboratories. The supply scarcity and capacity limits affect test administration: priority must be given to hospitalized patients and symptomatic individuals, which can prevent the identification of asymptomatic and presymptomatic individuals and hence effective tracking and tracing policies. We describe optimized group testing strategies applicable to SARS-CoV-2 tests in scenarios tailored to the current COVID-19 pandemic and assess significant gains compared to individual testing. Methods: We account for biochemically realistic scenarios in the context of dilution effects on SARS-CoV-2 samples and consider evidence on specificity and sensitivity of PCR-based tests for the novel coronavirus. Because of the current uncertainty and the temporal and spatial changes in the prevalence regime, we provide analysis for a number of realistic scenarios and propose fast and reliable strategies for massive testing procedures. Findings: We find significant efficiency gaps between different group testing strategies in realistic scenarios for SARS-CoV-2 testing, highlighting the need for an informed decision of the pooling protocol depending on estimated prevalence, target specificity, and high- vs. low-risk population. For example, using one of the presented methods, all 1.47 million inhabitants of Munich, Germany, could be tested using only around 141 thousand tests if the infection rate is below 0.4% is assumed. Using 1 million tests, the 6.69 million inhabitants from the city of Rio de Janeiro, Brazil, could be tested as long as the infection rate does not exceed 1%. Interpretation: Altogether this work may help provide a basis for efficient upscaling of current testing procedures, taking the population heterogeneity into account and fine grained towards the desired study populations, e.g. cross-sectional versus health-care workers and adapted mixtures thereof. ### Competing Interest Statement The authors have declared no competing interest. ### Funding Statement CMV gratefully acknowledge support by German Science Foundation (DFG) within the Gottfried Wilhelm Leibniz Prize under Grant BO 1734/20-1, under contract number PO-1347/3-2 and within Germany's Excellence Strategy EXC-2111 390814868. CMV and FK gratefully acknowledge support by German Science …","author":[{"dropping-particle":"","family":"Verdun","given":"Claudio M.","non-dropping-particle":"","parse-names":false,"suffix":""},{"dropping-particle":"","family":"Fuchs","given":"Tim","non-dropping-particle":"","parse-names":false,"suffix":""},{"dropping-particle":"","family":"Harar","given":"Pavol","non-dropping-particle":"","parse-names":false,"suffix":""},{"dropping-particle":"","family":"Elbrächter","given":"Dennis","non-dropping-particle":"","parse-names":false,"suffix":""},{"dropping-particle":"","family":"Fischer","given":"David S.","non-dropping-particle":"","parse-names":false,"suffix":""},{"dropping-particle":"","family":"Berner","given":"Julius","non-dropping-particle":"","parse-names":false,"suffix":""},{"dropping-particle":"","family":"Grohs","given":"Philipp","non-dropping-particle":"","parse-names":false,"suffix":""},{"dropping-particle":"","family":"Theis","given":"Fabian J.","non-dropping-particle":"","parse-names":false,"suffix":""},{"dropping-particle":"","family":"Krahmer","given":"Felix","non-dropping-particle":"","parse-names":false,"suffix":""}],"container-title":"medRxiv.. 2020 Jul 15 [date cited].. Epub 2020 May 5.","id":"ITEM-1","issued":{"date-parts":[["0"]]},"title":"Group testing for SARS-CoV-2 allows for up to 10-fold efficiency increase across realistic scenarios and testing strategies","type":"article-journal"},"uris":["http://www.mendeley.com/documents/?uuid=287187c9-d033-4ce7-9e69-ccf2301e00d3"]},{"id":"ITEM-2","itemData":{"DOI":"https://doi.org/10.1093/infdis/jiaa378","ISBN":"4085513540","abstract":"Most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id":"ITEM-3","itemData":{"DOI":"10.1016/S1473-3099(20)30113-4","ISSN":"14744457","PMID":"32105638","author":[{"dropping-particle":"","family":"Pan","given":"Yang","non-dropping-particle":"","parse-names":false,"suffix":""},{"dropping-particle":"","family":"Zhang","given":"Daitao","non-dropping-particle":"","parse-names":false,"suffix":""},{"dropping-particle":"","family":"Yang","given":"Peng","non-dropping-particle":"","parse-names":false,"suffix":""},{"dropping-particle":"","family":"Poon","given":"Leo L.M.","non-dropping-particle":"","parse-names":false,"suffix":""},{"dropping-particle":"","family":"Wang","given":"Quanyi","non-dropping-particle":"","parse-names":false,"suffix":""}],"container-title":"The Lancet Infectious Diseases","id":"ITEM-3","issue":"4","issued":{"date-parts":[["2020"]]},"page":"411-412","publisher":"Elsevier Ltd","title":"Viral load of SARS-CoV-2 in clinical samples","type":"article-journal","volume":"20"},"uris":["http://www.mendeley.com/documents/?uuid=3c59a47c-f0dc-41a6-895c-32480896461a"]},{"id":"ITEM-4","itemData":{"DOI":"10.1016/j.ijid.2020.03.022","ISSN":"18783511","PMID":"32179140","abstract":"Objectives: To compare the clinical characteristics and the dynamics of viral load between imported and non-imported patients with COVID-19. Design and methods: Data from 51 laboratory-confirmed patients were retrospectively analyzed. Results: The incubation period in the tertiary group was longer than that in the imported and secondary groups (both p &lt; 0.05). Fever was the most common symptom at the onset of illness (73.33%, 58.82%, and 68.42%, respectively), and half of the patients had a low-grade temperature (&lt;38.0 °C) with a short duration of fever (&lt;7 days). CT scans showed that most patients in the three groups had bilateral pneumonia (80.00%, 76.47%, and 73.68%, respectively). Ct values detected in the tertiary patients were similar to those for the imported and secondary groups at the time of admission (both p &gt; 0.05). For the tertiary group, the viral load was undetectable in half of the patients (52.63%) on day 7, and in all patients on day 14. For one third of the patients in the imported and secondary groups, the viral load remained positive on day 14 after the admission. Conclusions: COVID-19 can present as pneumonia with a low onset of symptoms, and the infectivity of SARS-CoV2 may gradually decrease in tertiary patients.","author":[{"dropping-particle":"","family":"Xu","given":"Tianmin","non-dropping-particle":"","parse-names":false,"suffix":""},{"dropping-particle":"","family":"Chen","given":"Cong","non-dropping-particle":"","parse-names":false,"suffix":""},{"dropping-particle":"","family":"Zhu","given":"Zhen","non-dropping-particle":"","parse-names":false,"suffix":""},{"dropping-particle":"","family":"Cui","given":"Manman","non-dropping-particle":"","parse-names":false,"suffix":""},{"dropping-particle":"","family":"Chen","given":"Chunhua","non-dropping-particle":"","parse-names":false,"suffix":""},{"dropping-particle":"","family":"Dai","given":"Hong","non-dropping-particle":"","parse-names":false,"suffix":""},{"dropping-particle":"","family":"Xue","given":"Yuan","non-dropping-particle":"","parse-names":false,"suffix":""}],"container-title":"International Journal of Infectious Diseases","id":"ITEM-4","issue":"300","issued":{"date-parts":[["2020"]]},"page":"68-71","publisher":"International Society for Infectious Diseases","title":"Clinical features and dynamics of viral load in imported and non-imported patients with COVID-19","type":"article-journal","volume":"94"},"uris":["http://www.mendeley.com/documents/?uuid=ad8b8366-bab0-4759-9951-0a54ed0743bb"]},{"id":"ITEM-5","itemData":{"DOI":"10.1016/S1473-3099(20)30196-1","ISSN":"14744457","PMID":"32213337","abstract":"Background: Coronavirus disease 2019 (COVID-19) causes severe community and nosocomial outbreaks. Comprehensive data for serial respiratory viral load and serum antibody responses from patients infected with severe acute respiratory syndrome coronavirus 2 (SARS-CoV-2) are not yet available. Nasopharyngeal and throat swabs are usually obtained for serial viral load monitoring of respiratory infections but gathering these specimens can cause discomfort for patients and put health-care workers at risk. We aimed to ascertain the serial respiratory viral load of SARS-CoV-2 in posterior oropharyngeal (deep throat) saliva samples from patients with COVID-19, and serum antibody responses. Methods: We did a cohort study at two hospitals in Hong Kong. We included patients with laboratory-confirmed COVID-19. We obtained samples of blood, urine, posterior oropharyngeal saliva, and rectal swabs. Serial viral load was ascertained by reverse transcriptase quantitative PCR (RT-qPCR). Antibody levels against the SARS-CoV-2 internal nucleoprotein (NP) and surface spike protein receptor binding domain (RBD) were measured using EIA. Whole-genome sequencing was done to identify possible mutations arising during infection. Findings: Between Jan 22, 2020, and Feb 12, 2020, 30 patients were screened for inclusion, of whom 23 were included (median age 62 years [range 37–75]). The median viral load in posterior oropharyngeal saliva or other respiratory specimens at presentation was 5·2 log10 copies per mL (IQR 4·1–7·0). Salivary viral load was highest during the first week after symptom onset and subsequently declined with time (slope −0·15, 95% CI −0·19 to −0·11; R2=0·71). In one patient, viral RNA was detected 25 days after symptom onset. Older age was correlated with higher viral load (Spearman's ρ=0·48, 95% CI 0·074–0·75; p=0·020). For 16 patients with serum samples available 14 days or longer after symptom onset, rates of seropositivity were 94% for anti-NP IgG (n=15), 88% for anti-NP IgM (n=14), 100% for anti-RBD IgG (n=16), and 94% for anti-RBD IgM (n=15). Anti-SARS-CoV-2-NP or anti-SARS-CoV-2-RBD IgG levels correlated with virus neutralisation titre (R2&gt;0·9). No genome mutations were detected on serial samples. Interpretation: Posterior oropharyngeal saliva samples are a non-invasive specimen more acceptable to patients and health-care workers. Unlike severe acute respiratory syndrome, patients with COVID-19 had the highest viral load near presentation, which could accou…","author":[{"dropping-particle":"","family":"To","given":"Kelvin Kai Wang","non-dropping-particle":"","parse-names":false,"suffix":""},{"dropping-particle":"","family":"Tsang","given":"Owen Tak Yin","non-dropping-particle":"","parse-names":false,"suffix":""},{"dropping-particle":"","family":"Leung","given":"Wai Shing","non-dropping-particle":"","parse-names":false,"suffix":""},{"dropping-particle":"","family":"Tam","given":"Anthony Raymond","non-dropping-particle":"","parse-names":false,"suffix":""},{"dropping-particle":"","family":"Wu","given":"Tak Chiu","non-dropping-particle":"","parse-names":false,"suffix":""},{"dropping-particle":"","family":"Lung","given":"David Christopher","non-dropping-particle":"","parse-names":false,"suffix":""},{"dropping-particle":"","family":"Yip","given":"Cyril Chik Yan","non-dropping-particle":"","parse-names":false,"suffix":""},{"dropping-particle":"","family":"Cai","given":"Jian Piao","non-dropping-particle":"","parse-names":false,"suffix":""},{"dropping-particle":"","family":"Chan","given":"Jacky Man Chun","non-dropping-particle":"","parse-names":false,"suffix":""},{"dropping-particle":"","family":"Chik","given":"Thomas Shiu Hong","non-dropping-particle":"","parse-names":false,"suffix":""},{"dropping-particle":"","family":"Lau","given":"Daphne Pui Ling","non-dropping-particle":"","parse-names":false,"suffix":""},{"dropping-particle":"","family":"Choi","given":"Chris Yau Chung","non-dropping-particle":"","parse-names":false,"suffix":""},{"dropping-particle":"","family":"Chen","given":"Lin Lei","non-dropping-particle":"","parse-names":false,"suffix":""},{"dropping-particle":"","family":"Chan","given":"Wan Mui","non-dropping-particle":"","parse-names":false,"suffix":""},{"dropping-particle":"","family":"Chan","given":"Kwok Hung","non-dropping-particle":"","parse-names":false,"suffix":""},{"dropping-particle":"","family":"Ip","given":"Jonathan Daniel","non-dropping-particle":"","parse-names":false,"suffix":""},{"dropping-particle":"","family":"Ng","given":"Anthony Chin Ki","non-dropping-particle":"","parse-names":false,"suffix":""},{"dropping-particle":"","family":"Poon","given":"Rosana Wing Shan","non-dropping-particle":"","parse-names":false,"suffix":""},{"dropping-particle":"","family":"Luo","given":"Cui Ting","non-dropping-particle":"","parse-names":false,"suffix":""},{"dropping-particle":"","family":"Cheng","given":"Vincent Chi Chung","non-dropping-particle":"","parse-names":false,"suffix":""},{"dropping-particle":"","family":"Chan","given":"Jasper Fuk Woo","non-dropping-particle":"","parse-names":false,"suffix":""},{"dropping-particle":"","family":"Hung","given":"Ivan Fan Ngai","non-dropping-particle":"","parse-names":false,"suffix":""},{"dropping-particle":"","family":"Chen","given":"Zhiwei","non-dropping-particle":"","parse-names":false,"suffix":""},{"dropping-particle":"","family":"Chen","given":"Honglin","non-dropping-particle":"","parse-names":false,"suffix":""},{"dropping-particle":"","family":"Yuen","given":"Kwok Yung","non-dropping-particle":"","parse-names":false,"suffix":""}],"container-title":"The Lancet Infectious Diseases","id":"ITEM-5","issue":"5","issued":{"date-parts":[["2020"]]},"page":"565-574","publisher":"Elsevier Ltd","title":"Temporal profiles of viral load in posterior oropharyngeal saliva samples and serum antibody responses during infection by SARS-CoV-2: an observational cohort study","type":"article-journal","volume":"20"},"uris":["http://www.mendeley.com/documents/?uuid=af864b0e-0fbb-4ade-975b-f68f8fa4b526"]},{"id":"ITEM-6","itemData":{"DOI":"10.1038/s41586-020-2196-x","ISSN":"14764687","PMID":"32235945","abstract":"Coronavirus disease 2019 (COVID-19) is an acute infection of the respiratory tract that emerged in late 20191,2. Initial outbreaks in China involved 13.8% of cases with severe courses, and 6.1% of cases with critical courses3. This severe presentation may result from the virus using a virus receptor that is expressed predominantly in the lung2,4; the same receptor tropism is thought to have determined the pathogenicity—but also aided in the control—of severe acute respiratory syndrome (SARS) in 20035. However, there are reports of cases of COVID-19 in which the patient shows mild upper respiratory tract symptoms, which suggests the potential for pre- or oligosymptomatic transmission6–8. There is an urgent need for information on virus replication, immunity and infectivity in specific sites of the body. Here we report a detailed virological analysis of nine cases of COVID-19 that provides proof of active virus replication in tissues of the upper respiratory tract. Pharyngeal virus shedding was very high during the first week of symptoms, with a peak at 7.11 × 108 RNA copies per throat swab on day 4. Infectious virus was readily isolated from samples derived from the throat or lung, but not from stool samples—in spite of high concentrations of virus RNA. Blood and urine samples never yielded virus. Active replication in the throat was confirmed by the presence of viral replicative RNA intermediates in the throat samples. We consistently detected sequence-distinct virus populations in throat and lung samples from one patient, proving independent replication. The shedding of viral RNA from sputum outlasted the end of symptoms. Seroconversion occurred after 7 days in 50% of patients (and by day 14 in all patients), but was not followed by a rapid decline in viral load. COVID-19 can present as a mild illness of the upper respiratory tract. The confirmation of active virus replication in the upper respiratory tract has implications for the containment of COVID-19.","author":[{"dropping-particle":"","family":"Wölfel","given":"Roman","non-dropping-particle":"","parse-names":false,"suffix":""},{"dropping-particle":"","family":"Corman","given":"Victor M.","non-dropping-particle":"","parse-names":false,"suffix":""},{"dropping-particle":"","family":"Guggemos","given":"Wolfgang","non-dropping-particle":"","parse-names":false,"suffix":""},{"dropping-particle":"","family":"Seilmaier","given":"Michael","non-dropping-particle":"","parse-names":false,"suffix":""},{"dropping-particle":"","family":"Zange","given":"Sabine","non-dropping-particle":"","parse-names":false,"suffix":""},{"dropping-particle":"","family":"Müller","given":"Marcel A.","non-dropping-particle":"","parse-names":false,"suffix":""},{"dropping-particle":"","family":"Niemeyer","given":"Daniela","non-dropping-particle":"","parse-names":false,"suffix":""},{"dropping-particle":"","family":"Jones","given":"Terry C.","non-dropping-particle":"","parse-names":false,"suffix":""},{"dropping-particle":"","family":"Vollmar","given":"Patrick","non-dropping-particle":"","parse-names":false,"suffix":""},{"dropping-particle":"","family":"Rothe","given":"Camilla","non-dropping-particle":"","parse-names":false,"suffix":""},{"dropping-particle":"","family":"Hoelscher","given":"Michael","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Ehmann","given":"Rosina","non-dropping-particle":"","parse-names":false,"suffix":""},{"dropping-particle":"","family":"Zwirglmaier","given":"Katrin","non-dropping-particle":"","parse-names":false,"suffix":""},{"dropping-particle":"","family":"Drosten","given":"Christian","non-dropping-particle":"","parse-names":false,"suffix":""},{"dropping-particle":"","family":"Wendtner","given":"Clemens","non-dropping-particle":"","parse-names":false,"suffix":""}],"container-title":"Nature","id":"ITEM-6","issue":"7809","issued":{"date-parts":[["2020"]]},"page":"465-469","publisher":"Springer US","title":"Virological assessment of hospitalized patients with COVID-2019","type":"article-journal","volume":"581"},"uris":["http://www.mendeley.com/documents/?uuid=6d6fc4f1-0bdc-4e35-92eb-f0edc9615fc0"]}],"mendeley":{"formattedCitation":"(&lt;i&gt;8&lt;/i&gt;,&lt;i&gt;23&lt;/i&gt;–&lt;i&gt;27&lt;/i&gt;)","plainTextFormattedCitation":"(8,23–27)","previouslyFormattedCitation":"(&lt;i&gt;8&lt;/i&gt;,&lt;i&gt;23&lt;/i&gt;–&lt;i&gt;27&lt;/i&gt;)"},"properties":{"noteIndex":0},"schema":"https://github.com/citation-style-language/schema/raw/master/csl-citation.json"}</w:instrText>
      </w:r>
      <w:r w:rsidR="00586B47">
        <w:rPr>
          <w:rFonts w:cs="Arial"/>
          <w:bCs/>
          <w:color w:val="000000"/>
        </w:rPr>
        <w:fldChar w:fldCharType="separate"/>
      </w:r>
      <w:r w:rsidR="00597F3E" w:rsidRPr="00597F3E">
        <w:rPr>
          <w:rFonts w:cs="Arial"/>
          <w:bCs/>
          <w:noProof/>
          <w:color w:val="000000"/>
        </w:rPr>
        <w:t>(</w:t>
      </w:r>
      <w:r w:rsidR="00597F3E" w:rsidRPr="00597F3E">
        <w:rPr>
          <w:rFonts w:cs="Arial"/>
          <w:bCs/>
          <w:i/>
          <w:noProof/>
          <w:color w:val="000000"/>
        </w:rPr>
        <w:t>8</w:t>
      </w:r>
      <w:r w:rsidR="00597F3E" w:rsidRPr="00597F3E">
        <w:rPr>
          <w:rFonts w:cs="Arial"/>
          <w:bCs/>
          <w:noProof/>
          <w:color w:val="000000"/>
        </w:rPr>
        <w:t>,</w:t>
      </w:r>
      <w:r w:rsidR="00597F3E" w:rsidRPr="00597F3E">
        <w:rPr>
          <w:rFonts w:cs="Arial"/>
          <w:bCs/>
          <w:i/>
          <w:noProof/>
          <w:color w:val="000000"/>
        </w:rPr>
        <w:t>23</w:t>
      </w:r>
      <w:r w:rsidR="00597F3E" w:rsidRPr="00597F3E">
        <w:rPr>
          <w:rFonts w:cs="Arial"/>
          <w:bCs/>
          <w:noProof/>
          <w:color w:val="000000"/>
        </w:rPr>
        <w:t>–</w:t>
      </w:r>
      <w:r w:rsidR="00597F3E" w:rsidRPr="00597F3E">
        <w:rPr>
          <w:rFonts w:cs="Arial"/>
          <w:bCs/>
          <w:i/>
          <w:noProof/>
          <w:color w:val="000000"/>
        </w:rPr>
        <w:t>27</w:t>
      </w:r>
      <w:r w:rsidR="00597F3E" w:rsidRPr="00597F3E">
        <w:rPr>
          <w:rFonts w:cs="Arial"/>
          <w:bCs/>
          <w:noProof/>
          <w:color w:val="000000"/>
        </w:rPr>
        <w:t>)</w:t>
      </w:r>
      <w:r w:rsidR="00586B47">
        <w:rPr>
          <w:rFonts w:cs="Arial"/>
          <w:bCs/>
          <w:color w:val="000000"/>
        </w:rPr>
        <w:fldChar w:fldCharType="end"/>
      </w:r>
      <w:r w:rsidR="008942E3">
        <w:rPr>
          <w:rFonts w:cs="Arial"/>
          <w:bCs/>
          <w:color w:val="000000"/>
        </w:rPr>
        <w:t xml:space="preserve">. </w:t>
      </w:r>
      <w:r w:rsidR="00932801">
        <w:rPr>
          <w:rFonts w:cs="Arial"/>
          <w:bCs/>
          <w:color w:val="000000"/>
        </w:rPr>
        <w:t>Additionally, prior model</w:t>
      </w:r>
      <w:r w:rsidR="008942E3">
        <w:rPr>
          <w:rFonts w:cs="Arial"/>
          <w:bCs/>
          <w:color w:val="000000"/>
        </w:rPr>
        <w:t>ing studies</w:t>
      </w:r>
      <w:r w:rsidR="00932801">
        <w:rPr>
          <w:rFonts w:cs="Arial"/>
          <w:bCs/>
          <w:color w:val="000000"/>
        </w:rPr>
        <w:t xml:space="preserve"> </w:t>
      </w:r>
      <w:r w:rsidR="008942E3">
        <w:rPr>
          <w:rFonts w:cs="Arial"/>
          <w:bCs/>
          <w:color w:val="000000"/>
        </w:rPr>
        <w:t>and in silico analyses have mostly used the assay’s C</w:t>
      </w:r>
      <w:r w:rsidR="008942E3" w:rsidRPr="00DE700A">
        <w:rPr>
          <w:rFonts w:cs="Arial"/>
          <w:bCs/>
          <w:color w:val="000000"/>
          <w:vertAlign w:val="subscript"/>
        </w:rPr>
        <w:t>t</w:t>
      </w:r>
      <w:r w:rsidR="008942E3">
        <w:rPr>
          <w:rFonts w:cs="Arial"/>
          <w:bCs/>
          <w:color w:val="000000"/>
        </w:rPr>
        <w:t xml:space="preserve"> cutoff, assuming 100% detection below the cutoff, and 0% detection above it. </w:t>
      </w:r>
      <w:r w:rsidR="00C34C93" w:rsidRPr="00F929FF">
        <w:rPr>
          <w:rFonts w:cs="Arial"/>
          <w:bCs/>
          <w:color w:val="000000"/>
          <w:highlight w:val="yellow"/>
        </w:rPr>
        <w:t>In contrast, our</w:t>
      </w:r>
      <w:r w:rsidR="008942E3" w:rsidRPr="00F929FF">
        <w:rPr>
          <w:rFonts w:cs="Arial"/>
          <w:bCs/>
          <w:color w:val="000000"/>
          <w:highlight w:val="yellow"/>
        </w:rPr>
        <w:t xml:space="preserve"> model incorporates the probabilistic nature of detection at and above the </w:t>
      </w:r>
      <w:proofErr w:type="spellStart"/>
      <w:r w:rsidR="008942E3" w:rsidRPr="00F929FF">
        <w:rPr>
          <w:rFonts w:cs="Arial"/>
          <w:bCs/>
          <w:color w:val="000000"/>
          <w:highlight w:val="yellow"/>
        </w:rPr>
        <w:t>LoD</w:t>
      </w:r>
      <w:proofErr w:type="spellEnd"/>
      <w:r w:rsidR="008942E3" w:rsidRPr="00F929FF">
        <w:rPr>
          <w:rFonts w:cs="Arial"/>
          <w:bCs/>
          <w:color w:val="000000"/>
          <w:highlight w:val="yellow"/>
        </w:rPr>
        <w:t>, which better approximates reality.</w:t>
      </w:r>
    </w:p>
    <w:p w14:paraId="472EEC5B" w14:textId="57B2619F" w:rsidR="00471F50" w:rsidRPr="0020275E" w:rsidRDefault="00E94E09" w:rsidP="00F82FAE">
      <w:pPr>
        <w:spacing w:line="480" w:lineRule="auto"/>
        <w:ind w:firstLine="720"/>
        <w:rPr>
          <w:rFonts w:cs="Arial"/>
          <w:bCs/>
          <w:color w:val="000000"/>
        </w:rPr>
      </w:pPr>
      <w:r>
        <w:rPr>
          <w:rFonts w:cs="Arial"/>
          <w:bCs/>
          <w:color w:val="000000"/>
        </w:rPr>
        <w:t>Our approach is limited by the generalizability of the probit regression shape and equation estimating dilutional effect</w:t>
      </w:r>
      <w:r w:rsidR="00D019D9">
        <w:rPr>
          <w:rFonts w:cs="Arial"/>
          <w:bCs/>
          <w:color w:val="000000"/>
        </w:rPr>
        <w:t>, as demonstrated by the variability seen on probabilistic and deterministic sensitivity analysis</w:t>
      </w:r>
      <w:r>
        <w:rPr>
          <w:rFonts w:cs="Arial"/>
          <w:bCs/>
          <w:color w:val="000000"/>
        </w:rPr>
        <w:t xml:space="preserve">. </w:t>
      </w:r>
      <w:r w:rsidR="00D019D9">
        <w:rPr>
          <w:rFonts w:cs="Arial"/>
          <w:bCs/>
          <w:color w:val="000000"/>
        </w:rPr>
        <w:t>Furthermore, the</w:t>
      </w:r>
      <w:r w:rsidR="00C26C1A">
        <w:rPr>
          <w:rFonts w:cs="Arial"/>
          <w:bCs/>
          <w:color w:val="000000"/>
        </w:rPr>
        <w:t xml:space="preserve"> model assumes</w:t>
      </w:r>
      <w:r w:rsidR="00993CE3">
        <w:rPr>
          <w:rFonts w:cs="Arial"/>
          <w:bCs/>
          <w:color w:val="000000"/>
        </w:rPr>
        <w:t xml:space="preserve"> that the PCR is</w:t>
      </w:r>
      <w:r w:rsidR="00C26C1A">
        <w:rPr>
          <w:rFonts w:cs="Arial"/>
          <w:bCs/>
          <w:color w:val="000000"/>
        </w:rPr>
        <w:t xml:space="preserve"> </w:t>
      </w:r>
      <w:r w:rsidR="00993CE3">
        <w:rPr>
          <w:rFonts w:cs="Arial"/>
          <w:bCs/>
          <w:color w:val="000000"/>
        </w:rPr>
        <w:t>100% efficient, and that it is devoid of any proportional bias between</w:t>
      </w:r>
      <w:r w:rsidR="00C26C1A">
        <w:rPr>
          <w:rFonts w:cs="Arial"/>
          <w:bCs/>
          <w:color w:val="000000"/>
        </w:rPr>
        <w:t xml:space="preserve"> individual and pooled tests.</w:t>
      </w:r>
      <w:r w:rsidR="00C26C1A" w:rsidRPr="00C26C1A">
        <w:rPr>
          <w:rFonts w:cs="Arial"/>
          <w:bCs/>
          <w:color w:val="000000"/>
        </w:rPr>
        <w:t xml:space="preserve"> </w:t>
      </w:r>
      <w:r w:rsidR="00D019D9">
        <w:rPr>
          <w:rFonts w:cs="Arial"/>
          <w:bCs/>
          <w:color w:val="000000"/>
        </w:rPr>
        <w:t>Additionally, the</w:t>
      </w:r>
      <w:r w:rsidR="00C26C1A">
        <w:rPr>
          <w:rFonts w:cs="Arial"/>
          <w:bCs/>
          <w:color w:val="000000"/>
        </w:rPr>
        <w:t xml:space="preserve"> model may underestimate PPA and efficiency of pooled testing if samples in each pool are not independent; placing samples with higher pre-test probability in the same pool would decrease the total number of positive pools while increasing the likelihood of detection. Indeed, this feature could be leveraged by pooling specimens from individuals in the same household or social distancing pod, such as coworkers on the same shift, or students sharing a classroom.</w:t>
      </w:r>
      <w:r w:rsidR="00D019D9">
        <w:rPr>
          <w:rFonts w:cs="Arial"/>
          <w:bCs/>
          <w:color w:val="000000"/>
        </w:rPr>
        <w:t xml:space="preserve"> These factors, among others, may </w:t>
      </w:r>
      <w:r w:rsidR="00DF4098">
        <w:rPr>
          <w:rFonts w:cs="Arial"/>
          <w:bCs/>
          <w:color w:val="000000"/>
        </w:rPr>
        <w:t xml:space="preserve">be </w:t>
      </w:r>
      <w:r w:rsidR="00D019D9">
        <w:rPr>
          <w:rFonts w:cs="Arial"/>
          <w:bCs/>
          <w:color w:val="000000"/>
        </w:rPr>
        <w:t>the reason</w:t>
      </w:r>
      <w:r w:rsidR="00DF4098">
        <w:rPr>
          <w:rFonts w:cs="Arial"/>
          <w:bCs/>
          <w:color w:val="000000"/>
        </w:rPr>
        <w:t>s</w:t>
      </w:r>
      <w:r w:rsidR="00D019D9">
        <w:rPr>
          <w:rFonts w:cs="Arial"/>
          <w:bCs/>
          <w:color w:val="000000"/>
        </w:rPr>
        <w:t xml:space="preserve"> for which the probabilistic sensitivity analysis confidence intervals </w:t>
      </w:r>
      <w:r w:rsidR="00F82FAE">
        <w:rPr>
          <w:rFonts w:cs="Arial"/>
          <w:bCs/>
          <w:color w:val="000000"/>
        </w:rPr>
        <w:t>often did not contain the empiric point estimate in our validation data. These unaccounted-for factors</w:t>
      </w:r>
      <w:r>
        <w:rPr>
          <w:rFonts w:cs="Arial"/>
          <w:bCs/>
          <w:color w:val="000000"/>
        </w:rPr>
        <w:t xml:space="preserve"> may limit the ability of the model to provide a reliable point estimate.</w:t>
      </w:r>
    </w:p>
    <w:p w14:paraId="1E8180BF" w14:textId="5ADB4F16" w:rsidR="002E6991" w:rsidRPr="006F1059" w:rsidRDefault="00130DEA" w:rsidP="00814D6B">
      <w:pPr>
        <w:spacing w:line="480" w:lineRule="auto"/>
        <w:ind w:firstLine="720"/>
        <w:rPr>
          <w:color w:val="000000"/>
        </w:rPr>
      </w:pPr>
      <w:r>
        <w:rPr>
          <w:color w:val="000000"/>
        </w:rPr>
        <w:lastRenderedPageBreak/>
        <w:t>The strengths of this study include its relative</w:t>
      </w:r>
      <w:r w:rsidR="003772D8">
        <w:rPr>
          <w:color w:val="000000"/>
        </w:rPr>
        <w:t>ly</w:t>
      </w:r>
      <w:r>
        <w:rPr>
          <w:color w:val="000000"/>
        </w:rPr>
        <w:t xml:space="preserve"> large sample size, prospective rather than experimental construction of pools</w:t>
      </w:r>
      <w:r w:rsidR="004D73D5">
        <w:rPr>
          <w:color w:val="000000"/>
        </w:rPr>
        <w:t>, and assessment of two different pool sizes</w:t>
      </w:r>
      <w:r>
        <w:rPr>
          <w:color w:val="000000"/>
        </w:rPr>
        <w:t xml:space="preserve">. </w:t>
      </w:r>
      <w:r w:rsidR="008F74BA" w:rsidRPr="006F1059">
        <w:rPr>
          <w:color w:val="000000"/>
        </w:rPr>
        <w:t xml:space="preserve">It also </w:t>
      </w:r>
      <w:r>
        <w:rPr>
          <w:color w:val="000000"/>
        </w:rPr>
        <w:t>compared</w:t>
      </w:r>
      <w:r w:rsidRPr="006F1059">
        <w:rPr>
          <w:color w:val="000000"/>
        </w:rPr>
        <w:t xml:space="preserve"> </w:t>
      </w:r>
      <w:r w:rsidR="008F74BA" w:rsidRPr="006F1059">
        <w:rPr>
          <w:color w:val="000000"/>
        </w:rPr>
        <w:t xml:space="preserve">three different SARS-CoV-2 assays, two of which are commercially available on highly automated platforms suitable for large-scale testing. </w:t>
      </w:r>
      <w:r w:rsidR="009B50B1" w:rsidRPr="006F1059">
        <w:rPr>
          <w:color w:val="000000"/>
        </w:rPr>
        <w:t xml:space="preserve">The study is limited by its assessment of only a </w:t>
      </w:r>
      <w:r w:rsidR="002E6991">
        <w:rPr>
          <w:color w:val="000000"/>
        </w:rPr>
        <w:t>two-stage pooling strategy. An additional limitation</w:t>
      </w:r>
      <w:r w:rsidR="009B50B1" w:rsidRPr="006F1059">
        <w:rPr>
          <w:color w:val="000000"/>
        </w:rPr>
        <w:t xml:space="preserve"> </w:t>
      </w:r>
      <w:r w:rsidR="008F1F13" w:rsidRPr="006F1059">
        <w:rPr>
          <w:color w:val="000000"/>
        </w:rPr>
        <w:t>include</w:t>
      </w:r>
      <w:r w:rsidR="002E6991">
        <w:rPr>
          <w:color w:val="000000"/>
        </w:rPr>
        <w:t>s</w:t>
      </w:r>
      <w:r w:rsidR="008F1F13" w:rsidRPr="006F1059">
        <w:rPr>
          <w:color w:val="000000"/>
        </w:rPr>
        <w:t xml:space="preserve"> selection bias, as the proportion of positive tests in the study specimens was higher</w:t>
      </w:r>
      <w:r w:rsidR="00DC4CA7">
        <w:rPr>
          <w:color w:val="000000"/>
        </w:rPr>
        <w:t xml:space="preserve"> due to the inclusion of </w:t>
      </w:r>
      <w:r w:rsidR="00692F9A">
        <w:rPr>
          <w:color w:val="000000"/>
        </w:rPr>
        <w:t xml:space="preserve">follow-up </w:t>
      </w:r>
      <w:r w:rsidR="00DC4CA7">
        <w:rPr>
          <w:color w:val="000000"/>
        </w:rPr>
        <w:t xml:space="preserve">samples from </w:t>
      </w:r>
      <w:r w:rsidR="004D73D5">
        <w:rPr>
          <w:color w:val="000000"/>
        </w:rPr>
        <w:t xml:space="preserve">known COVID-19 </w:t>
      </w:r>
      <w:r w:rsidR="00DC4CA7">
        <w:rPr>
          <w:color w:val="000000"/>
        </w:rPr>
        <w:t xml:space="preserve">patients enrolled in clinical research studies. </w:t>
      </w:r>
      <w:r w:rsidR="00A962B8">
        <w:rPr>
          <w:color w:val="000000"/>
        </w:rPr>
        <w:t>Finally, t</w:t>
      </w:r>
      <w:r w:rsidR="00A962B8" w:rsidRPr="006F1059">
        <w:rPr>
          <w:color w:val="000000"/>
        </w:rPr>
        <w:t>est performance may also vary depending on specimen collection medium</w:t>
      </w:r>
      <w:r w:rsidR="00A962B8">
        <w:rPr>
          <w:color w:val="000000"/>
        </w:rPr>
        <w:t xml:space="preserve">, which we did not assess in this study </w:t>
      </w:r>
      <w:r w:rsidR="00A962B8">
        <w:rPr>
          <w:color w:val="000000"/>
        </w:rPr>
        <w:fldChar w:fldCharType="begin" w:fldLock="1"/>
      </w:r>
      <w:r w:rsidR="005927E8">
        <w:rPr>
          <w:color w:val="000000"/>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A962B8">
        <w:rPr>
          <w:color w:val="000000"/>
        </w:rPr>
        <w:fldChar w:fldCharType="separate"/>
      </w:r>
      <w:r w:rsidR="007C46D3" w:rsidRPr="007C46D3">
        <w:rPr>
          <w:noProof/>
          <w:color w:val="000000"/>
        </w:rPr>
        <w:t>(</w:t>
      </w:r>
      <w:r w:rsidR="007C46D3" w:rsidRPr="007C46D3">
        <w:rPr>
          <w:i/>
          <w:noProof/>
          <w:color w:val="000000"/>
        </w:rPr>
        <w:t>10</w:t>
      </w:r>
      <w:r w:rsidR="007C46D3" w:rsidRPr="007C46D3">
        <w:rPr>
          <w:noProof/>
          <w:color w:val="000000"/>
        </w:rPr>
        <w:t>)</w:t>
      </w:r>
      <w:r w:rsidR="00A962B8">
        <w:rPr>
          <w:color w:val="000000"/>
        </w:rPr>
        <w:fldChar w:fldCharType="end"/>
      </w:r>
      <w:r w:rsidR="00A962B8">
        <w:rPr>
          <w:color w:val="000000"/>
        </w:rPr>
        <w:t>.</w:t>
      </w:r>
    </w:p>
    <w:p w14:paraId="7F04C867" w14:textId="58748B5F" w:rsidR="008F1F13" w:rsidRDefault="008F1F13" w:rsidP="00575410">
      <w:pPr>
        <w:spacing w:line="480" w:lineRule="auto"/>
        <w:ind w:firstLine="720"/>
        <w:rPr>
          <w:color w:val="000000"/>
        </w:rPr>
      </w:pPr>
      <w:r w:rsidRPr="006F1059">
        <w:rPr>
          <w:color w:val="000000"/>
        </w:rPr>
        <w:t xml:space="preserve">In conclusion, a two-stage pooled testing strategy for detection of SARS-CoV-2 by nucleic acid amplification is feasible and has the potential to significantly increase testing capacity. However, </w:t>
      </w:r>
      <w:r w:rsidR="00D67350" w:rsidRPr="006F1059">
        <w:rPr>
          <w:color w:val="000000"/>
        </w:rPr>
        <w:t xml:space="preserve">increased pool size and efficiency </w:t>
      </w:r>
      <w:r w:rsidR="00FB1A5D">
        <w:rPr>
          <w:color w:val="000000"/>
        </w:rPr>
        <w:t>can compromise</w:t>
      </w:r>
      <w:r w:rsidR="00D67350" w:rsidRPr="006F1059">
        <w:rPr>
          <w:color w:val="000000"/>
        </w:rPr>
        <w:t xml:space="preserve"> </w:t>
      </w:r>
      <w:r w:rsidR="007E21FD">
        <w:rPr>
          <w:color w:val="000000"/>
        </w:rPr>
        <w:t xml:space="preserve">positive percent agreement. </w:t>
      </w:r>
      <w:r w:rsidR="00AF5EB1">
        <w:rPr>
          <w:color w:val="000000"/>
        </w:rPr>
        <w:t>More studies examining early viral load kinetics</w:t>
      </w:r>
      <w:r w:rsidR="00E60F93">
        <w:rPr>
          <w:color w:val="000000"/>
        </w:rPr>
        <w:t xml:space="preserve"> and infectiousness</w:t>
      </w:r>
      <w:r w:rsidR="00AF5EB1">
        <w:rPr>
          <w:color w:val="000000"/>
        </w:rPr>
        <w:t xml:space="preserve"> are needed to fully evaluate the risks versus benefits of pooled testing. </w:t>
      </w:r>
      <w:r w:rsidR="00D67350" w:rsidRPr="00F929FF">
        <w:rPr>
          <w:color w:val="000000"/>
          <w:highlight w:val="yellow"/>
        </w:rPr>
        <w:t>We provide a model to predict optimal pool size</w:t>
      </w:r>
      <w:r w:rsidR="002E6991" w:rsidRPr="00F929FF">
        <w:rPr>
          <w:color w:val="000000"/>
          <w:highlight w:val="yellow"/>
        </w:rPr>
        <w:t xml:space="preserve"> and associated expected </w:t>
      </w:r>
      <w:r w:rsidR="00404106" w:rsidRPr="00F929FF">
        <w:rPr>
          <w:color w:val="000000"/>
          <w:highlight w:val="yellow"/>
        </w:rPr>
        <w:t>positive percent</w:t>
      </w:r>
      <w:r w:rsidR="002E6991" w:rsidRPr="00F929FF">
        <w:rPr>
          <w:color w:val="000000"/>
          <w:highlight w:val="yellow"/>
        </w:rPr>
        <w:t xml:space="preserve"> agreement</w:t>
      </w:r>
      <w:r w:rsidR="00D67350" w:rsidRPr="00F929FF">
        <w:rPr>
          <w:color w:val="000000"/>
          <w:highlight w:val="yellow"/>
        </w:rPr>
        <w:t xml:space="preserve"> based on </w:t>
      </w:r>
      <w:r w:rsidR="002E6991" w:rsidRPr="00F929FF">
        <w:rPr>
          <w:color w:val="000000"/>
          <w:highlight w:val="yellow"/>
        </w:rPr>
        <w:t xml:space="preserve">limit of detection, </w:t>
      </w:r>
      <w:r w:rsidR="002E6991" w:rsidRPr="00F929FF">
        <w:rPr>
          <w:rFonts w:cs="Arial"/>
          <w:bCs/>
          <w:color w:val="000000"/>
          <w:highlight w:val="yellow"/>
        </w:rPr>
        <w:t>C</w:t>
      </w:r>
      <w:r w:rsidR="002E6991" w:rsidRPr="00F929FF">
        <w:rPr>
          <w:rFonts w:cs="Arial"/>
          <w:bCs/>
          <w:color w:val="000000"/>
          <w:highlight w:val="yellow"/>
          <w:vertAlign w:val="subscript"/>
        </w:rPr>
        <w:t>t</w:t>
      </w:r>
      <w:r w:rsidR="002E6991" w:rsidRPr="00F929FF">
        <w:rPr>
          <w:rFonts w:cs="Arial"/>
          <w:bCs/>
          <w:color w:val="000000"/>
          <w:highlight w:val="yellow"/>
        </w:rPr>
        <w:t xml:space="preserve"> value</w:t>
      </w:r>
      <w:r w:rsidR="002E6991" w:rsidRPr="00F929FF">
        <w:rPr>
          <w:bCs/>
          <w:color w:val="000000"/>
          <w:highlight w:val="yellow"/>
        </w:rPr>
        <w:t xml:space="preserve"> </w:t>
      </w:r>
      <w:r w:rsidR="002E6991" w:rsidRPr="00F929FF">
        <w:rPr>
          <w:color w:val="000000"/>
          <w:highlight w:val="yellow"/>
        </w:rPr>
        <w:t>distribution, a</w:t>
      </w:r>
      <w:r w:rsidR="0020275E" w:rsidRPr="00F929FF">
        <w:rPr>
          <w:color w:val="000000"/>
          <w:highlight w:val="yellow"/>
        </w:rPr>
        <w:t xml:space="preserve">nd proportion of positive tests. If this model can be externally validated, </w:t>
      </w:r>
      <w:r w:rsidR="00352C32" w:rsidRPr="00F929FF">
        <w:rPr>
          <w:color w:val="000000"/>
          <w:highlight w:val="yellow"/>
        </w:rPr>
        <w:t xml:space="preserve">it may be </w:t>
      </w:r>
      <w:r w:rsidR="0020275E" w:rsidRPr="00F929FF">
        <w:rPr>
          <w:color w:val="000000"/>
          <w:highlight w:val="yellow"/>
        </w:rPr>
        <w:t xml:space="preserve">useful in guiding </w:t>
      </w:r>
      <w:r w:rsidR="00072B16" w:rsidRPr="00F929FF">
        <w:rPr>
          <w:color w:val="000000"/>
          <w:highlight w:val="yellow"/>
        </w:rPr>
        <w:t xml:space="preserve">SARS-CoV-2 pooled </w:t>
      </w:r>
      <w:r w:rsidR="00D67350" w:rsidRPr="00F929FF">
        <w:rPr>
          <w:color w:val="000000"/>
          <w:highlight w:val="yellow"/>
        </w:rPr>
        <w:t xml:space="preserve">testing </w:t>
      </w:r>
      <w:r w:rsidR="005A626B" w:rsidRPr="00F929FF">
        <w:rPr>
          <w:color w:val="000000"/>
          <w:highlight w:val="yellow"/>
        </w:rPr>
        <w:t>in other laboratories, and as part of an adaptive risk-based strategy</w:t>
      </w:r>
      <w:r w:rsidR="00D67350" w:rsidRPr="006F1059">
        <w:rPr>
          <w:color w:val="000000"/>
        </w:rPr>
        <w:t>.</w:t>
      </w:r>
    </w:p>
    <w:p w14:paraId="6929B0C9" w14:textId="77777777" w:rsidR="00FB1A5D" w:rsidRPr="00687C15" w:rsidRDefault="00FB1A5D" w:rsidP="00F079F2">
      <w:pPr>
        <w:spacing w:line="480" w:lineRule="auto"/>
        <w:rPr>
          <w:color w:val="000000"/>
        </w:rPr>
      </w:pPr>
    </w:p>
    <w:p w14:paraId="296FDB47" w14:textId="78CBACF8" w:rsidR="001A4045" w:rsidRDefault="001A4045" w:rsidP="00814D6B">
      <w:pPr>
        <w:spacing w:line="480" w:lineRule="auto"/>
        <w:rPr>
          <w:b/>
        </w:rPr>
      </w:pPr>
      <w:r w:rsidRPr="006F1059">
        <w:rPr>
          <w:b/>
        </w:rPr>
        <w:t>Acknowledgements</w:t>
      </w:r>
    </w:p>
    <w:p w14:paraId="084518F2" w14:textId="77777777" w:rsidR="002E7D13" w:rsidRPr="007D65D8" w:rsidRDefault="00C2108F" w:rsidP="002E7D13">
      <w:pPr>
        <w:spacing w:line="480" w:lineRule="auto"/>
      </w:pPr>
      <w:r>
        <w:t xml:space="preserve">We </w:t>
      </w:r>
      <w:r w:rsidR="00C71AAF">
        <w:t xml:space="preserve">sincerely </w:t>
      </w:r>
      <w:r>
        <w:t xml:space="preserve">thank the </w:t>
      </w:r>
      <w:r w:rsidR="00C71AAF">
        <w:t>Stanford Clinical Virology Laboratory</w:t>
      </w:r>
      <w:r w:rsidR="00F079F2">
        <w:t xml:space="preserve"> staff for their dedication and commitment to patient care </w:t>
      </w:r>
      <w:r w:rsidR="00C71AAF">
        <w:t xml:space="preserve">in the face of unprecedented </w:t>
      </w:r>
      <w:r w:rsidR="00F079F2">
        <w:t>challenges presented by the COVID-19 pandemic.</w:t>
      </w:r>
      <w:r w:rsidR="002E7D13">
        <w:t xml:space="preserve"> We also thank Hologic, Inc. for graciously providing </w:t>
      </w:r>
      <w:r w:rsidR="002E7D13" w:rsidRPr="00F82FAE">
        <w:rPr>
          <w:iCs/>
        </w:rPr>
        <w:t>in silico</w:t>
      </w:r>
      <w:r w:rsidR="002E7D13">
        <w:t xml:space="preserve"> data from their pooling evaluations.</w:t>
      </w:r>
    </w:p>
    <w:p w14:paraId="552DCDE1" w14:textId="77777777" w:rsidR="00A76304" w:rsidRDefault="00A76304" w:rsidP="00814D6B">
      <w:pPr>
        <w:spacing w:line="480" w:lineRule="auto"/>
      </w:pPr>
    </w:p>
    <w:p w14:paraId="71553532" w14:textId="6E6EFD98" w:rsidR="00A76304" w:rsidRDefault="00331F61" w:rsidP="00331F61">
      <w:pPr>
        <w:spacing w:line="480" w:lineRule="auto"/>
        <w:outlineLvl w:val="0"/>
        <w:rPr>
          <w:b/>
        </w:rPr>
      </w:pPr>
      <w:r>
        <w:rPr>
          <w:b/>
        </w:rPr>
        <w:t>Disclosures</w:t>
      </w:r>
    </w:p>
    <w:p w14:paraId="59E37BB6" w14:textId="09A30617" w:rsidR="00A76304" w:rsidRDefault="00BB09E9" w:rsidP="00A76304">
      <w:pPr>
        <w:spacing w:line="480" w:lineRule="auto"/>
        <w:outlineLvl w:val="0"/>
        <w:rPr>
          <w:bCs/>
        </w:rPr>
      </w:pPr>
      <w:r>
        <w:rPr>
          <w:bCs/>
        </w:rPr>
        <w:t>B.H. is an employee of Google LLC.</w:t>
      </w:r>
    </w:p>
    <w:p w14:paraId="4E2D44B2" w14:textId="77777777" w:rsidR="00A76304" w:rsidRPr="00A76304" w:rsidRDefault="00A76304" w:rsidP="00A76304">
      <w:pPr>
        <w:spacing w:line="480" w:lineRule="auto"/>
        <w:outlineLvl w:val="0"/>
        <w:rPr>
          <w:rFonts w:ascii="Calibri" w:hAnsi="Calibri" w:cs="Calibri"/>
          <w:color w:val="000000"/>
        </w:rPr>
      </w:pPr>
    </w:p>
    <w:p w14:paraId="4E1234C7" w14:textId="77777777" w:rsidR="00331F61" w:rsidRDefault="00331F61" w:rsidP="00331F61">
      <w:pPr>
        <w:spacing w:line="480" w:lineRule="auto"/>
      </w:pPr>
      <w:r>
        <w:rPr>
          <w:b/>
        </w:rPr>
        <w:t>Financial Support</w:t>
      </w:r>
    </w:p>
    <w:p w14:paraId="6579E246" w14:textId="7D2215EF" w:rsidR="00A76304" w:rsidRDefault="7970C872" w:rsidP="00331F61">
      <w:pPr>
        <w:spacing w:line="480" w:lineRule="auto"/>
        <w:outlineLvl w:val="0"/>
      </w:pPr>
      <w:r>
        <w:t>Work done by B.H. in personal time. The views expressed in this article are those of the authors and do not necessarily reflect the official policy or position of Google LLC. N.S.-A. is funded by a Stanford Graduate Fellowship.</w:t>
      </w:r>
    </w:p>
    <w:p w14:paraId="173E9DE9" w14:textId="77777777" w:rsidR="00A76304" w:rsidRPr="00331F61" w:rsidRDefault="00A76304" w:rsidP="00331F61">
      <w:pPr>
        <w:spacing w:line="480" w:lineRule="auto"/>
        <w:outlineLvl w:val="0"/>
        <w:rPr>
          <w:b/>
        </w:rPr>
      </w:pPr>
    </w:p>
    <w:p w14:paraId="75629484" w14:textId="063ED9C5" w:rsidR="001A4045" w:rsidRDefault="001A4045" w:rsidP="00814D6B">
      <w:pPr>
        <w:spacing w:line="480" w:lineRule="auto"/>
        <w:rPr>
          <w:b/>
        </w:rPr>
      </w:pPr>
      <w:r w:rsidRPr="006F1059">
        <w:rPr>
          <w:b/>
        </w:rPr>
        <w:t>Author Bio</w:t>
      </w:r>
    </w:p>
    <w:p w14:paraId="4B65270A" w14:textId="5572702C" w:rsidR="00BB09E9" w:rsidRPr="00A76304" w:rsidRDefault="00F079F2" w:rsidP="003C24DC">
      <w:pPr>
        <w:spacing w:line="480" w:lineRule="auto"/>
      </w:pPr>
      <w:r>
        <w:t xml:space="preserve">Dr. Hannah Wang is a resident physician at Stanford Hospital in the Department of Anatomic and Clinical Pathology. Her clinical </w:t>
      </w:r>
      <w:r w:rsidR="003C24DC">
        <w:t>and research interests focus on infectious disease molecular diagnostics</w:t>
      </w:r>
      <w:r w:rsidR="00130DEA">
        <w:t xml:space="preserve"> and the </w:t>
      </w:r>
      <w:r w:rsidR="00BB09E9">
        <w:t>application</w:t>
      </w:r>
      <w:r w:rsidR="00130DEA">
        <w:t xml:space="preserve"> of machine-learning algorithms </w:t>
      </w:r>
      <w:r w:rsidR="00BB09E9">
        <w:t>and other computational methods to effectively leverage those diagnostics for patient care</w:t>
      </w:r>
      <w:r w:rsidR="003C24DC">
        <w:t xml:space="preserve">. </w:t>
      </w:r>
      <w:r w:rsidR="003C24DC">
        <w:rPr>
          <w:b/>
        </w:rPr>
        <w:br w:type="page"/>
      </w:r>
    </w:p>
    <w:p w14:paraId="452E5AFC" w14:textId="6E0EED4D" w:rsidR="001A4045" w:rsidRDefault="001A4045" w:rsidP="00814D6B">
      <w:pPr>
        <w:spacing w:line="480" w:lineRule="auto"/>
        <w:rPr>
          <w:b/>
        </w:rPr>
      </w:pPr>
      <w:r w:rsidRPr="006F1059">
        <w:rPr>
          <w:b/>
        </w:rPr>
        <w:lastRenderedPageBreak/>
        <w:t>References</w:t>
      </w:r>
    </w:p>
    <w:p w14:paraId="03747276" w14:textId="33AA343E" w:rsidR="00597F3E" w:rsidRPr="00597F3E" w:rsidRDefault="006F1059" w:rsidP="00597F3E">
      <w:pPr>
        <w:widowControl w:val="0"/>
        <w:autoSpaceDE w:val="0"/>
        <w:autoSpaceDN w:val="0"/>
        <w:adjustRightInd w:val="0"/>
        <w:spacing w:line="48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00597F3E" w:rsidRPr="00597F3E">
        <w:rPr>
          <w:noProof/>
        </w:rPr>
        <w:t xml:space="preserve">1. </w:t>
      </w:r>
      <w:r w:rsidR="00597F3E" w:rsidRPr="00597F3E">
        <w:rPr>
          <w:noProof/>
        </w:rPr>
        <w:tab/>
        <w:t xml:space="preserve">Hogan C, Sahoo M, Pinsky B. Sample Pooling as a Strategy to Detect Community Transmission of SARS-CoV-2. JAMA. 2020;323(19):1967–9. </w:t>
      </w:r>
    </w:p>
    <w:p w14:paraId="2557D855"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 </w:t>
      </w:r>
      <w:r w:rsidRPr="00597F3E">
        <w:rPr>
          <w:noProof/>
        </w:rPr>
        <w:tab/>
        <w:t xml:space="preserve">Wacharapluesadee S, Kaewpom T, Ampoot W, Ghai S, Khamhang W, Worachotsueptrakun K, et al. Evaluating the efficiency of specimen pooling for PCR-based detection of COVID-19. J Med Virol 2020 Jul 1 [date cited]. Epub 2020 May 13. </w:t>
      </w:r>
    </w:p>
    <w:p w14:paraId="361308F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3. </w:t>
      </w:r>
      <w:r w:rsidRPr="00597F3E">
        <w:rPr>
          <w:noProof/>
        </w:rPr>
        <w:tab/>
        <w:t xml:space="preserve">Yelin I, Aharony N, Tamar ES, Argoetti A, Messer E, Berenbaum D, et al. Evaluation of COVID-19 RT-qPCR test in multi-sample pools. Clin Infect Dis. 2020 Jul 10 [date cited]. Epub 2020 May 2. </w:t>
      </w:r>
    </w:p>
    <w:p w14:paraId="134B247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4. </w:t>
      </w:r>
      <w:r w:rsidRPr="00597F3E">
        <w:rPr>
          <w:noProof/>
        </w:rPr>
        <w:tab/>
        <w:t xml:space="preserve">Abdalhamid B, Bilder CR, McCutchen EL, Hinrichs SH, Koepsell SA, Iwen PC. Assessment of Specimen Pooling to Conserve SARS CoV-2 Testing Resources. Am J Clin Pathol. 2020;153(6):715–8. </w:t>
      </w:r>
    </w:p>
    <w:p w14:paraId="44C319C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5. </w:t>
      </w:r>
      <w:r w:rsidRPr="00597F3E">
        <w:rPr>
          <w:noProof/>
        </w:rPr>
        <w:tab/>
        <w:t xml:space="preserve">Ben-Ami R, Klochendler A, Seidel M, Sido T, Gurel-Gurevich O, Yassour M, et al. Large-scale implementation of pooled RNA extraction and RT-PCR for SARS-CoV-2 detection. Clin Microbiol Infect. 2020 Jul 13 [date cited]. Epub 2020 Jun 8. </w:t>
      </w:r>
    </w:p>
    <w:p w14:paraId="0BC0259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6. </w:t>
      </w:r>
      <w:r w:rsidRPr="00597F3E">
        <w:rPr>
          <w:noProof/>
        </w:rPr>
        <w:tab/>
        <w:t xml:space="preserve">Eberhardt JN, Breuckmann NP, Eberhardt CS. Multi-Stage Group Testing Improves Efficiency of Large-Scale COVID-19 Screening. J Clin Virol. 2020;128(104382). </w:t>
      </w:r>
    </w:p>
    <w:p w14:paraId="656E938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7. </w:t>
      </w:r>
      <w:r w:rsidRPr="00597F3E">
        <w:rPr>
          <w:noProof/>
        </w:rPr>
        <w:tab/>
        <w:t xml:space="preserve">Lohse S, Pfuhl T, Berkó-Göttel B, Rissland J, Geibler T, Gärtner B, et al. Pooling of samples for testing for SARS-CoV-2 in asymptomatic people. Lancet Infect Dis. 2020;3099(20):2019–20. </w:t>
      </w:r>
    </w:p>
    <w:p w14:paraId="5E1D958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8. </w:t>
      </w:r>
      <w:r w:rsidRPr="00597F3E">
        <w:rPr>
          <w:noProof/>
        </w:rPr>
        <w:tab/>
        <w:t xml:space="preserve">Pilcher CD, Westreich D, Hudgens MG. Group Testing for SARS-CoV-2 to Enable Rapid Scale-Up of Testing and Real-Time Surveillance of Incidence. J Infect Dis. 2020 Jul 16 [date cited]. Epub 2020 Jun 27. </w:t>
      </w:r>
    </w:p>
    <w:p w14:paraId="2FFF2C5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9. </w:t>
      </w:r>
      <w:r w:rsidRPr="00597F3E">
        <w:rPr>
          <w:noProof/>
        </w:rPr>
        <w:tab/>
        <w:t xml:space="preserve">Eis-Hübinger AM, Hönemann M, Wenzel JJ, Berger A, Widera M, Schmidt B, et al. Ad hoc laboratory-based surveillance of SARS-CoV-2 by real-time RT-PCR using minipools of RNA prepared from routine respiratory samples. J Clin Virol. 2020;127(April). </w:t>
      </w:r>
    </w:p>
    <w:p w14:paraId="6B54276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lastRenderedPageBreak/>
        <w:t xml:space="preserve">10. </w:t>
      </w:r>
      <w:r w:rsidRPr="00597F3E">
        <w:rPr>
          <w:noProof/>
        </w:rPr>
        <w:tab/>
        <w:t xml:space="preserve">Griesemer SB, Slyke G Van, George K St. Assessment of sample pooling for clinical SARS-CoV-2 testing. bioRxiv. 2020 Jul 12 [date cited]. Epub 2020 May 26. </w:t>
      </w:r>
    </w:p>
    <w:p w14:paraId="167927B7"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11. </w:t>
      </w:r>
      <w:r w:rsidRPr="00597F3E">
        <w:rPr>
          <w:noProof/>
        </w:rPr>
        <w:tab/>
        <w:t xml:space="preserve">Busch MP, Kleinman SH. Nucleic acid amplification testing of blood donors for transfusion-transmitted infectious diseases. 2000;40(February):143–59. </w:t>
      </w:r>
    </w:p>
    <w:p w14:paraId="40F5441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12. </w:t>
      </w:r>
      <w:r w:rsidRPr="00597F3E">
        <w:rPr>
          <w:noProof/>
        </w:rPr>
        <w:tab/>
        <w:t xml:space="preserve">Custer B, Tomasulo PA, Murphy EL, Caglioti S, Harpool D, McEvoy P, et al. Triggers for switching from minipool testing by nucleic acid technology to individual-donation nucleic acid testing for West Nile virus: Analysis of 2003 data to inform 2004 decision making. Transfusion. 2004; </w:t>
      </w:r>
    </w:p>
    <w:p w14:paraId="1C40F694"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13. </w:t>
      </w:r>
      <w:r w:rsidRPr="00597F3E">
        <w:rPr>
          <w:noProof/>
        </w:rPr>
        <w:tab/>
        <w:t xml:space="preserve">Food and Drug Administration. Molecular Diagnostic Template for Laboratories. 2020 July 28 [cited 2020 Sep 18). https://www.fda.gov/media/135658/download. </w:t>
      </w:r>
    </w:p>
    <w:p w14:paraId="03403A4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14. </w:t>
      </w:r>
      <w:r w:rsidRPr="00597F3E">
        <w:rPr>
          <w:noProof/>
        </w:rPr>
        <w:tab/>
        <w:t xml:space="preserve">Food and Drug Administration. EUA Summary: SARS-CoV-2 RT-PCR Assay (Stanford Health Care Clinical Virology Laboratory). 2020 April 08 [cited 2020 Jul 11]. https://www.fda.gov/media/136818/download. </w:t>
      </w:r>
    </w:p>
    <w:p w14:paraId="520947B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15. </w:t>
      </w:r>
      <w:r w:rsidRPr="00597F3E">
        <w:rPr>
          <w:noProof/>
        </w:rPr>
        <w:tab/>
        <w:t xml:space="preserve">Bulterys PL, Garamani N, Stevens B, Sahoo MK, Huang CH, Hogan CA, et al. Comparison of a laboratory-developed test targeting the envelope gene with three nucleic acid amplification tests for detection of SARS-CoV-2. J Clin Virol. 2020;129(April):10–3. </w:t>
      </w:r>
    </w:p>
    <w:p w14:paraId="4911ADC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16. </w:t>
      </w:r>
      <w:r w:rsidRPr="00597F3E">
        <w:rPr>
          <w:noProof/>
        </w:rPr>
        <w:tab/>
        <w:t xml:space="preserve">Corman VM, Landt O, Kaiser M, Molenkamp R, Meijer A, Chu DKW, et al. Detection of 2019 novel coronavirus (2019-nCoV) by real-time RT-PCR. Eurosurveillance. 2020;25(3):1–8. </w:t>
      </w:r>
    </w:p>
    <w:p w14:paraId="4644516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17. </w:t>
      </w:r>
      <w:r w:rsidRPr="00597F3E">
        <w:rPr>
          <w:noProof/>
        </w:rPr>
        <w:tab/>
        <w:t xml:space="preserve">Food and Drug Administration. EUA Summary: SARS-CoV-2 Assay (Panther Fusion System). 2020 April 24 [cited 2020 Jul 11]. https://www.fda.gov/media/136156/download. </w:t>
      </w:r>
    </w:p>
    <w:p w14:paraId="45F4D44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18. </w:t>
      </w:r>
      <w:r w:rsidRPr="00597F3E">
        <w:rPr>
          <w:noProof/>
        </w:rPr>
        <w:tab/>
        <w:t xml:space="preserve">Food and Drug Administration. EUA Summary: Aptima SARS-CoV-2. 2020 May 14 [cited 2020 Jul 11]. https://www.fda.gov/media/138096/download. </w:t>
      </w:r>
    </w:p>
    <w:p w14:paraId="5C7FC60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19. </w:t>
      </w:r>
      <w:r w:rsidRPr="00597F3E">
        <w:rPr>
          <w:noProof/>
        </w:rPr>
        <w:tab/>
        <w:t xml:space="preserve">Robin X, Turck N, Hainard A, Tiberti N, Lisacek F, Sanchez JC, et al. pROC: An open-source package for R and S+ to analyze and compare ROC curves. BMC Bioinformatics. 2011;12. </w:t>
      </w:r>
    </w:p>
    <w:p w14:paraId="2CDC395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20. </w:t>
      </w:r>
      <w:r w:rsidRPr="00597F3E">
        <w:rPr>
          <w:noProof/>
        </w:rPr>
        <w:tab/>
        <w:t xml:space="preserve">Altman D, Machin D, Bryant T, Gardner M, Editors. Statistics With Confidence. 2nd ed. British </w:t>
      </w:r>
      <w:r w:rsidRPr="00597F3E">
        <w:rPr>
          <w:noProof/>
        </w:rPr>
        <w:lastRenderedPageBreak/>
        <w:t xml:space="preserve">Medical Journal. London: British Medical Journal Books; 2000. </w:t>
      </w:r>
    </w:p>
    <w:p w14:paraId="179130D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21. </w:t>
      </w:r>
      <w:r w:rsidRPr="00597F3E">
        <w:rPr>
          <w:noProof/>
        </w:rPr>
        <w:tab/>
        <w:t xml:space="preserve">La Scola B, Le Bideau M, Andreani J, Hoang VT, Grimaldier C, Colson P, et al. Viral RNA load as determined by cell culture as a management tool for discharge of SARS-CoV-2 patients from infectious disease wards. Eur J Clin Microbiol Infect Dis. 2020;39(6):1059–61. </w:t>
      </w:r>
    </w:p>
    <w:p w14:paraId="380BD80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22. </w:t>
      </w:r>
      <w:r w:rsidRPr="00597F3E">
        <w:rPr>
          <w:noProof/>
        </w:rPr>
        <w:tab/>
        <w:t xml:space="preserve">Aragón-Caqueo D, Fernández-Salinas J, Laroze D. Optimization of group size in pool testing strategy for SARS-CoV-2: A simple mathematical model. J Med Virol. 2020 Jul 13 [date cited]. Epub 2020 Apr. </w:t>
      </w:r>
    </w:p>
    <w:p w14:paraId="396BBDF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23. </w:t>
      </w:r>
      <w:r w:rsidRPr="00597F3E">
        <w:rPr>
          <w:noProof/>
        </w:rPr>
        <w:tab/>
        <w:t xml:space="preserve">Verdun CM, Fuchs T, Harar P, Elbrächter D, Fischer DS, Berner J, et al. Group testing for SARS-CoV-2 allows for up to 10-fold efficiency increase across realistic scenarios and testing strategies. medRxiv. 2020 Jul 15 [date cited]. Epub 2020 May 5. </w:t>
      </w:r>
    </w:p>
    <w:p w14:paraId="7564824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24. </w:t>
      </w:r>
      <w:r w:rsidRPr="00597F3E">
        <w:rPr>
          <w:noProof/>
        </w:rPr>
        <w:tab/>
        <w:t xml:space="preserve">Pan Y, Zhang D, Yang P, Poon LLM, Wang Q. Viral load of SARS-CoV-2 in clinical samples. Lancet Infect Dis. 2020;20(4):411–2. </w:t>
      </w:r>
    </w:p>
    <w:p w14:paraId="2BE5CE4F"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25. </w:t>
      </w:r>
      <w:r w:rsidRPr="00597F3E">
        <w:rPr>
          <w:noProof/>
        </w:rPr>
        <w:tab/>
        <w:t xml:space="preserve">Xu T, Chen C, Zhu Z, Cui M, Chen C, Dai H, et al. Clinical features and dynamics of viral load in imported and non-imported patients with COVID-19. Int J Infect Dis. 2020;94(300):68–71. </w:t>
      </w:r>
    </w:p>
    <w:p w14:paraId="2A28665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26. </w:t>
      </w:r>
      <w:r w:rsidRPr="00597F3E">
        <w:rPr>
          <w:noProof/>
        </w:rPr>
        <w:tab/>
        <w:t xml:space="preserve">To KKW, Tsang OTY, Leung WS, Tam AR, Wu TC, Lung DC, et al. Temporal profiles of viral load in posterior oropharyngeal saliva samples and serum antibody responses during infection by SARS-CoV-2: an observational cohort study. Lancet Infect Dis. 2020;20(5):565–74. </w:t>
      </w:r>
    </w:p>
    <w:p w14:paraId="6AEA256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27. </w:t>
      </w:r>
      <w:r w:rsidRPr="00597F3E">
        <w:rPr>
          <w:noProof/>
        </w:rPr>
        <w:tab/>
        <w:t xml:space="preserve">Wölfel R, Corman VM, Guggemos W, Seilmaier M, Zange S, Müller MA, et al. Virological assessment of hospitalized patients with COVID-2019. Nature. 2020;581(7809):465–9. </w:t>
      </w:r>
    </w:p>
    <w:p w14:paraId="3B67B1D9" w14:textId="0AEBF658" w:rsidR="003C24DC" w:rsidRDefault="006F1059" w:rsidP="00597F3E">
      <w:pPr>
        <w:widowControl w:val="0"/>
        <w:autoSpaceDE w:val="0"/>
        <w:autoSpaceDN w:val="0"/>
        <w:adjustRightInd w:val="0"/>
        <w:spacing w:line="480" w:lineRule="auto"/>
        <w:ind w:left="640" w:hanging="640"/>
        <w:rPr>
          <w:b/>
        </w:rPr>
      </w:pPr>
      <w:r>
        <w:rPr>
          <w:b/>
        </w:rPr>
        <w:fldChar w:fldCharType="end"/>
      </w:r>
      <w:r w:rsidR="003C24DC">
        <w:rPr>
          <w:b/>
        </w:rPr>
        <w:br w:type="page"/>
      </w:r>
    </w:p>
    <w:p w14:paraId="634CB4DF" w14:textId="3FD3CCE1" w:rsidR="5885873D" w:rsidRPr="00687C15" w:rsidRDefault="001A4045" w:rsidP="00814D6B">
      <w:pPr>
        <w:spacing w:line="480" w:lineRule="auto"/>
        <w:rPr>
          <w:b/>
        </w:rPr>
      </w:pPr>
      <w:r w:rsidRPr="006F1059">
        <w:rPr>
          <w:b/>
        </w:rPr>
        <w:lastRenderedPageBreak/>
        <w:t>Tables</w:t>
      </w:r>
    </w:p>
    <w:p w14:paraId="70CFC184" w14:textId="68D32A88" w:rsidR="001A4045" w:rsidRPr="00687C15" w:rsidRDefault="5885873D" w:rsidP="00814D6B">
      <w:pPr>
        <w:spacing w:line="480" w:lineRule="auto"/>
      </w:pPr>
      <w:r w:rsidRPr="00B1770D">
        <w:rPr>
          <w:b/>
          <w:bCs/>
        </w:rPr>
        <w:t>Table 1.</w:t>
      </w:r>
      <w:r w:rsidRPr="006F1059">
        <w:t xml:space="preserve"> </w:t>
      </w:r>
      <w:r w:rsidR="00CA0330">
        <w:t>Summary of nucleic acid amplification tests and pooled testing strategies evaluated, by testing platform</w:t>
      </w:r>
    </w:p>
    <w:tbl>
      <w:tblPr>
        <w:tblStyle w:val="PlainTable21"/>
        <w:tblW w:w="10364" w:type="dxa"/>
        <w:tblInd w:w="-72" w:type="dxa"/>
        <w:tblLayout w:type="fixed"/>
        <w:tblLook w:val="06A0" w:firstRow="1" w:lastRow="0" w:firstColumn="1" w:lastColumn="0" w:noHBand="1" w:noVBand="1"/>
      </w:tblPr>
      <w:tblGrid>
        <w:gridCol w:w="1710"/>
        <w:gridCol w:w="1260"/>
        <w:gridCol w:w="1620"/>
        <w:gridCol w:w="1080"/>
        <w:gridCol w:w="3470"/>
        <w:gridCol w:w="1224"/>
      </w:tblGrid>
      <w:tr w:rsidR="004870D5" w:rsidRPr="006D5215" w14:paraId="49B1CFC4" w14:textId="3F11B465" w:rsidTr="00037F13">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3398081" w14:textId="0E499FB2"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Name</w:t>
            </w:r>
          </w:p>
        </w:tc>
        <w:tc>
          <w:tcPr>
            <w:tcW w:w="1260" w:type="dxa"/>
            <w:vAlign w:val="center"/>
          </w:tcPr>
          <w:p w14:paraId="11DC931A" w14:textId="104462E0"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Gene target(s)</w:t>
            </w:r>
          </w:p>
        </w:tc>
        <w:tc>
          <w:tcPr>
            <w:tcW w:w="1620" w:type="dxa"/>
            <w:vAlign w:val="center"/>
          </w:tcPr>
          <w:p w14:paraId="0A8CF4F4" w14:textId="1D03A22F"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Internal control</w:t>
            </w:r>
          </w:p>
        </w:tc>
        <w:tc>
          <w:tcPr>
            <w:tcW w:w="1080" w:type="dxa"/>
            <w:vAlign w:val="center"/>
          </w:tcPr>
          <w:p w14:paraId="436C27E9" w14:textId="560D3A77"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Method</w:t>
            </w:r>
          </w:p>
        </w:tc>
        <w:tc>
          <w:tcPr>
            <w:tcW w:w="3470" w:type="dxa"/>
            <w:vAlign w:val="center"/>
          </w:tcPr>
          <w:p w14:paraId="542EA765" w14:textId="367487E1"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Strategy</w:t>
            </w:r>
          </w:p>
        </w:tc>
        <w:tc>
          <w:tcPr>
            <w:tcW w:w="1224" w:type="dxa"/>
            <w:vAlign w:val="center"/>
          </w:tcPr>
          <w:p w14:paraId="25425511" w14:textId="68781618"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References</w:t>
            </w:r>
          </w:p>
        </w:tc>
      </w:tr>
      <w:tr w:rsidR="004870D5" w:rsidRPr="006D5215" w14:paraId="1FA1A742" w14:textId="7CC646DD" w:rsidTr="00037F13">
        <w:trPr>
          <w:trHeight w:val="224"/>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F503FF3" w14:textId="45AAD7A7" w:rsidR="004870D5" w:rsidRPr="006D5215" w:rsidRDefault="004870D5" w:rsidP="005B7B9C">
            <w:r w:rsidRPr="006D5215">
              <w:rPr>
                <w:rFonts w:ascii="Arial" w:eastAsia="Arial" w:hAnsi="Arial" w:cs="Arial"/>
                <w:b w:val="0"/>
                <w:bCs w:val="0"/>
                <w:sz w:val="16"/>
                <w:szCs w:val="16"/>
              </w:rPr>
              <w:t>LDT</w:t>
            </w:r>
          </w:p>
        </w:tc>
        <w:tc>
          <w:tcPr>
            <w:tcW w:w="1260" w:type="dxa"/>
            <w:vAlign w:val="center"/>
          </w:tcPr>
          <w:p w14:paraId="3093A1FD" w14:textId="2DDE0651"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E</w:t>
            </w:r>
          </w:p>
        </w:tc>
        <w:tc>
          <w:tcPr>
            <w:tcW w:w="1620" w:type="dxa"/>
            <w:vAlign w:val="center"/>
          </w:tcPr>
          <w:p w14:paraId="60535F7D" w14:textId="71B197DD"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R</w:t>
            </w:r>
            <w:r>
              <w:rPr>
                <w:rFonts w:ascii="Arial" w:eastAsia="Arial" w:hAnsi="Arial" w:cs="Arial"/>
                <w:i/>
                <w:iCs/>
                <w:sz w:val="16"/>
                <w:szCs w:val="16"/>
              </w:rPr>
              <w:t>N</w:t>
            </w:r>
            <w:r w:rsidRPr="00806A89">
              <w:rPr>
                <w:rFonts w:ascii="Arial" w:eastAsia="Arial" w:hAnsi="Arial" w:cs="Arial"/>
                <w:i/>
                <w:iCs/>
                <w:sz w:val="16"/>
                <w:szCs w:val="16"/>
              </w:rPr>
              <w:t>ase P</w:t>
            </w:r>
          </w:p>
        </w:tc>
        <w:tc>
          <w:tcPr>
            <w:tcW w:w="1080" w:type="dxa"/>
            <w:vAlign w:val="center"/>
          </w:tcPr>
          <w:p w14:paraId="2F15802F" w14:textId="18DB791F"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1D4CF9E1" w14:textId="2B339F9C"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4*</w:t>
            </w:r>
          </w:p>
        </w:tc>
        <w:tc>
          <w:tcPr>
            <w:tcW w:w="1224" w:type="dxa"/>
            <w:vAlign w:val="center"/>
          </w:tcPr>
          <w:p w14:paraId="5D997662" w14:textId="6D4B9EBB"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Virology","id":"ITEM-1","issue":"April","issued":{"date-parts":[["2020"]]},"page":"10-13","title":"Comparison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-2","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-2","issue":"19","issued":{"date-parts":[["2020"]]},"page":"1967-9","title":"Sample Pooling as a Strategy to Detect Community Transmission of SARS-CoV-2","type":"article-journal","volume":"323"},"uris":["http://www.mendeley.com/documents/?uuid=8332f2c8-641d-4299-8996-537ba2179235"]},{"id":"ITEM-3","itemData":{"DOI":"10.2807/1560-7917.ES.2020.25.3.2000045","ISSN":"15607917","PMID":"31992387","abstract":"Background: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RT-PCR","type":"article-journal","volume":"25"},"uris":["http://www.mendeley.com/documents/?uuid=d56c10d1-e8ff-4e96-8b37-0b3a461edbdc"]},{"id":"ITEM-4","itemData":{"id":"ITEM-4","issued":{"date-parts":[["0"]]},"title":"Food and Drug Administration. EUA Summary: SARS-CoV-2 RT-PCR Assay (Stanford Health Care Clinical Virology Laboratory). 2020 April 08 [cited 2020 Jul 11]. https://www.fda.gov/media/136818/download","type":"webpage"},"uris":["http://www.mendeley.com/documents/?uuid=b61c91f9-c43e-4eef-9878-d7749b233c7f"]}],"mendeley":{"formattedCitation":"(&lt;i&gt;1&lt;/i&gt;,&lt;i&gt;14&lt;/i&gt;–&lt;i&gt;16&lt;/i&gt;)","plainTextFormattedCitation":"(1,14–16)","previouslyFormattedCitation":"(&lt;i&gt;1&lt;/i&gt;,&lt;i&gt;14&lt;/i&gt;–&lt;i&gt;16&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14</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16</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075E5BDA" w14:textId="7A053639"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A0A94C" w14:textId="68B34755"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Fusion</w:t>
            </w:r>
          </w:p>
        </w:tc>
        <w:tc>
          <w:tcPr>
            <w:tcW w:w="1260" w:type="dxa"/>
            <w:vAlign w:val="center"/>
          </w:tcPr>
          <w:p w14:paraId="150E3C7A" w14:textId="45CA6765"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06AF939B" w14:textId="4382E79A"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117E782" w14:textId="560266E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2EB04166" w14:textId="767EFEEE" w:rsidR="004870D5" w:rsidRPr="00277EF0"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5</w:t>
            </w:r>
            <w:r w:rsidRPr="00C14A24">
              <w:rPr>
                <w:rFonts w:ascii="Arial" w:eastAsia="Arial" w:hAnsi="Arial" w:cs="Arial"/>
                <w:sz w:val="16"/>
                <w:szCs w:val="16"/>
                <w:vertAlign w:val="superscript"/>
              </w:rPr>
              <w:t>†</w:t>
            </w:r>
            <w:r>
              <w:rPr>
                <w:rFonts w:ascii="Arial" w:eastAsia="Arial" w:hAnsi="Arial" w:cs="Arial"/>
                <w:sz w:val="16"/>
                <w:szCs w:val="16"/>
              </w:rPr>
              <w:t>, Pools of 3</w:t>
            </w:r>
            <w:r w:rsidRPr="00C14A24">
              <w:rPr>
                <w:rFonts w:ascii="Arial" w:eastAsia="Arial" w:hAnsi="Arial" w:cs="Arial"/>
                <w:sz w:val="16"/>
                <w:szCs w:val="16"/>
                <w:vertAlign w:val="superscript"/>
              </w:rPr>
              <w:t>†</w:t>
            </w:r>
          </w:p>
        </w:tc>
        <w:tc>
          <w:tcPr>
            <w:tcW w:w="1224" w:type="dxa"/>
            <w:vAlign w:val="center"/>
          </w:tcPr>
          <w:p w14:paraId="34FE1DE5" w14:textId="3197B22B" w:rsidR="004870D5" w:rsidRPr="006D521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mendeley":{"formattedCitation":"(&lt;i&gt;17&lt;/i&gt;)","plainTextFormattedCitation":"(17)","previouslyFormattedCitation":"(&lt;i&gt;17&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17</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E0CDD49" w14:textId="13CDB755"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237E6EF" w14:textId="7CD1232E"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Aptima</w:t>
            </w:r>
            <w:r>
              <w:rPr>
                <w:rFonts w:ascii="Arial" w:eastAsia="Arial" w:hAnsi="Arial" w:cs="Arial"/>
                <w:b w:val="0"/>
                <w:bCs w:val="0"/>
                <w:sz w:val="16"/>
                <w:szCs w:val="16"/>
              </w:rPr>
              <w:t>-M</w:t>
            </w:r>
          </w:p>
        </w:tc>
        <w:tc>
          <w:tcPr>
            <w:tcW w:w="1260" w:type="dxa"/>
            <w:vAlign w:val="center"/>
          </w:tcPr>
          <w:p w14:paraId="0FDE41D5" w14:textId="2A2ACCD6"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38DBCB60" w14:textId="03449F86"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4F6C426" w14:textId="662FC09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TMA</w:t>
            </w:r>
          </w:p>
        </w:tc>
        <w:tc>
          <w:tcPr>
            <w:tcW w:w="3470" w:type="dxa"/>
            <w:vAlign w:val="center"/>
          </w:tcPr>
          <w:p w14:paraId="24D6E458" w14:textId="03AA2BBB"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with manufacturer-set RLU cutoff*</w:t>
            </w:r>
          </w:p>
        </w:tc>
        <w:tc>
          <w:tcPr>
            <w:tcW w:w="1224" w:type="dxa"/>
            <w:vAlign w:val="center"/>
          </w:tcPr>
          <w:p w14:paraId="55FEE2E3" w14:textId="6080899E"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315D510" w14:textId="2E530258" w:rsidTr="00037F13">
        <w:trPr>
          <w:trHeight w:val="234"/>
        </w:trPr>
        <w:tc>
          <w:tcPr>
            <w:cnfStyle w:val="001000000000" w:firstRow="0" w:lastRow="0" w:firstColumn="1" w:lastColumn="0" w:oddVBand="0" w:evenVBand="0" w:oddHBand="0" w:evenHBand="0" w:firstRowFirstColumn="0" w:firstRowLastColumn="0" w:lastRowFirstColumn="0" w:lastRowLastColumn="0"/>
            <w:tcW w:w="1710" w:type="dxa"/>
            <w:tcBorders>
              <w:bottom w:val="single" w:sz="4" w:space="0" w:color="auto"/>
            </w:tcBorders>
            <w:vAlign w:val="center"/>
          </w:tcPr>
          <w:p w14:paraId="18653405" w14:textId="45C1DC95" w:rsidR="004870D5" w:rsidRPr="006D5215" w:rsidRDefault="004870D5" w:rsidP="005B7B9C">
            <w:pPr>
              <w:rPr>
                <w:rFonts w:ascii="Arial" w:eastAsia="Arial" w:hAnsi="Arial" w:cs="Arial"/>
                <w:b w:val="0"/>
                <w:bCs w:val="0"/>
                <w:sz w:val="16"/>
                <w:szCs w:val="16"/>
              </w:rPr>
            </w:pPr>
            <w:r>
              <w:rPr>
                <w:rFonts w:ascii="Arial" w:eastAsia="Arial" w:hAnsi="Arial" w:cs="Arial"/>
                <w:b w:val="0"/>
                <w:bCs w:val="0"/>
                <w:sz w:val="16"/>
                <w:szCs w:val="16"/>
              </w:rPr>
              <w:t>Panther Aptima-350</w:t>
            </w:r>
          </w:p>
        </w:tc>
        <w:tc>
          <w:tcPr>
            <w:tcW w:w="1260" w:type="dxa"/>
            <w:tcBorders>
              <w:bottom w:val="single" w:sz="4" w:space="0" w:color="auto"/>
            </w:tcBorders>
            <w:vAlign w:val="center"/>
          </w:tcPr>
          <w:p w14:paraId="7D89624E" w14:textId="6C741264"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tcBorders>
              <w:bottom w:val="single" w:sz="4" w:space="0" w:color="auto"/>
            </w:tcBorders>
            <w:vAlign w:val="center"/>
          </w:tcPr>
          <w:p w14:paraId="1A8D36E9" w14:textId="37B4E9C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Reagent Spike-in</w:t>
            </w:r>
          </w:p>
        </w:tc>
        <w:tc>
          <w:tcPr>
            <w:tcW w:w="1080" w:type="dxa"/>
            <w:tcBorders>
              <w:bottom w:val="single" w:sz="4" w:space="0" w:color="auto"/>
            </w:tcBorders>
            <w:vAlign w:val="center"/>
          </w:tcPr>
          <w:p w14:paraId="368043C4" w14:textId="46C663F8"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TMA</w:t>
            </w:r>
          </w:p>
        </w:tc>
        <w:tc>
          <w:tcPr>
            <w:tcW w:w="3470" w:type="dxa"/>
            <w:tcBorders>
              <w:bottom w:val="single" w:sz="4" w:space="0" w:color="auto"/>
            </w:tcBorders>
            <w:vAlign w:val="center"/>
          </w:tcPr>
          <w:p w14:paraId="71B475BD" w14:textId="325C5AE2"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Pools of 8 with RLU cutoff of &gt;350*</w:t>
            </w:r>
            <w:r w:rsidRPr="00C14A24">
              <w:rPr>
                <w:rFonts w:ascii="Arial" w:eastAsia="Arial" w:hAnsi="Arial" w:cs="Arial"/>
                <w:sz w:val="16"/>
                <w:szCs w:val="16"/>
                <w:vertAlign w:val="superscript"/>
              </w:rPr>
              <w:t>‡</w:t>
            </w:r>
          </w:p>
        </w:tc>
        <w:tc>
          <w:tcPr>
            <w:tcW w:w="1224" w:type="dxa"/>
            <w:tcBorders>
              <w:bottom w:val="single" w:sz="4" w:space="0" w:color="auto"/>
            </w:tcBorders>
            <w:vAlign w:val="center"/>
          </w:tcPr>
          <w:p w14:paraId="418DC8AE" w14:textId="509532E2" w:rsidR="004870D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C8B2E7E" w14:textId="77588576" w:rsidTr="00037F13">
        <w:trPr>
          <w:trHeight w:val="1367"/>
        </w:trPr>
        <w:tc>
          <w:tcPr>
            <w:cnfStyle w:val="001000000000" w:firstRow="0" w:lastRow="0" w:firstColumn="1" w:lastColumn="0" w:oddVBand="0" w:evenVBand="0" w:oddHBand="0" w:evenHBand="0" w:firstRowFirstColumn="0" w:firstRowLastColumn="0" w:lastRowFirstColumn="0" w:lastRowLastColumn="0"/>
            <w:tcW w:w="0" w:type="dxa"/>
            <w:gridSpan w:val="6"/>
            <w:tcBorders>
              <w:top w:val="single" w:sz="4" w:space="0" w:color="auto"/>
              <w:bottom w:val="nil"/>
            </w:tcBorders>
            <w:vAlign w:val="bottom"/>
          </w:tcPr>
          <w:p w14:paraId="06691DF2" w14:textId="73BDC0B3" w:rsidR="004870D5" w:rsidRPr="00037F13" w:rsidRDefault="004870D5" w:rsidP="005B7B9C">
            <w:pPr>
              <w:rPr>
                <w:rFonts w:ascii="Arial" w:eastAsia="Arial" w:hAnsi="Arial" w:cs="Arial"/>
                <w:bCs w:val="0"/>
                <w:sz w:val="16"/>
                <w:szCs w:val="16"/>
              </w:rPr>
            </w:pPr>
            <w:r>
              <w:rPr>
                <w:rFonts w:ascii="Arial" w:eastAsia="Arial" w:hAnsi="Arial" w:cs="Arial"/>
                <w:b w:val="0"/>
                <w:sz w:val="16"/>
                <w:szCs w:val="16"/>
              </w:rPr>
              <w:t>*Pooled testing strategy assessed empirically at Stanford Clinical Virology Laboratory, with individual samples evaluated by LDT.</w:t>
            </w:r>
          </w:p>
          <w:p w14:paraId="09AE7B26" w14:textId="77777777" w:rsidR="004870D5" w:rsidRPr="004870D5"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Pr>
                <w:rFonts w:ascii="Arial" w:eastAsia="Arial" w:hAnsi="Arial" w:cs="Arial"/>
                <w:b w:val="0"/>
                <w:sz w:val="16"/>
                <w:szCs w:val="16"/>
              </w:rPr>
              <w:t xml:space="preserve">Pooled testing strategy assessed via </w:t>
            </w:r>
            <w:r>
              <w:rPr>
                <w:rFonts w:ascii="Arial" w:eastAsia="Arial" w:hAnsi="Arial" w:cs="Arial"/>
                <w:b w:val="0"/>
                <w:i/>
                <w:sz w:val="16"/>
                <w:szCs w:val="16"/>
              </w:rPr>
              <w:t>in-silico</w:t>
            </w:r>
            <w:r>
              <w:rPr>
                <w:rFonts w:ascii="Arial" w:eastAsia="Arial" w:hAnsi="Arial" w:cs="Arial"/>
                <w:b w:val="0"/>
                <w:sz w:val="16"/>
                <w:szCs w:val="16"/>
              </w:rPr>
              <w:t xml:space="preserve"> sensitivity analysis, with individual samples evaluated by Panther Fusion.</w:t>
            </w:r>
          </w:p>
          <w:p w14:paraId="05B7170F" w14:textId="77777777" w:rsidR="004870D5" w:rsidRPr="00037F13"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sidRPr="00687C15">
              <w:rPr>
                <w:rFonts w:ascii="Arial" w:eastAsia="Arial" w:hAnsi="Arial" w:cs="Arial"/>
                <w:b w:val="0"/>
                <w:sz w:val="16"/>
                <w:szCs w:val="16"/>
              </w:rPr>
              <w:t xml:space="preserve"> Panther Aptima RLU cutoff of 350 selected based on receiver operating characteristic</w:t>
            </w:r>
            <w:r>
              <w:rPr>
                <w:rFonts w:ascii="Arial" w:eastAsia="Arial" w:hAnsi="Arial" w:cs="Arial"/>
                <w:b w:val="0"/>
                <w:sz w:val="16"/>
                <w:szCs w:val="16"/>
              </w:rPr>
              <w:t xml:space="preserve"> curve</w:t>
            </w:r>
            <w:r w:rsidRPr="00687C15">
              <w:rPr>
                <w:rFonts w:ascii="Arial" w:eastAsia="Arial" w:hAnsi="Arial" w:cs="Arial"/>
                <w:b w:val="0"/>
                <w:sz w:val="16"/>
                <w:szCs w:val="16"/>
              </w:rPr>
              <w:t xml:space="preserve"> (Appendix Figure 1).</w:t>
            </w:r>
          </w:p>
          <w:p w14:paraId="1A05004C" w14:textId="5BFC3B0B" w:rsidR="004870D5" w:rsidRPr="00687C15" w:rsidDel="004870D5" w:rsidRDefault="004870D5" w:rsidP="005B7B9C">
            <w:pPr>
              <w:rPr>
                <w:rFonts w:ascii="Arial" w:eastAsia="Arial" w:hAnsi="Arial" w:cs="Arial"/>
                <w:b w:val="0"/>
                <w:sz w:val="16"/>
                <w:szCs w:val="16"/>
              </w:rPr>
            </w:pPr>
            <w:r w:rsidRPr="00687C15">
              <w:rPr>
                <w:rFonts w:ascii="Arial" w:eastAsia="Arial" w:hAnsi="Arial" w:cs="Arial"/>
                <w:b w:val="0"/>
                <w:sz w:val="16"/>
                <w:szCs w:val="16"/>
              </w:rPr>
              <w:t xml:space="preserve">LDT, lab developed test; </w:t>
            </w:r>
            <w:r w:rsidRPr="00687C15">
              <w:rPr>
                <w:rFonts w:ascii="Arial" w:eastAsia="Arial" w:hAnsi="Arial" w:cs="Arial"/>
                <w:b w:val="0"/>
                <w:i/>
                <w:sz w:val="16"/>
                <w:szCs w:val="16"/>
              </w:rPr>
              <w:t xml:space="preserve">E </w:t>
            </w:r>
            <w:r w:rsidRPr="00687C15">
              <w:rPr>
                <w:rFonts w:ascii="Arial" w:eastAsia="Arial" w:hAnsi="Arial" w:cs="Arial"/>
                <w:b w:val="0"/>
                <w:sz w:val="16"/>
                <w:szCs w:val="16"/>
              </w:rPr>
              <w:t xml:space="preserve">gene, gene encoding SARS-CoV-2 envelope protein; </w:t>
            </w:r>
            <w:r w:rsidRPr="00687C15">
              <w:rPr>
                <w:rFonts w:ascii="Arial" w:eastAsia="Arial" w:hAnsi="Arial" w:cs="Arial"/>
                <w:b w:val="0"/>
                <w:i/>
                <w:sz w:val="16"/>
                <w:szCs w:val="16"/>
              </w:rPr>
              <w:t>R</w:t>
            </w:r>
            <w:r>
              <w:rPr>
                <w:rFonts w:ascii="Arial" w:eastAsia="Arial" w:hAnsi="Arial" w:cs="Arial"/>
                <w:b w:val="0"/>
                <w:i/>
                <w:sz w:val="16"/>
                <w:szCs w:val="16"/>
              </w:rPr>
              <w:t>N</w:t>
            </w:r>
            <w:r w:rsidRPr="00687C15">
              <w:rPr>
                <w:rFonts w:ascii="Arial" w:eastAsia="Arial" w:hAnsi="Arial" w:cs="Arial"/>
                <w:b w:val="0"/>
                <w:i/>
                <w:sz w:val="16"/>
                <w:szCs w:val="16"/>
              </w:rPr>
              <w:t>ase P</w:t>
            </w:r>
            <w:r w:rsidRPr="00687C15">
              <w:rPr>
                <w:rFonts w:ascii="Arial" w:eastAsia="Arial" w:hAnsi="Arial" w:cs="Arial"/>
                <w:b w:val="0"/>
                <w:sz w:val="16"/>
                <w:szCs w:val="16"/>
              </w:rPr>
              <w:t xml:space="preserve">, gene encoding ribonuclease P; </w:t>
            </w:r>
            <w:proofErr w:type="spellStart"/>
            <w:r w:rsidRPr="00687C15">
              <w:rPr>
                <w:rFonts w:ascii="Arial" w:eastAsia="Arial" w:hAnsi="Arial" w:cs="Arial"/>
                <w:b w:val="0"/>
                <w:sz w:val="16"/>
                <w:szCs w:val="16"/>
              </w:rPr>
              <w:t>rRT</w:t>
            </w:r>
            <w:proofErr w:type="spellEnd"/>
            <w:r w:rsidRPr="00687C15">
              <w:rPr>
                <w:rFonts w:ascii="Arial" w:eastAsia="Arial" w:hAnsi="Arial" w:cs="Arial"/>
                <w:b w:val="0"/>
                <w:sz w:val="16"/>
                <w:szCs w:val="16"/>
              </w:rPr>
              <w:t xml:space="preserve">-PCR, real-time reverse transcription polymerase chain reaction; </w:t>
            </w:r>
            <w:r w:rsidRPr="00B25D95">
              <w:rPr>
                <w:rFonts w:ascii="Arial" w:eastAsia="Arial" w:hAnsi="Arial" w:cs="Arial"/>
                <w:b w:val="0"/>
                <w:bCs w:val="0"/>
                <w:iCs/>
                <w:sz w:val="16"/>
                <w:szCs w:val="16"/>
              </w:rPr>
              <w:t>ORF1ab</w:t>
            </w:r>
            <w:r w:rsidRPr="00687C15">
              <w:rPr>
                <w:rFonts w:ascii="Arial" w:eastAsia="Arial" w:hAnsi="Arial" w:cs="Arial"/>
                <w:b w:val="0"/>
                <w:i/>
                <w:sz w:val="16"/>
                <w:szCs w:val="16"/>
              </w:rPr>
              <w:t>,</w:t>
            </w:r>
            <w:r w:rsidRPr="00687C15">
              <w:rPr>
                <w:rFonts w:ascii="Arial" w:eastAsia="Arial" w:hAnsi="Arial" w:cs="Arial"/>
                <w:b w:val="0"/>
                <w:sz w:val="16"/>
                <w:szCs w:val="16"/>
              </w:rPr>
              <w:t xml:space="preserve"> gene encoding SARS-CoV-2 replicase polyprotein 1 ab;</w:t>
            </w:r>
            <w:r w:rsidRPr="00687C15">
              <w:rPr>
                <w:rFonts w:ascii="Arial" w:eastAsia="Arial" w:hAnsi="Arial" w:cs="Arial"/>
                <w:b w:val="0"/>
                <w:i/>
                <w:sz w:val="16"/>
                <w:szCs w:val="16"/>
              </w:rPr>
              <w:t xml:space="preserve"> </w:t>
            </w:r>
            <w:r w:rsidRPr="00687C15">
              <w:rPr>
                <w:rFonts w:ascii="Arial" w:eastAsia="Arial" w:hAnsi="Arial" w:cs="Arial"/>
                <w:b w:val="0"/>
                <w:sz w:val="16"/>
                <w:szCs w:val="16"/>
              </w:rPr>
              <w:t>TMA, transcription-mediated amplification; RLU, relative light unit; Panther Aptima-M, Panther Aptima with manufacturer-set relative light unit cutoff; Panther Aptima-350, Panther Aptima with relative light unit cutoff of &gt;350 considered positive.</w:t>
            </w:r>
          </w:p>
        </w:tc>
      </w:tr>
    </w:tbl>
    <w:p w14:paraId="50F5049C" w14:textId="59695206" w:rsidR="00B25D95" w:rsidRDefault="00B25D95">
      <w:pPr>
        <w:rPr>
          <w:rFonts w:eastAsia="Arial"/>
        </w:rPr>
      </w:pPr>
      <w:r>
        <w:rPr>
          <w:rFonts w:eastAsia="Arial"/>
        </w:rPr>
        <w:br w:type="page"/>
      </w:r>
    </w:p>
    <w:p w14:paraId="32551E7E" w14:textId="23176CA1" w:rsidR="00492F59" w:rsidRPr="00687C15" w:rsidRDefault="00492F59" w:rsidP="00492F59">
      <w:pPr>
        <w:spacing w:line="480" w:lineRule="auto"/>
        <w:rPr>
          <w:rFonts w:eastAsia="Arial"/>
        </w:rPr>
      </w:pPr>
      <w:r w:rsidRPr="00B1770D">
        <w:rPr>
          <w:rFonts w:eastAsia="Arial"/>
          <w:b/>
          <w:bCs/>
        </w:rPr>
        <w:lastRenderedPageBreak/>
        <w:t xml:space="preserve">Table </w:t>
      </w:r>
      <w:r>
        <w:rPr>
          <w:rFonts w:eastAsia="Arial"/>
          <w:b/>
          <w:bCs/>
        </w:rPr>
        <w:t>2</w:t>
      </w:r>
      <w:r w:rsidRPr="00B1770D">
        <w:rPr>
          <w:rFonts w:eastAsia="Arial"/>
          <w:b/>
          <w:bCs/>
        </w:rPr>
        <w:t>.</w:t>
      </w:r>
      <w:r w:rsidRPr="006F1059">
        <w:rPr>
          <w:rFonts w:eastAsia="Arial"/>
        </w:rPr>
        <w:t xml:space="preserve"> </w:t>
      </w:r>
      <w:r w:rsidR="00CA0330">
        <w:rPr>
          <w:rFonts w:eastAsia="Arial"/>
        </w:rPr>
        <w:t xml:space="preserve">Proportion of positive SARS-CoV-2 tests </w:t>
      </w:r>
      <w:r w:rsidR="00D005ED">
        <w:rPr>
          <w:rFonts w:eastAsia="Arial"/>
        </w:rPr>
        <w:t>with</w:t>
      </w:r>
      <w:r w:rsidR="00CA0330">
        <w:rPr>
          <w:rFonts w:eastAsia="Arial"/>
        </w:rPr>
        <w:t xml:space="preserve"> median </w:t>
      </w:r>
      <w:r w:rsidR="00CA0330" w:rsidRPr="00CA0330">
        <w:rPr>
          <w:rFonts w:eastAsia="Arial"/>
        </w:rPr>
        <w:t>C</w:t>
      </w:r>
      <w:r w:rsidR="00CA0330" w:rsidRPr="00CA0330">
        <w:rPr>
          <w:rFonts w:eastAsia="Arial"/>
          <w:vertAlign w:val="subscript"/>
        </w:rPr>
        <w:t>t</w:t>
      </w:r>
      <w:r w:rsidR="00CA0330">
        <w:rPr>
          <w:rFonts w:eastAsia="Arial"/>
        </w:rPr>
        <w:t xml:space="preserve"> values</w:t>
      </w:r>
      <w:r w:rsidR="00D005ED">
        <w:rPr>
          <w:rFonts w:eastAsia="Arial"/>
        </w:rPr>
        <w:t xml:space="preserve"> in pooled testing and laboratory-wide clinical testing datasets, subset by testing indication</w:t>
      </w:r>
    </w:p>
    <w:tbl>
      <w:tblPr>
        <w:tblStyle w:val="PlainTable21"/>
        <w:tblW w:w="9720" w:type="dxa"/>
        <w:tblInd w:w="-151" w:type="dxa"/>
        <w:tblLayout w:type="fixed"/>
        <w:tblCellMar>
          <w:left w:w="29" w:type="dxa"/>
          <w:right w:w="29" w:type="dxa"/>
        </w:tblCellMar>
        <w:tblLook w:val="06A0" w:firstRow="1" w:lastRow="0" w:firstColumn="1" w:lastColumn="0" w:noHBand="1" w:noVBand="1"/>
      </w:tblPr>
      <w:tblGrid>
        <w:gridCol w:w="79"/>
        <w:gridCol w:w="1250"/>
        <w:gridCol w:w="1607"/>
        <w:gridCol w:w="1428"/>
        <w:gridCol w:w="1339"/>
        <w:gridCol w:w="1339"/>
        <w:gridCol w:w="1339"/>
        <w:gridCol w:w="1339"/>
      </w:tblGrid>
      <w:tr w:rsidR="00492F59" w:rsidRPr="004F5C12" w14:paraId="63335F0A" w14:textId="77777777" w:rsidTr="00224E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0" w:type="dxa"/>
            <w:gridSpan w:val="2"/>
            <w:vMerge w:val="restart"/>
            <w:vAlign w:val="center"/>
          </w:tcPr>
          <w:p w14:paraId="067F8B36" w14:textId="3A590921"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Dataset</w:t>
            </w:r>
          </w:p>
        </w:tc>
        <w:tc>
          <w:tcPr>
            <w:tcW w:w="4410" w:type="dxa"/>
            <w:gridSpan w:val="3"/>
            <w:vAlign w:val="center"/>
          </w:tcPr>
          <w:p w14:paraId="660C5C60"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No. positive samples/No. total samples (%)</w:t>
            </w:r>
          </w:p>
        </w:tc>
        <w:tc>
          <w:tcPr>
            <w:tcW w:w="4050" w:type="dxa"/>
            <w:gridSpan w:val="3"/>
            <w:vAlign w:val="center"/>
          </w:tcPr>
          <w:p w14:paraId="0340ACD7"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 xml:space="preserve">Median </w:t>
            </w:r>
            <w:r w:rsidRPr="004F5C12">
              <w:rPr>
                <w:rFonts w:ascii="Arial" w:eastAsia="Arial" w:hAnsi="Arial" w:cs="Arial"/>
                <w:b w:val="0"/>
                <w:bCs w:val="0"/>
                <w:sz w:val="16"/>
                <w:szCs w:val="16"/>
              </w:rPr>
              <w:t>C</w:t>
            </w:r>
            <w:r w:rsidRPr="004F5C12">
              <w:rPr>
                <w:rFonts w:ascii="Arial" w:eastAsia="Arial" w:hAnsi="Arial" w:cs="Arial"/>
                <w:b w:val="0"/>
                <w:bCs w:val="0"/>
                <w:sz w:val="16"/>
                <w:szCs w:val="16"/>
                <w:vertAlign w:val="subscript"/>
              </w:rPr>
              <w:t>t</w:t>
            </w:r>
            <w:r w:rsidRPr="004F5C12">
              <w:rPr>
                <w:rFonts w:ascii="Arial" w:eastAsia="Arial" w:hAnsi="Arial" w:cs="Arial"/>
                <w:b w:val="0"/>
                <w:bCs w:val="0"/>
                <w:sz w:val="16"/>
                <w:szCs w:val="16"/>
              </w:rPr>
              <w:t xml:space="preserve"> value</w:t>
            </w:r>
            <w:r w:rsidRPr="004F5C12">
              <w:rPr>
                <w:rFonts w:ascii="Arial" w:eastAsia="Arial" w:hAnsi="Arial" w:cs="Arial"/>
                <w:b w:val="0"/>
                <w:sz w:val="16"/>
                <w:szCs w:val="16"/>
              </w:rPr>
              <w:t xml:space="preserve"> (IQR)</w:t>
            </w:r>
          </w:p>
        </w:tc>
      </w:tr>
      <w:tr w:rsidR="00492F59" w:rsidRPr="004F5C12" w14:paraId="7F15BB98" w14:textId="77777777" w:rsidTr="00224E1A">
        <w:trPr>
          <w:trHeight w:val="242"/>
        </w:trPr>
        <w:tc>
          <w:tcPr>
            <w:cnfStyle w:val="001000000000" w:firstRow="0" w:lastRow="0" w:firstColumn="1" w:lastColumn="0" w:oddVBand="0" w:evenVBand="0" w:oddHBand="0" w:evenHBand="0" w:firstRowFirstColumn="0" w:firstRowLastColumn="0" w:lastRowFirstColumn="0" w:lastRowLastColumn="0"/>
            <w:tcW w:w="1260" w:type="dxa"/>
            <w:gridSpan w:val="2"/>
            <w:vMerge/>
            <w:tcBorders>
              <w:bottom w:val="single" w:sz="4" w:space="0" w:color="auto"/>
            </w:tcBorders>
            <w:vAlign w:val="center"/>
          </w:tcPr>
          <w:p w14:paraId="44D1DF8C" w14:textId="77777777" w:rsidR="00492F59" w:rsidRPr="004F5C12" w:rsidRDefault="00492F59" w:rsidP="00224E1A">
            <w:pPr>
              <w:rPr>
                <w:rFonts w:ascii="Arial" w:eastAsia="Arial" w:hAnsi="Arial" w:cs="Arial"/>
                <w:b w:val="0"/>
                <w:sz w:val="16"/>
                <w:szCs w:val="16"/>
              </w:rPr>
            </w:pPr>
          </w:p>
        </w:tc>
        <w:tc>
          <w:tcPr>
            <w:tcW w:w="1620" w:type="dxa"/>
            <w:tcBorders>
              <w:bottom w:val="single" w:sz="4" w:space="0" w:color="auto"/>
            </w:tcBorders>
            <w:vAlign w:val="center"/>
          </w:tcPr>
          <w:p w14:paraId="4279D15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440" w:type="dxa"/>
            <w:tcBorders>
              <w:bottom w:val="single" w:sz="4" w:space="0" w:color="auto"/>
            </w:tcBorders>
            <w:vAlign w:val="center"/>
          </w:tcPr>
          <w:p w14:paraId="56606AB1"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4BE9E6B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c>
          <w:tcPr>
            <w:tcW w:w="1350" w:type="dxa"/>
            <w:tcBorders>
              <w:bottom w:val="single" w:sz="4" w:space="0" w:color="auto"/>
            </w:tcBorders>
            <w:vAlign w:val="center"/>
          </w:tcPr>
          <w:p w14:paraId="6744A8D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350" w:type="dxa"/>
            <w:tcBorders>
              <w:bottom w:val="single" w:sz="4" w:space="0" w:color="auto"/>
            </w:tcBorders>
            <w:vAlign w:val="center"/>
          </w:tcPr>
          <w:p w14:paraId="500EEA7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6745E2A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r>
      <w:tr w:rsidR="00492F59" w:rsidRPr="004F5C12" w14:paraId="6C0AA064"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bottom w:val="single" w:sz="4" w:space="0" w:color="auto"/>
            </w:tcBorders>
            <w:vAlign w:val="center"/>
          </w:tcPr>
          <w:p w14:paraId="7FCAB19F" w14:textId="77777777" w:rsidR="00492F59" w:rsidRPr="004F5C12" w:rsidRDefault="00492F59" w:rsidP="00224E1A">
            <w:pPr>
              <w:rPr>
                <w:rFonts w:ascii="Arial" w:eastAsia="Arial" w:hAnsi="Arial" w:cs="Arial"/>
                <w:sz w:val="16"/>
                <w:szCs w:val="16"/>
              </w:rPr>
            </w:pPr>
            <w:r>
              <w:rPr>
                <w:rFonts w:ascii="Arial" w:eastAsia="Arial" w:hAnsi="Arial" w:cs="Arial"/>
                <w:b w:val="0"/>
                <w:sz w:val="16"/>
                <w:szCs w:val="16"/>
              </w:rPr>
              <w:t>Pools of 8*</w:t>
            </w:r>
          </w:p>
        </w:tc>
        <w:tc>
          <w:tcPr>
            <w:tcW w:w="1620" w:type="dxa"/>
            <w:tcBorders>
              <w:top w:val="single" w:sz="4" w:space="0" w:color="auto"/>
              <w:bottom w:val="single" w:sz="4" w:space="0" w:color="auto"/>
            </w:tcBorders>
            <w:vAlign w:val="center"/>
          </w:tcPr>
          <w:p w14:paraId="1E0D274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w:t>
            </w:r>
            <w:r>
              <w:rPr>
                <w:rFonts w:ascii="Arial" w:eastAsia="Arial" w:hAnsi="Arial" w:cs="Arial"/>
                <w:sz w:val="16"/>
                <w:szCs w:val="16"/>
              </w:rPr>
              <w:t>8</w:t>
            </w:r>
            <w:r w:rsidRPr="004F5C12">
              <w:rPr>
                <w:rFonts w:ascii="Arial" w:eastAsia="Arial" w:hAnsi="Arial" w:cs="Arial"/>
                <w:sz w:val="16"/>
                <w:szCs w:val="16"/>
              </w:rPr>
              <w:t>/880 (6.</w:t>
            </w:r>
            <w:r>
              <w:rPr>
                <w:rFonts w:ascii="Arial" w:eastAsia="Arial" w:hAnsi="Arial" w:cs="Arial"/>
                <w:sz w:val="16"/>
                <w:szCs w:val="16"/>
              </w:rPr>
              <w:t>6</w:t>
            </w:r>
            <w:r w:rsidRPr="004F5C12">
              <w:rPr>
                <w:rFonts w:ascii="Arial" w:eastAsia="Arial" w:hAnsi="Arial" w:cs="Arial"/>
                <w:sz w:val="16"/>
                <w:szCs w:val="16"/>
              </w:rPr>
              <w:t>%)</w:t>
            </w:r>
          </w:p>
        </w:tc>
        <w:tc>
          <w:tcPr>
            <w:tcW w:w="1440" w:type="dxa"/>
            <w:tcBorders>
              <w:top w:val="single" w:sz="4" w:space="0" w:color="auto"/>
              <w:bottom w:val="single" w:sz="4" w:space="0" w:color="auto"/>
            </w:tcBorders>
            <w:vAlign w:val="center"/>
          </w:tcPr>
          <w:p w14:paraId="79A7EA9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24/657 (3.7%)</w:t>
            </w:r>
          </w:p>
        </w:tc>
        <w:tc>
          <w:tcPr>
            <w:tcW w:w="1350" w:type="dxa"/>
            <w:tcBorders>
              <w:top w:val="single" w:sz="4" w:space="0" w:color="auto"/>
              <w:bottom w:val="single" w:sz="4" w:space="0" w:color="auto"/>
            </w:tcBorders>
            <w:vAlign w:val="center"/>
          </w:tcPr>
          <w:p w14:paraId="39E068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34/223 (15.2%)</w:t>
            </w:r>
          </w:p>
        </w:tc>
        <w:tc>
          <w:tcPr>
            <w:tcW w:w="1350" w:type="dxa"/>
            <w:tcBorders>
              <w:top w:val="single" w:sz="4" w:space="0" w:color="auto"/>
              <w:bottom w:val="single" w:sz="4" w:space="0" w:color="auto"/>
            </w:tcBorders>
            <w:vAlign w:val="center"/>
          </w:tcPr>
          <w:p w14:paraId="711593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134629">
              <w:rPr>
                <w:rFonts w:ascii="Arial" w:eastAsia="Arial" w:hAnsi="Arial" w:cs="Arial"/>
                <w:bCs/>
                <w:sz w:val="16"/>
                <w:szCs w:val="16"/>
              </w:rPr>
              <w:t>31.4 (22.1-35.5)</w:t>
            </w:r>
          </w:p>
        </w:tc>
        <w:tc>
          <w:tcPr>
            <w:tcW w:w="1350" w:type="dxa"/>
            <w:tcBorders>
              <w:top w:val="single" w:sz="4" w:space="0" w:color="auto"/>
              <w:bottom w:val="single" w:sz="4" w:space="0" w:color="auto"/>
            </w:tcBorders>
            <w:vAlign w:val="center"/>
          </w:tcPr>
          <w:p w14:paraId="63C8544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24.4 (18.4-33.1)</w:t>
            </w:r>
          </w:p>
        </w:tc>
        <w:tc>
          <w:tcPr>
            <w:tcW w:w="1350" w:type="dxa"/>
            <w:tcBorders>
              <w:top w:val="single" w:sz="4" w:space="0" w:color="auto"/>
              <w:bottom w:val="single" w:sz="4" w:space="0" w:color="auto"/>
            </w:tcBorders>
            <w:vAlign w:val="center"/>
          </w:tcPr>
          <w:p w14:paraId="17567D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34.1 (29.0-36.8)</w:t>
            </w:r>
          </w:p>
        </w:tc>
      </w:tr>
      <w:tr w:rsidR="00492F59" w:rsidRPr="004F5C12" w14:paraId="1BFAA351" w14:textId="77777777" w:rsidTr="00224E1A">
        <w:trPr>
          <w:trHeight w:val="260"/>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6EB81AE1" w14:textId="77777777"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Pools of 4</w:t>
            </w:r>
            <w:r w:rsidRPr="00C55F63">
              <w:rPr>
                <w:rFonts w:ascii="Arial" w:eastAsia="Arial" w:hAnsi="Arial" w:cs="Arial"/>
                <w:b w:val="0"/>
                <w:sz w:val="16"/>
                <w:szCs w:val="16"/>
                <w:vertAlign w:val="superscript"/>
              </w:rPr>
              <w:t>†</w:t>
            </w:r>
          </w:p>
        </w:tc>
        <w:tc>
          <w:tcPr>
            <w:tcW w:w="1620" w:type="dxa"/>
            <w:tcBorders>
              <w:top w:val="single" w:sz="4" w:space="0" w:color="auto"/>
            </w:tcBorders>
            <w:vAlign w:val="center"/>
          </w:tcPr>
          <w:p w14:paraId="27EC220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38/768 (4.9%)</w:t>
            </w:r>
          </w:p>
        </w:tc>
        <w:tc>
          <w:tcPr>
            <w:tcW w:w="1440" w:type="dxa"/>
            <w:tcBorders>
              <w:top w:val="single" w:sz="4" w:space="0" w:color="auto"/>
            </w:tcBorders>
            <w:vAlign w:val="center"/>
          </w:tcPr>
          <w:p w14:paraId="28E1220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28/491 (5.7%)</w:t>
            </w:r>
          </w:p>
        </w:tc>
        <w:tc>
          <w:tcPr>
            <w:tcW w:w="1350" w:type="dxa"/>
            <w:tcBorders>
              <w:top w:val="single" w:sz="4" w:space="0" w:color="auto"/>
            </w:tcBorders>
            <w:vAlign w:val="center"/>
          </w:tcPr>
          <w:p w14:paraId="5FE26F8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10/277 (3.6%)</w:t>
            </w:r>
          </w:p>
        </w:tc>
        <w:tc>
          <w:tcPr>
            <w:tcW w:w="1350" w:type="dxa"/>
            <w:tcBorders>
              <w:top w:val="single" w:sz="4" w:space="0" w:color="auto"/>
            </w:tcBorders>
            <w:vAlign w:val="center"/>
          </w:tcPr>
          <w:p w14:paraId="0CDE89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29.3 (20.3-33.9)</w:t>
            </w:r>
          </w:p>
        </w:tc>
        <w:tc>
          <w:tcPr>
            <w:tcW w:w="1350" w:type="dxa"/>
            <w:tcBorders>
              <w:top w:val="single" w:sz="4" w:space="0" w:color="auto"/>
            </w:tcBorders>
            <w:vAlign w:val="center"/>
          </w:tcPr>
          <w:p w14:paraId="5055A68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27.5 (19.4-32.6)</w:t>
            </w:r>
          </w:p>
        </w:tc>
        <w:tc>
          <w:tcPr>
            <w:tcW w:w="1350" w:type="dxa"/>
            <w:tcBorders>
              <w:top w:val="single" w:sz="4" w:space="0" w:color="auto"/>
            </w:tcBorders>
            <w:vAlign w:val="center"/>
          </w:tcPr>
          <w:p w14:paraId="00E2E86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32.2 (24.9-34.5)</w:t>
            </w:r>
          </w:p>
        </w:tc>
      </w:tr>
      <w:tr w:rsidR="00492F59" w:rsidRPr="004F5C12" w14:paraId="4FBA7D5F"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7958237B" w14:textId="77777777" w:rsidR="00492F59" w:rsidRPr="00D162C1" w:rsidRDefault="00492F59" w:rsidP="00224E1A">
            <w:pPr>
              <w:rPr>
                <w:rFonts w:ascii="Arial" w:eastAsia="Arial" w:hAnsi="Arial" w:cs="Arial"/>
                <w:b w:val="0"/>
                <w:sz w:val="16"/>
                <w:szCs w:val="16"/>
              </w:rPr>
            </w:pPr>
            <w:r>
              <w:rPr>
                <w:rFonts w:ascii="Arial" w:eastAsia="Arial" w:hAnsi="Arial" w:cs="Arial"/>
                <w:b w:val="0"/>
                <w:sz w:val="16"/>
                <w:szCs w:val="16"/>
              </w:rPr>
              <w:t>Hologic</w:t>
            </w:r>
            <w:r w:rsidRPr="00723E55">
              <w:rPr>
                <w:rFonts w:ascii="Arial" w:eastAsia="Arial" w:hAnsi="Arial" w:cs="Arial"/>
                <w:b w:val="0"/>
                <w:sz w:val="16"/>
                <w:szCs w:val="16"/>
                <w:vertAlign w:val="superscript"/>
              </w:rPr>
              <w:t>‡</w:t>
            </w:r>
          </w:p>
        </w:tc>
        <w:tc>
          <w:tcPr>
            <w:tcW w:w="1620" w:type="dxa"/>
            <w:tcBorders>
              <w:top w:val="single" w:sz="4" w:space="0" w:color="auto"/>
            </w:tcBorders>
            <w:vAlign w:val="center"/>
          </w:tcPr>
          <w:p w14:paraId="45560ED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10000/52272 (19.1%)</w:t>
            </w:r>
          </w:p>
        </w:tc>
        <w:tc>
          <w:tcPr>
            <w:tcW w:w="1440" w:type="dxa"/>
            <w:tcBorders>
              <w:top w:val="single" w:sz="4" w:space="0" w:color="auto"/>
            </w:tcBorders>
            <w:vAlign w:val="center"/>
          </w:tcPr>
          <w:p w14:paraId="11845EF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1E3B21A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5D872FA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26.2 (20.7-32.6)</w:t>
            </w:r>
          </w:p>
        </w:tc>
        <w:tc>
          <w:tcPr>
            <w:tcW w:w="1350" w:type="dxa"/>
            <w:tcBorders>
              <w:top w:val="single" w:sz="4" w:space="0" w:color="auto"/>
            </w:tcBorders>
            <w:vAlign w:val="center"/>
          </w:tcPr>
          <w:p w14:paraId="263B082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350" w:type="dxa"/>
            <w:tcBorders>
              <w:top w:val="single" w:sz="4" w:space="0" w:color="auto"/>
            </w:tcBorders>
            <w:vAlign w:val="center"/>
          </w:tcPr>
          <w:p w14:paraId="41B4CA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r>
      <w:tr w:rsidR="00492F59" w:rsidRPr="004F5C12" w14:paraId="7D8B80DD"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40688040" w14:textId="77777777" w:rsidR="00492F59" w:rsidRPr="004F5C12" w:rsidRDefault="00492F59" w:rsidP="00224E1A">
            <w:pPr>
              <w:rPr>
                <w:rFonts w:ascii="Arial" w:eastAsia="Arial" w:hAnsi="Arial" w:cs="Arial"/>
                <w:sz w:val="16"/>
                <w:szCs w:val="16"/>
              </w:rPr>
            </w:pPr>
            <w:r w:rsidRPr="004F5C12">
              <w:rPr>
                <w:rFonts w:ascii="Arial" w:eastAsia="Arial" w:hAnsi="Arial" w:cs="Arial"/>
                <w:b w:val="0"/>
                <w:sz w:val="16"/>
                <w:szCs w:val="16"/>
              </w:rPr>
              <w:t>Lab-wide</w:t>
            </w:r>
            <w:r w:rsidRPr="004550AC">
              <w:rPr>
                <w:rFonts w:ascii="Arial" w:eastAsia="Arial" w:hAnsi="Arial" w:cs="Arial"/>
                <w:b w:val="0"/>
                <w:sz w:val="16"/>
                <w:szCs w:val="16"/>
                <w:vertAlign w:val="superscript"/>
              </w:rPr>
              <w:t>§</w:t>
            </w:r>
          </w:p>
        </w:tc>
        <w:tc>
          <w:tcPr>
            <w:tcW w:w="1620" w:type="dxa"/>
            <w:tcBorders>
              <w:top w:val="single" w:sz="4" w:space="0" w:color="auto"/>
            </w:tcBorders>
            <w:vAlign w:val="center"/>
          </w:tcPr>
          <w:p w14:paraId="040CEFD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1358/74162 (1.8%)</w:t>
            </w:r>
          </w:p>
        </w:tc>
        <w:tc>
          <w:tcPr>
            <w:tcW w:w="1440" w:type="dxa"/>
            <w:tcBorders>
              <w:top w:val="single" w:sz="4" w:space="0" w:color="auto"/>
            </w:tcBorders>
            <w:vAlign w:val="center"/>
          </w:tcPr>
          <w:p w14:paraId="7F58F33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1109/66070 (1.7%)</w:t>
            </w:r>
          </w:p>
        </w:tc>
        <w:tc>
          <w:tcPr>
            <w:tcW w:w="1350" w:type="dxa"/>
            <w:tcBorders>
              <w:top w:val="single" w:sz="4" w:space="0" w:color="auto"/>
            </w:tcBorders>
            <w:vAlign w:val="center"/>
          </w:tcPr>
          <w:p w14:paraId="1277CAC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249/8092 (3.1%)</w:t>
            </w:r>
          </w:p>
        </w:tc>
        <w:tc>
          <w:tcPr>
            <w:tcW w:w="1350" w:type="dxa"/>
            <w:tcBorders>
              <w:top w:val="single" w:sz="4" w:space="0" w:color="auto"/>
            </w:tcBorders>
            <w:vAlign w:val="center"/>
          </w:tcPr>
          <w:p w14:paraId="18AB959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28.5 (23.0-34.3)</w:t>
            </w:r>
          </w:p>
        </w:tc>
        <w:tc>
          <w:tcPr>
            <w:tcW w:w="1350" w:type="dxa"/>
            <w:tcBorders>
              <w:top w:val="single" w:sz="4" w:space="0" w:color="auto"/>
            </w:tcBorders>
            <w:vAlign w:val="center"/>
          </w:tcPr>
          <w:p w14:paraId="0997163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27.2 (22.2-32.4)</w:t>
            </w:r>
          </w:p>
        </w:tc>
        <w:tc>
          <w:tcPr>
            <w:tcW w:w="1350" w:type="dxa"/>
            <w:tcBorders>
              <w:top w:val="single" w:sz="4" w:space="0" w:color="auto"/>
            </w:tcBorders>
            <w:vAlign w:val="center"/>
          </w:tcPr>
          <w:p w14:paraId="043B99E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34.2 (29.0-37.4)</w:t>
            </w:r>
          </w:p>
        </w:tc>
      </w:tr>
      <w:tr w:rsidR="00492F59" w:rsidRPr="004F5C12" w14:paraId="3511F0E4"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6BDB9199" w14:textId="77777777" w:rsidR="00492F59" w:rsidRPr="004F5C12" w:rsidRDefault="00492F59" w:rsidP="00224E1A">
            <w:pPr>
              <w:rPr>
                <w:rFonts w:ascii="Arial" w:eastAsia="Arial" w:hAnsi="Arial" w:cs="Arial"/>
                <w:b w:val="0"/>
                <w:sz w:val="16"/>
                <w:szCs w:val="16"/>
              </w:rPr>
            </w:pPr>
          </w:p>
        </w:tc>
        <w:tc>
          <w:tcPr>
            <w:tcW w:w="1137" w:type="dxa"/>
            <w:vAlign w:val="center"/>
          </w:tcPr>
          <w:p w14:paraId="616D8966"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March</w:t>
            </w:r>
          </w:p>
        </w:tc>
        <w:tc>
          <w:tcPr>
            <w:tcW w:w="1620" w:type="dxa"/>
            <w:vAlign w:val="center"/>
          </w:tcPr>
          <w:p w14:paraId="423D00C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555/8896 (6.2%)</w:t>
            </w:r>
          </w:p>
        </w:tc>
        <w:tc>
          <w:tcPr>
            <w:tcW w:w="1440" w:type="dxa"/>
            <w:vAlign w:val="center"/>
          </w:tcPr>
          <w:p w14:paraId="395362E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489/8557 (5.7%)</w:t>
            </w:r>
          </w:p>
        </w:tc>
        <w:tc>
          <w:tcPr>
            <w:tcW w:w="1350" w:type="dxa"/>
            <w:vAlign w:val="center"/>
          </w:tcPr>
          <w:p w14:paraId="4F07046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66/339 (19.5%)</w:t>
            </w:r>
          </w:p>
        </w:tc>
        <w:tc>
          <w:tcPr>
            <w:tcW w:w="1350" w:type="dxa"/>
            <w:vAlign w:val="center"/>
          </w:tcPr>
          <w:p w14:paraId="5B3FAE6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26.7 (21.9-31.5)</w:t>
            </w:r>
          </w:p>
        </w:tc>
        <w:tc>
          <w:tcPr>
            <w:tcW w:w="1350" w:type="dxa"/>
            <w:vAlign w:val="center"/>
          </w:tcPr>
          <w:p w14:paraId="3512122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26.4 (21.8-31.2)</w:t>
            </w:r>
          </w:p>
        </w:tc>
        <w:tc>
          <w:tcPr>
            <w:tcW w:w="1350" w:type="dxa"/>
            <w:vAlign w:val="center"/>
          </w:tcPr>
          <w:p w14:paraId="114F94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28.6 (22.6-35.2)</w:t>
            </w:r>
          </w:p>
        </w:tc>
      </w:tr>
      <w:tr w:rsidR="00492F59" w:rsidRPr="004F5C12" w14:paraId="0F2B05C3" w14:textId="77777777" w:rsidTr="00224E1A">
        <w:trPr>
          <w:trHeight w:val="261"/>
        </w:trPr>
        <w:tc>
          <w:tcPr>
            <w:cnfStyle w:val="001000000000" w:firstRow="0" w:lastRow="0" w:firstColumn="1" w:lastColumn="0" w:oddVBand="0" w:evenVBand="0" w:oddHBand="0" w:evenHBand="0" w:firstRowFirstColumn="0" w:firstRowLastColumn="0" w:lastRowFirstColumn="0" w:lastRowLastColumn="0"/>
            <w:tcW w:w="0" w:type="dxa"/>
            <w:vAlign w:val="center"/>
          </w:tcPr>
          <w:p w14:paraId="0C5320AA" w14:textId="77777777" w:rsidR="00492F59" w:rsidRPr="004F5C12" w:rsidRDefault="00492F59" w:rsidP="00224E1A">
            <w:pPr>
              <w:rPr>
                <w:rFonts w:ascii="Arial" w:eastAsia="Arial" w:hAnsi="Arial" w:cs="Arial"/>
                <w:b w:val="0"/>
                <w:sz w:val="16"/>
                <w:szCs w:val="16"/>
              </w:rPr>
            </w:pPr>
          </w:p>
        </w:tc>
        <w:tc>
          <w:tcPr>
            <w:tcW w:w="1137" w:type="dxa"/>
            <w:vAlign w:val="center"/>
          </w:tcPr>
          <w:p w14:paraId="6C18D852"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April</w:t>
            </w:r>
          </w:p>
        </w:tc>
        <w:tc>
          <w:tcPr>
            <w:tcW w:w="1620" w:type="dxa"/>
            <w:vAlign w:val="center"/>
          </w:tcPr>
          <w:p w14:paraId="102FB55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518/22671 (2.3%)</w:t>
            </w:r>
          </w:p>
        </w:tc>
        <w:tc>
          <w:tcPr>
            <w:tcW w:w="1440" w:type="dxa"/>
            <w:vAlign w:val="center"/>
          </w:tcPr>
          <w:p w14:paraId="114C34F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404/21167 (1.9%)</w:t>
            </w:r>
          </w:p>
        </w:tc>
        <w:tc>
          <w:tcPr>
            <w:tcW w:w="1350" w:type="dxa"/>
            <w:vAlign w:val="center"/>
          </w:tcPr>
          <w:p w14:paraId="33983B8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114/1504 (7.5%)</w:t>
            </w:r>
          </w:p>
        </w:tc>
        <w:tc>
          <w:tcPr>
            <w:tcW w:w="1350" w:type="dxa"/>
            <w:vAlign w:val="center"/>
          </w:tcPr>
          <w:p w14:paraId="7230571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(24.8-36.0)</w:t>
            </w:r>
          </w:p>
        </w:tc>
        <w:tc>
          <w:tcPr>
            <w:tcW w:w="1350" w:type="dxa"/>
            <w:vAlign w:val="center"/>
          </w:tcPr>
          <w:p w14:paraId="438954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28.8 (22.7-34.6)</w:t>
            </w:r>
          </w:p>
        </w:tc>
        <w:tc>
          <w:tcPr>
            <w:tcW w:w="1350" w:type="dxa"/>
            <w:vAlign w:val="center"/>
          </w:tcPr>
          <w:p w14:paraId="066C98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(32.9-38.0)</w:t>
            </w:r>
          </w:p>
        </w:tc>
      </w:tr>
      <w:tr w:rsidR="00492F59" w:rsidRPr="004F5C12" w14:paraId="4A30B480"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0088D18D" w14:textId="77777777" w:rsidR="00492F59" w:rsidRPr="004F5C12" w:rsidRDefault="00492F59" w:rsidP="00224E1A">
            <w:pPr>
              <w:rPr>
                <w:rFonts w:ascii="Arial" w:eastAsia="Arial" w:hAnsi="Arial" w:cs="Arial"/>
                <w:b w:val="0"/>
                <w:sz w:val="16"/>
                <w:szCs w:val="16"/>
              </w:rPr>
            </w:pPr>
          </w:p>
        </w:tc>
        <w:tc>
          <w:tcPr>
            <w:tcW w:w="1137" w:type="dxa"/>
            <w:vAlign w:val="center"/>
          </w:tcPr>
          <w:p w14:paraId="1BDBBB2F"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May</w:t>
            </w:r>
          </w:p>
        </w:tc>
        <w:tc>
          <w:tcPr>
            <w:tcW w:w="1620" w:type="dxa"/>
            <w:vAlign w:val="center"/>
          </w:tcPr>
          <w:p w14:paraId="57A8AC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172/21833 (0.8%)</w:t>
            </w:r>
          </w:p>
        </w:tc>
        <w:tc>
          <w:tcPr>
            <w:tcW w:w="1440" w:type="dxa"/>
            <w:vAlign w:val="center"/>
          </w:tcPr>
          <w:p w14:paraId="7CFFD86D"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136/19505 (0.7%)</w:t>
            </w:r>
          </w:p>
        </w:tc>
        <w:tc>
          <w:tcPr>
            <w:tcW w:w="1350" w:type="dxa"/>
            <w:vAlign w:val="center"/>
          </w:tcPr>
          <w:p w14:paraId="7E1ED69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36/2328 (1.5%)</w:t>
            </w:r>
          </w:p>
        </w:tc>
        <w:tc>
          <w:tcPr>
            <w:tcW w:w="1350" w:type="dxa"/>
            <w:vAlign w:val="center"/>
          </w:tcPr>
          <w:p w14:paraId="001A540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27.5 (23.3-34.7)</w:t>
            </w:r>
          </w:p>
        </w:tc>
        <w:tc>
          <w:tcPr>
            <w:tcW w:w="1350" w:type="dxa"/>
            <w:vAlign w:val="center"/>
          </w:tcPr>
          <w:p w14:paraId="0D15E1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26.1 (22.5-31.3)</w:t>
            </w:r>
          </w:p>
        </w:tc>
        <w:tc>
          <w:tcPr>
            <w:tcW w:w="1350" w:type="dxa"/>
            <w:vAlign w:val="center"/>
          </w:tcPr>
          <w:p w14:paraId="1B69F03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(30.4-37.3)</w:t>
            </w:r>
          </w:p>
        </w:tc>
      </w:tr>
      <w:tr w:rsidR="00492F59" w:rsidRPr="004F5C12" w14:paraId="1274C130" w14:textId="77777777" w:rsidTr="00224E1A">
        <w:trPr>
          <w:trHeight w:val="252"/>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989773E" w14:textId="77777777" w:rsidR="00492F59" w:rsidRPr="004F5C12" w:rsidRDefault="00492F59" w:rsidP="00224E1A">
            <w:pPr>
              <w:rPr>
                <w:rFonts w:ascii="Arial" w:eastAsia="Arial" w:hAnsi="Arial" w:cs="Arial"/>
                <w:b w:val="0"/>
                <w:sz w:val="16"/>
                <w:szCs w:val="16"/>
              </w:rPr>
            </w:pPr>
          </w:p>
        </w:tc>
        <w:tc>
          <w:tcPr>
            <w:tcW w:w="0" w:type="dxa"/>
            <w:tcBorders>
              <w:bottom w:val="single" w:sz="4" w:space="0" w:color="auto"/>
            </w:tcBorders>
            <w:vAlign w:val="center"/>
          </w:tcPr>
          <w:p w14:paraId="39B05480"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June</w:t>
            </w:r>
          </w:p>
        </w:tc>
        <w:tc>
          <w:tcPr>
            <w:tcW w:w="1620" w:type="dxa"/>
            <w:tcBorders>
              <w:bottom w:val="single" w:sz="4" w:space="0" w:color="auto"/>
            </w:tcBorders>
            <w:vAlign w:val="center"/>
          </w:tcPr>
          <w:p w14:paraId="3CA6773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113/20762 (0.5%)</w:t>
            </w:r>
          </w:p>
        </w:tc>
        <w:tc>
          <w:tcPr>
            <w:tcW w:w="0" w:type="dxa"/>
            <w:tcBorders>
              <w:bottom w:val="single" w:sz="4" w:space="0" w:color="auto"/>
            </w:tcBorders>
            <w:vAlign w:val="center"/>
          </w:tcPr>
          <w:p w14:paraId="59381BB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80/16841 (0.5%)</w:t>
            </w:r>
          </w:p>
        </w:tc>
        <w:tc>
          <w:tcPr>
            <w:tcW w:w="1350" w:type="dxa"/>
            <w:tcBorders>
              <w:bottom w:val="single" w:sz="4" w:space="0" w:color="auto"/>
            </w:tcBorders>
            <w:vAlign w:val="center"/>
          </w:tcPr>
          <w:p w14:paraId="588D530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33/3921 (0.84%)</w:t>
            </w:r>
          </w:p>
        </w:tc>
        <w:tc>
          <w:tcPr>
            <w:tcW w:w="0" w:type="dxa"/>
            <w:tcBorders>
              <w:bottom w:val="single" w:sz="4" w:space="0" w:color="auto"/>
            </w:tcBorders>
            <w:vAlign w:val="center"/>
          </w:tcPr>
          <w:p w14:paraId="40B6981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28.2 (21.2-33.6)</w:t>
            </w:r>
          </w:p>
        </w:tc>
        <w:tc>
          <w:tcPr>
            <w:tcW w:w="0" w:type="dxa"/>
            <w:tcBorders>
              <w:bottom w:val="single" w:sz="4" w:space="0" w:color="auto"/>
            </w:tcBorders>
            <w:vAlign w:val="center"/>
          </w:tcPr>
          <w:p w14:paraId="37F6A4A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27.4 (21.3-32.7)</w:t>
            </w:r>
          </w:p>
        </w:tc>
        <w:tc>
          <w:tcPr>
            <w:tcW w:w="0" w:type="dxa"/>
            <w:tcBorders>
              <w:bottom w:val="single" w:sz="4" w:space="0" w:color="auto"/>
            </w:tcBorders>
            <w:vAlign w:val="center"/>
          </w:tcPr>
          <w:p w14:paraId="0C1811E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(20.2-34.4)</w:t>
            </w:r>
          </w:p>
        </w:tc>
      </w:tr>
      <w:tr w:rsidR="00492F59" w:rsidRPr="004F5C12" w14:paraId="04B4AF6D" w14:textId="77777777" w:rsidTr="00224E1A">
        <w:trPr>
          <w:trHeight w:val="773"/>
        </w:trPr>
        <w:tc>
          <w:tcPr>
            <w:cnfStyle w:val="001000000000" w:firstRow="0" w:lastRow="0" w:firstColumn="1" w:lastColumn="0" w:oddVBand="0" w:evenVBand="0" w:oddHBand="0" w:evenHBand="0" w:firstRowFirstColumn="0" w:firstRowLastColumn="0" w:lastRowFirstColumn="0" w:lastRowLastColumn="0"/>
            <w:tcW w:w="9720" w:type="dxa"/>
            <w:gridSpan w:val="8"/>
            <w:tcBorders>
              <w:top w:val="single" w:sz="4" w:space="0" w:color="auto"/>
              <w:bottom w:val="nil"/>
            </w:tcBorders>
            <w:vAlign w:val="center"/>
          </w:tcPr>
          <w:p w14:paraId="24240D3B" w14:textId="77777777" w:rsidR="00492F59" w:rsidRDefault="00492F59" w:rsidP="00224E1A">
            <w:pPr>
              <w:rPr>
                <w:rFonts w:ascii="Arial" w:eastAsia="Arial" w:hAnsi="Arial" w:cs="Arial"/>
                <w:bCs w:val="0"/>
                <w:sz w:val="16"/>
                <w:szCs w:val="16"/>
              </w:rPr>
            </w:pPr>
            <w:r w:rsidRPr="00687C15">
              <w:rPr>
                <w:rFonts w:ascii="Arial" w:eastAsia="Arial" w:hAnsi="Arial" w:cs="Arial"/>
                <w:b w:val="0"/>
                <w:sz w:val="16"/>
                <w:szCs w:val="16"/>
              </w:rPr>
              <w:t>*</w:t>
            </w:r>
            <w:r>
              <w:rPr>
                <w:rFonts w:ascii="Arial" w:eastAsia="Arial" w:hAnsi="Arial" w:cs="Arial"/>
                <w:b w:val="0"/>
                <w:sz w:val="16"/>
                <w:szCs w:val="16"/>
              </w:rPr>
              <w:t>Pools of 8 specimens were tested in our clinical laboratory from</w:t>
            </w:r>
            <w:r w:rsidRPr="00687C15">
              <w:rPr>
                <w:rFonts w:ascii="Arial" w:eastAsia="Arial" w:hAnsi="Arial" w:cs="Arial"/>
                <w:b w:val="0"/>
                <w:sz w:val="16"/>
                <w:szCs w:val="16"/>
              </w:rPr>
              <w:t xml:space="preserve"> 6/10/2020-6/19/2020.</w:t>
            </w:r>
          </w:p>
          <w:p w14:paraId="161C4C28" w14:textId="77777777" w:rsidR="00492F59" w:rsidRPr="00D162C1" w:rsidRDefault="00492F59" w:rsidP="00224E1A">
            <w:pPr>
              <w:rPr>
                <w:rFonts w:ascii="Arial" w:eastAsia="Arial" w:hAnsi="Arial" w:cs="Arial"/>
                <w:bCs w:val="0"/>
                <w:sz w:val="16"/>
                <w:szCs w:val="16"/>
                <w:vertAlign w:val="superscript"/>
              </w:rPr>
            </w:pPr>
            <w:r w:rsidRPr="00C55F63">
              <w:rPr>
                <w:rFonts w:ascii="Arial" w:eastAsia="Arial" w:hAnsi="Arial" w:cs="Arial"/>
                <w:b w:val="0"/>
                <w:sz w:val="16"/>
                <w:szCs w:val="16"/>
                <w:vertAlign w:val="superscript"/>
              </w:rPr>
              <w:t>†</w:t>
            </w:r>
            <w:r>
              <w:rPr>
                <w:rFonts w:ascii="Arial" w:eastAsia="Arial" w:hAnsi="Arial" w:cs="Arial"/>
                <w:b w:val="0"/>
                <w:sz w:val="16"/>
                <w:szCs w:val="16"/>
              </w:rPr>
              <w:t>Pools of 4 specimens were tested in our clinical laboratory from 7/6/2020-7/23/2020.</w:t>
            </w:r>
          </w:p>
          <w:p w14:paraId="56A24517" w14:textId="77777777" w:rsidR="00492F59" w:rsidRPr="00242C55" w:rsidRDefault="00492F59" w:rsidP="00224E1A">
            <w:pPr>
              <w:rPr>
                <w:rFonts w:ascii="Arial" w:eastAsia="Arial" w:hAnsi="Arial" w:cs="Arial"/>
                <w:b w:val="0"/>
                <w:sz w:val="16"/>
                <w:szCs w:val="16"/>
              </w:rPr>
            </w:pPr>
            <w:r w:rsidRPr="00723E55">
              <w:rPr>
                <w:rFonts w:ascii="Arial" w:eastAsia="Arial" w:hAnsi="Arial" w:cs="Arial"/>
                <w:b w:val="0"/>
                <w:sz w:val="16"/>
                <w:szCs w:val="16"/>
                <w:vertAlign w:val="superscript"/>
              </w:rPr>
              <w:t>‡</w:t>
            </w:r>
            <w:r>
              <w:rPr>
                <w:rFonts w:ascii="Arial" w:eastAsia="Arial" w:hAnsi="Arial" w:cs="Arial"/>
                <w:b w:val="0"/>
                <w:sz w:val="16"/>
                <w:szCs w:val="16"/>
              </w:rPr>
              <w:t>Hologic data set is comprised of specimens tested clinically by Panther Fusion from 3/1/2020-7/31/2020 at two different external sites. These data were used to perform in silico sensitivity analysis to evaluate pool sizes of 3 and 5.</w:t>
            </w:r>
          </w:p>
          <w:p w14:paraId="2A4163CA" w14:textId="77777777" w:rsidR="00492F59" w:rsidRPr="00687C15" w:rsidRDefault="00492F59" w:rsidP="00224E1A">
            <w:pPr>
              <w:rPr>
                <w:rFonts w:ascii="Arial" w:eastAsia="Arial" w:hAnsi="Arial" w:cs="Arial"/>
                <w:b w:val="0"/>
                <w:sz w:val="16"/>
                <w:szCs w:val="16"/>
              </w:rPr>
            </w:pPr>
            <w:r w:rsidRPr="004550AC">
              <w:rPr>
                <w:rFonts w:ascii="Arial" w:eastAsia="Arial" w:hAnsi="Arial" w:cs="Arial"/>
                <w:b w:val="0"/>
                <w:sz w:val="16"/>
                <w:szCs w:val="16"/>
                <w:vertAlign w:val="superscript"/>
              </w:rPr>
              <w:t>§</w:t>
            </w:r>
            <w:r w:rsidRPr="00687C15">
              <w:rPr>
                <w:rFonts w:ascii="Arial" w:eastAsia="Arial" w:hAnsi="Arial" w:cs="Arial"/>
                <w:b w:val="0"/>
                <w:sz w:val="16"/>
                <w:szCs w:val="16"/>
              </w:rPr>
              <w:t>Lab</w:t>
            </w:r>
            <w:r>
              <w:rPr>
                <w:rFonts w:ascii="Arial" w:eastAsia="Arial" w:hAnsi="Arial" w:cs="Arial"/>
                <w:b w:val="0"/>
                <w:sz w:val="16"/>
                <w:szCs w:val="16"/>
              </w:rPr>
              <w:t>oratory</w:t>
            </w:r>
            <w:r w:rsidRPr="00687C15">
              <w:rPr>
                <w:rFonts w:ascii="Arial" w:eastAsia="Arial" w:hAnsi="Arial" w:cs="Arial"/>
                <w:b w:val="0"/>
                <w:sz w:val="16"/>
                <w:szCs w:val="16"/>
              </w:rPr>
              <w:t>-wide samples data set is comprised of clinical specimens from 3/1/2020-6/24/2020.</w:t>
            </w:r>
          </w:p>
          <w:p w14:paraId="299E0D75" w14:textId="77777777" w:rsidR="00492F59" w:rsidRPr="00687C15" w:rsidRDefault="00492F59" w:rsidP="00224E1A">
            <w:pPr>
              <w:rPr>
                <w:rFonts w:ascii="Arial" w:eastAsia="Arial" w:hAnsi="Arial" w:cs="Arial"/>
                <w:b w:val="0"/>
                <w:sz w:val="16"/>
                <w:szCs w:val="16"/>
              </w:rPr>
            </w:pPr>
            <w:r w:rsidRPr="00687C15">
              <w:rPr>
                <w:rFonts w:ascii="Arial" w:eastAsia="Arial" w:hAnsi="Arial" w:cs="Arial"/>
                <w:b w:val="0"/>
                <w:sz w:val="16"/>
                <w:szCs w:val="16"/>
              </w:rPr>
              <w:t>No., number; C</w:t>
            </w:r>
            <w:r w:rsidRPr="00687C15">
              <w:rPr>
                <w:rFonts w:ascii="Arial" w:eastAsia="Arial" w:hAnsi="Arial" w:cs="Arial"/>
                <w:b w:val="0"/>
                <w:sz w:val="16"/>
                <w:szCs w:val="16"/>
                <w:vertAlign w:val="subscript"/>
              </w:rPr>
              <w:t>t</w:t>
            </w:r>
            <w:r w:rsidRPr="00687C15">
              <w:rPr>
                <w:rFonts w:ascii="Arial" w:eastAsia="Arial" w:hAnsi="Arial" w:cs="Arial"/>
                <w:b w:val="0"/>
                <w:sz w:val="16"/>
                <w:szCs w:val="16"/>
              </w:rPr>
              <w:t>, cycle threshold; IQR, interquartile range.</w:t>
            </w:r>
          </w:p>
          <w:p w14:paraId="2F770983" w14:textId="77777777" w:rsidR="00492F59" w:rsidRPr="004F5C12" w:rsidRDefault="00492F59" w:rsidP="00224E1A">
            <w:pPr>
              <w:rPr>
                <w:rFonts w:ascii="Arial" w:eastAsia="Arial" w:hAnsi="Arial" w:cs="Arial"/>
                <w:bCs w:val="0"/>
                <w:sz w:val="16"/>
                <w:szCs w:val="16"/>
              </w:rPr>
            </w:pPr>
          </w:p>
        </w:tc>
      </w:tr>
    </w:tbl>
    <w:p w14:paraId="49B878CD" w14:textId="77777777" w:rsidR="00492F59" w:rsidRDefault="00492F59">
      <w:pPr>
        <w:rPr>
          <w:rFonts w:eastAsia="Arial"/>
          <w:b/>
          <w:bCs/>
        </w:rPr>
      </w:pPr>
      <w:r>
        <w:rPr>
          <w:rFonts w:eastAsia="Arial"/>
          <w:b/>
          <w:bCs/>
        </w:rPr>
        <w:br w:type="page"/>
      </w:r>
    </w:p>
    <w:p w14:paraId="11C3E8E4" w14:textId="5D830C65" w:rsidR="0025422A" w:rsidRPr="00687C15" w:rsidRDefault="00F00EC8" w:rsidP="00814D6B">
      <w:pPr>
        <w:spacing w:line="480" w:lineRule="auto"/>
        <w:rPr>
          <w:rFonts w:eastAsia="Arial"/>
        </w:rPr>
      </w:pPr>
      <w:r w:rsidRPr="00B1770D">
        <w:rPr>
          <w:rFonts w:eastAsia="Arial"/>
          <w:b/>
          <w:bCs/>
        </w:rPr>
        <w:lastRenderedPageBreak/>
        <w:t xml:space="preserve">Table </w:t>
      </w:r>
      <w:r w:rsidR="00492F59">
        <w:rPr>
          <w:rFonts w:eastAsia="Arial"/>
          <w:b/>
          <w:bCs/>
        </w:rPr>
        <w:t>3</w:t>
      </w:r>
      <w:r w:rsidRPr="00B1770D">
        <w:rPr>
          <w:rFonts w:eastAsia="Arial"/>
          <w:b/>
          <w:bCs/>
        </w:rPr>
        <w:t>.</w:t>
      </w:r>
      <w:r w:rsidRPr="006F1059">
        <w:rPr>
          <w:rFonts w:eastAsia="Arial"/>
        </w:rPr>
        <w:t xml:space="preserve"> </w:t>
      </w:r>
      <w:r w:rsidR="004D6AC1">
        <w:rPr>
          <w:rFonts w:eastAsia="Arial"/>
        </w:rPr>
        <w:t>Results of 8-sample pooled testing, by testing platform and number of positive specimens per pool (n=110)</w:t>
      </w:r>
    </w:p>
    <w:tbl>
      <w:tblPr>
        <w:tblStyle w:val="PlainTable21"/>
        <w:tblW w:w="0" w:type="auto"/>
        <w:tblInd w:w="-72" w:type="dxa"/>
        <w:tblBorders>
          <w:top w:val="none" w:sz="0" w:space="0" w:color="auto"/>
          <w:bottom w:val="none" w:sz="0" w:space="0" w:color="auto"/>
          <w:insideH w:val="single" w:sz="4" w:space="0" w:color="auto"/>
        </w:tblBorders>
        <w:tblLayout w:type="fixed"/>
        <w:tblLook w:val="06A0" w:firstRow="1" w:lastRow="0" w:firstColumn="1" w:lastColumn="0" w:noHBand="1" w:noVBand="1"/>
      </w:tblPr>
      <w:tblGrid>
        <w:gridCol w:w="1620"/>
        <w:gridCol w:w="534"/>
        <w:gridCol w:w="1306"/>
        <w:gridCol w:w="1130"/>
        <w:gridCol w:w="1080"/>
        <w:gridCol w:w="2070"/>
        <w:gridCol w:w="990"/>
        <w:gridCol w:w="1494"/>
      </w:tblGrid>
      <w:tr w:rsidR="0004286A" w:rsidRPr="008159B3" w14:paraId="3B8A8045" w14:textId="2FE65E68" w:rsidTr="00037F1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06B49E1" w14:textId="77777777" w:rsidR="0004286A" w:rsidRPr="008159B3" w:rsidRDefault="0004286A" w:rsidP="00BE722A">
            <w:pPr>
              <w:jc w:val="center"/>
              <w:rPr>
                <w:rFonts w:ascii="Arial" w:eastAsia="Arial" w:hAnsi="Arial" w:cs="Arial"/>
                <w:b w:val="0"/>
                <w:sz w:val="16"/>
                <w:szCs w:val="16"/>
              </w:rPr>
            </w:pPr>
          </w:p>
        </w:tc>
        <w:tc>
          <w:tcPr>
            <w:tcW w:w="4050" w:type="dxa"/>
            <w:gridSpan w:val="4"/>
            <w:tcBorders>
              <w:top w:val="single" w:sz="4" w:space="0" w:color="auto"/>
              <w:bottom w:val="single" w:sz="4" w:space="0" w:color="auto"/>
            </w:tcBorders>
            <w:vAlign w:val="center"/>
          </w:tcPr>
          <w:p w14:paraId="3381AE52" w14:textId="0FB79211"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sz w:val="16"/>
                <w:szCs w:val="16"/>
              </w:rPr>
              <w:t>Pooled Testing</w:t>
            </w:r>
          </w:p>
        </w:tc>
        <w:tc>
          <w:tcPr>
            <w:tcW w:w="3060" w:type="dxa"/>
            <w:gridSpan w:val="2"/>
            <w:tcBorders>
              <w:top w:val="single" w:sz="4" w:space="0" w:color="auto"/>
              <w:bottom w:val="single" w:sz="4" w:space="0" w:color="auto"/>
            </w:tcBorders>
            <w:vAlign w:val="center"/>
          </w:tcPr>
          <w:p w14:paraId="6B15D675" w14:textId="188C0F2B"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bCs w:val="0"/>
                <w:sz w:val="16"/>
                <w:szCs w:val="16"/>
              </w:rPr>
              <w:t>Individual Testing</w:t>
            </w:r>
          </w:p>
        </w:tc>
        <w:tc>
          <w:tcPr>
            <w:tcW w:w="1494" w:type="dxa"/>
            <w:tcBorders>
              <w:top w:val="single" w:sz="4" w:space="0" w:color="auto"/>
              <w:bottom w:val="single" w:sz="4" w:space="0" w:color="auto"/>
            </w:tcBorders>
            <w:vAlign w:val="center"/>
          </w:tcPr>
          <w:p w14:paraId="33C098FE" w14:textId="13B998F3" w:rsidR="0004286A" w:rsidRPr="00492F59" w:rsidRDefault="0004286A" w:rsidP="0004286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492F59">
              <w:rPr>
                <w:rFonts w:ascii="Arial" w:eastAsia="Arial" w:hAnsi="Arial" w:cs="Arial"/>
                <w:b w:val="0"/>
                <w:sz w:val="16"/>
                <w:szCs w:val="16"/>
              </w:rPr>
              <w:t>Total no. pools</w:t>
            </w:r>
          </w:p>
        </w:tc>
      </w:tr>
      <w:tr w:rsidR="00037F13" w:rsidRPr="008159B3" w14:paraId="692F51B4" w14:textId="7EBA209C" w:rsidTr="00037F13">
        <w:trPr>
          <w:trHeight w:val="440"/>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0DDE9AA" w14:textId="77777777" w:rsidR="0004286A" w:rsidRPr="008159B3" w:rsidRDefault="0004286A" w:rsidP="00BE722A">
            <w:pPr>
              <w:jc w:val="center"/>
              <w:rPr>
                <w:rFonts w:ascii="Arial" w:eastAsia="Arial" w:hAnsi="Arial" w:cs="Arial"/>
                <w:b w:val="0"/>
                <w:sz w:val="16"/>
                <w:szCs w:val="16"/>
              </w:rPr>
            </w:pPr>
          </w:p>
        </w:tc>
        <w:tc>
          <w:tcPr>
            <w:tcW w:w="534" w:type="dxa"/>
            <w:tcBorders>
              <w:top w:val="single" w:sz="4" w:space="0" w:color="auto"/>
              <w:bottom w:val="single" w:sz="4" w:space="0" w:color="auto"/>
            </w:tcBorders>
            <w:vAlign w:val="center"/>
          </w:tcPr>
          <w:p w14:paraId="4350107E" w14:textId="7EFDFCF3" w:rsidR="0004286A" w:rsidRPr="00037F1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LDT</w:t>
            </w:r>
          </w:p>
        </w:tc>
        <w:tc>
          <w:tcPr>
            <w:tcW w:w="1306" w:type="dxa"/>
            <w:tcBorders>
              <w:top w:val="single" w:sz="4" w:space="0" w:color="auto"/>
              <w:bottom w:val="single" w:sz="4" w:space="0" w:color="auto"/>
            </w:tcBorders>
            <w:vAlign w:val="center"/>
          </w:tcPr>
          <w:p w14:paraId="6E3DE981" w14:textId="1B67D45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Fusion</w:t>
            </w:r>
          </w:p>
        </w:tc>
        <w:tc>
          <w:tcPr>
            <w:tcW w:w="1130" w:type="dxa"/>
            <w:tcBorders>
              <w:top w:val="single" w:sz="4" w:space="0" w:color="auto"/>
              <w:bottom w:val="single" w:sz="4" w:space="0" w:color="auto"/>
            </w:tcBorders>
            <w:vAlign w:val="center"/>
          </w:tcPr>
          <w:p w14:paraId="5B2E8AF1" w14:textId="001E63C1"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3A881A91" w14:textId="70CB2CD7"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Aptima-350</w:t>
            </w:r>
          </w:p>
        </w:tc>
        <w:tc>
          <w:tcPr>
            <w:tcW w:w="2070" w:type="dxa"/>
            <w:tcBorders>
              <w:top w:val="single" w:sz="4" w:space="0" w:color="auto"/>
              <w:bottom w:val="single" w:sz="4" w:space="0" w:color="auto"/>
            </w:tcBorders>
            <w:vAlign w:val="center"/>
          </w:tcPr>
          <w:p w14:paraId="0FA34745" w14:textId="77777777" w:rsidR="0004286A"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 xml:space="preserve">Positive </w:t>
            </w:r>
          </w:p>
          <w:p w14:paraId="393C5BEB" w14:textId="4B016598"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37024D4B" w14:textId="6A22199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458206CB" w14:textId="163CDD22" w:rsidR="0004286A" w:rsidRPr="008159B3" w:rsidRDefault="0004286A"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037F13" w:rsidRPr="008159B3" w14:paraId="42760238" w14:textId="284B78FB" w:rsidTr="00037F13">
        <w:trPr>
          <w:trHeight w:val="242"/>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nil"/>
            </w:tcBorders>
          </w:tcPr>
          <w:p w14:paraId="76D02737" w14:textId="77777777" w:rsidR="00A90F56" w:rsidRPr="008159B3" w:rsidRDefault="00A90F56" w:rsidP="00BE722A">
            <w:pPr>
              <w:jc w:val="center"/>
              <w:rPr>
                <w:rFonts w:ascii="Arial" w:eastAsia="Arial" w:hAnsi="Arial" w:cs="Arial"/>
                <w:b w:val="0"/>
                <w:sz w:val="16"/>
                <w:szCs w:val="16"/>
              </w:rPr>
            </w:pPr>
          </w:p>
        </w:tc>
        <w:tc>
          <w:tcPr>
            <w:tcW w:w="534" w:type="dxa"/>
            <w:tcBorders>
              <w:top w:val="single" w:sz="4" w:space="0" w:color="auto"/>
              <w:bottom w:val="nil"/>
            </w:tcBorders>
            <w:vAlign w:val="center"/>
          </w:tcPr>
          <w:p w14:paraId="120B4CD9" w14:textId="0C5A1479"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single" w:sz="4" w:space="0" w:color="auto"/>
              <w:bottom w:val="nil"/>
            </w:tcBorders>
            <w:vAlign w:val="center"/>
          </w:tcPr>
          <w:p w14:paraId="5C3E393C" w14:textId="0CC4E1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single" w:sz="4" w:space="0" w:color="auto"/>
              <w:bottom w:val="nil"/>
            </w:tcBorders>
            <w:vAlign w:val="center"/>
          </w:tcPr>
          <w:p w14:paraId="2BD06DEC" w14:textId="13E3722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single" w:sz="4" w:space="0" w:color="auto"/>
              <w:bottom w:val="nil"/>
            </w:tcBorders>
            <w:vAlign w:val="center"/>
          </w:tcPr>
          <w:p w14:paraId="575E452C" w14:textId="24262C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2070" w:type="dxa"/>
            <w:tcBorders>
              <w:top w:val="single" w:sz="4" w:space="0" w:color="auto"/>
              <w:bottom w:val="nil"/>
            </w:tcBorders>
            <w:vAlign w:val="center"/>
          </w:tcPr>
          <w:p w14:paraId="30692067" w14:textId="6AFC6EB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30 (21, 9)</w:t>
            </w:r>
          </w:p>
        </w:tc>
        <w:tc>
          <w:tcPr>
            <w:tcW w:w="990" w:type="dxa"/>
            <w:tcBorders>
              <w:top w:val="single" w:sz="4" w:space="0" w:color="auto"/>
              <w:bottom w:val="nil"/>
            </w:tcBorders>
            <w:vAlign w:val="center"/>
          </w:tcPr>
          <w:p w14:paraId="5690A092" w14:textId="45269F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single" w:sz="4" w:space="0" w:color="auto"/>
              <w:bottom w:val="nil"/>
            </w:tcBorders>
            <w:vAlign w:val="center"/>
          </w:tcPr>
          <w:p w14:paraId="726D09DA" w14:textId="1531C87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r>
      <w:tr w:rsidR="00037F13" w:rsidRPr="008159B3" w14:paraId="7378220C" w14:textId="5C1FD3C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296C940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6B705E4C" w14:textId="2A7D7134"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50DE7E32" w14:textId="319DB6DD"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029C3649"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3DDB3422" w14:textId="7BBB1BD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4E133252" w14:textId="3726386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(1, 1)</w:t>
            </w:r>
          </w:p>
        </w:tc>
        <w:tc>
          <w:tcPr>
            <w:tcW w:w="990" w:type="dxa"/>
            <w:tcBorders>
              <w:top w:val="nil"/>
              <w:bottom w:val="nil"/>
            </w:tcBorders>
            <w:vAlign w:val="center"/>
          </w:tcPr>
          <w:p w14:paraId="517E405D" w14:textId="7339401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C0C3C34" w14:textId="1FFE9F26"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06331E52" w14:textId="0C6E789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7FC5AF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8B13255" w14:textId="4578D7D2"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10E48F58" w14:textId="65D64EE4"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2B5BD9BE"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7DBD1F64"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179544D3" w14:textId="404148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547E23E0" w14:textId="393D887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5155A08" w14:textId="278A351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30A16076" w14:textId="1F2B8D38"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09A67F3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1915DFF3" w14:textId="373BBBF5"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773D3967"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2D0133E" w14:textId="295AB08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nil"/>
              <w:bottom w:val="nil"/>
            </w:tcBorders>
            <w:vAlign w:val="center"/>
          </w:tcPr>
          <w:p w14:paraId="037ED784" w14:textId="41F8068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504FC8D" w14:textId="3BA57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B596C6C" w14:textId="7B4EB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64D56C8B" w14:textId="0D3DFEBD"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4C8CC0DE" w14:textId="6AB1EA1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DE61657"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163E461" w14:textId="536C542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703D1475" w14:textId="24A95B4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46C7AF" w14:textId="0A974BF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06781A2" w14:textId="468F401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0113896" w14:textId="1B75EF3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FB48CDC" w14:textId="32B5A50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66F174D" w14:textId="298FA9C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76E22059" w14:textId="2EDDCAB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0ABDB16"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221F5CB4" w14:textId="7EF3F93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28341DE3" w14:textId="6097A3E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6B65A7" w14:textId="03E4941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D27AFDB" w14:textId="77E2786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7FB64BA9" w14:textId="4B60519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0F818543" w14:textId="08B9D5A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Pr>
                <w:rFonts w:ascii="Arial" w:eastAsia="Arial" w:hAnsi="Arial" w:cs="Arial"/>
                <w:sz w:val="16"/>
                <w:szCs w:val="16"/>
              </w:rPr>
              <w:t>*</w:t>
            </w:r>
          </w:p>
        </w:tc>
        <w:tc>
          <w:tcPr>
            <w:tcW w:w="1494" w:type="dxa"/>
            <w:tcBorders>
              <w:top w:val="nil"/>
              <w:bottom w:val="nil"/>
            </w:tcBorders>
            <w:vAlign w:val="center"/>
          </w:tcPr>
          <w:p w14:paraId="0DB70EAD" w14:textId="51AB0F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53721CEB" w14:textId="42BAB2C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789E30D" w14:textId="77777777" w:rsidR="00A90F56" w:rsidRPr="008159B3" w:rsidRDefault="00A90F56" w:rsidP="00BE722A">
            <w:pPr>
              <w:jc w:val="center"/>
              <w:rPr>
                <w:rFonts w:ascii="Arial" w:eastAsia="Arial" w:hAnsi="Arial" w:cs="Arial"/>
                <w:b w:val="0"/>
                <w:bCs w:val="0"/>
                <w:sz w:val="16"/>
                <w:szCs w:val="16"/>
              </w:rPr>
            </w:pPr>
          </w:p>
        </w:tc>
        <w:tc>
          <w:tcPr>
            <w:tcW w:w="534" w:type="dxa"/>
            <w:tcBorders>
              <w:top w:val="nil"/>
              <w:bottom w:val="nil"/>
            </w:tcBorders>
            <w:vAlign w:val="center"/>
          </w:tcPr>
          <w:p w14:paraId="312C93F8" w14:textId="0C00D8C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w:t>
            </w:r>
          </w:p>
        </w:tc>
        <w:tc>
          <w:tcPr>
            <w:tcW w:w="1306" w:type="dxa"/>
            <w:tcBorders>
              <w:top w:val="nil"/>
              <w:bottom w:val="nil"/>
            </w:tcBorders>
            <w:vAlign w:val="center"/>
          </w:tcPr>
          <w:p w14:paraId="163564CB" w14:textId="2DE438A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Pos</w:t>
            </w:r>
          </w:p>
        </w:tc>
        <w:tc>
          <w:tcPr>
            <w:tcW w:w="1130" w:type="dxa"/>
            <w:tcBorders>
              <w:top w:val="nil"/>
              <w:bottom w:val="nil"/>
            </w:tcBorders>
            <w:vAlign w:val="center"/>
          </w:tcPr>
          <w:p w14:paraId="19686F1A" w14:textId="10EC772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Pos</w:t>
            </w:r>
          </w:p>
        </w:tc>
        <w:tc>
          <w:tcPr>
            <w:tcW w:w="1080" w:type="dxa"/>
            <w:tcBorders>
              <w:top w:val="nil"/>
              <w:bottom w:val="nil"/>
            </w:tcBorders>
            <w:vAlign w:val="center"/>
          </w:tcPr>
          <w:p w14:paraId="567B0A7E" w14:textId="69C4BD5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5DD1C88F" w14:textId="6139576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540809F0" w14:textId="1B64D0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F6A45E8" w14:textId="37B9A1D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710EF49" w14:textId="7B088A2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462F6FB"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48766825" w14:textId="1FD8348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1862771" w14:textId="4E30AE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12A3BEEB"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EDFFEF0" w14:textId="08FB8DB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64CEDBD8" w14:textId="194CFAD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6ED4DC36" w14:textId="2FC3CDD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11A9E9B2" w14:textId="3A96F003"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39978DF3" w14:textId="3E770331"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2F414A8"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7639AAD" w14:textId="23A9C4EA"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331A090" w14:textId="4854AA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21E97341"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3F74E46"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585E79DD" w14:textId="5DCED00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3B760481" w14:textId="5C464DF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76C24B1C" w14:textId="55B269CB"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4CC3644F" w14:textId="16C868F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DC5B91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6BC891F" w14:textId="28C94E18"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9E52F80" w14:textId="7786B96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385BEEAF" w14:textId="57822B2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nil"/>
              <w:bottom w:val="nil"/>
            </w:tcBorders>
            <w:vAlign w:val="center"/>
          </w:tcPr>
          <w:p w14:paraId="39E0775B" w14:textId="779E655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54600373" w14:textId="271FD13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027139CF" w14:textId="0702AA8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2170501C" w14:textId="2A9422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D4F5DA4" w14:textId="6CBDFD5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C3862AD"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2A4398E" w14:textId="355BC243"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6140C171" w14:textId="27535AD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C4A097C" w14:textId="2A7907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0F5A9013" w14:textId="396458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8BDA95F" w14:textId="6F038C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3F17561D" w14:textId="1029146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4FADC5A8" w14:textId="66F5472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2DE89B9E" w14:textId="5884950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single" w:sz="4" w:space="0" w:color="auto"/>
            </w:tcBorders>
          </w:tcPr>
          <w:p w14:paraId="1E71466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single" w:sz="4" w:space="0" w:color="auto"/>
            </w:tcBorders>
            <w:vAlign w:val="center"/>
          </w:tcPr>
          <w:p w14:paraId="620CE88A" w14:textId="3A2E54A0"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single" w:sz="4" w:space="0" w:color="auto"/>
            </w:tcBorders>
            <w:vAlign w:val="center"/>
          </w:tcPr>
          <w:p w14:paraId="2441E93A" w14:textId="4A255CA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single" w:sz="4" w:space="0" w:color="auto"/>
            </w:tcBorders>
            <w:vAlign w:val="center"/>
          </w:tcPr>
          <w:p w14:paraId="0F9D098D" w14:textId="6B3C75B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single" w:sz="4" w:space="0" w:color="auto"/>
            </w:tcBorders>
            <w:vAlign w:val="center"/>
          </w:tcPr>
          <w:p w14:paraId="16841189" w14:textId="21AA3F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single" w:sz="4" w:space="0" w:color="auto"/>
            </w:tcBorders>
            <w:vAlign w:val="center"/>
          </w:tcPr>
          <w:p w14:paraId="4217CB56" w14:textId="405C14C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r w:rsidRPr="008159B3">
              <w:rPr>
                <w:rFonts w:ascii="Arial" w:eastAsia="Arial" w:hAnsi="Arial" w:cs="Arial"/>
                <w:sz w:val="16"/>
                <w:szCs w:val="16"/>
              </w:rPr>
              <w:t xml:space="preserve"> (</w:t>
            </w:r>
            <w:r>
              <w:rPr>
                <w:rFonts w:ascii="Arial" w:eastAsia="Arial" w:hAnsi="Arial" w:cs="Arial"/>
                <w:sz w:val="16"/>
                <w:szCs w:val="16"/>
              </w:rPr>
              <w:t>7</w:t>
            </w:r>
            <w:r w:rsidRPr="008159B3">
              <w:rPr>
                <w:rFonts w:ascii="Arial" w:eastAsia="Arial" w:hAnsi="Arial" w:cs="Arial"/>
                <w:sz w:val="16"/>
                <w:szCs w:val="16"/>
              </w:rPr>
              <w:t>, 0)</w:t>
            </w:r>
          </w:p>
        </w:tc>
        <w:tc>
          <w:tcPr>
            <w:tcW w:w="990" w:type="dxa"/>
            <w:tcBorders>
              <w:top w:val="nil"/>
              <w:bottom w:val="single" w:sz="4" w:space="0" w:color="auto"/>
            </w:tcBorders>
            <w:vAlign w:val="center"/>
          </w:tcPr>
          <w:p w14:paraId="25E06DFF" w14:textId="2796BF1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6</w:t>
            </w:r>
            <w:r>
              <w:rPr>
                <w:rFonts w:ascii="Arial" w:eastAsia="Arial" w:hAnsi="Arial" w:cs="Arial"/>
                <w:sz w:val="16"/>
                <w:szCs w:val="16"/>
              </w:rPr>
              <w:t>1</w:t>
            </w:r>
          </w:p>
        </w:tc>
        <w:tc>
          <w:tcPr>
            <w:tcW w:w="1494" w:type="dxa"/>
            <w:tcBorders>
              <w:top w:val="nil"/>
              <w:bottom w:val="single" w:sz="4" w:space="0" w:color="auto"/>
            </w:tcBorders>
            <w:vAlign w:val="center"/>
          </w:tcPr>
          <w:p w14:paraId="7155DC98" w14:textId="4465E1A1"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037F13" w:rsidRPr="008159B3" w14:paraId="5DFD3D94" w14:textId="05FCB61F" w:rsidTr="00037F13">
        <w:trPr>
          <w:trHeight w:val="278"/>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vAlign w:val="center"/>
          </w:tcPr>
          <w:p w14:paraId="12B02E65" w14:textId="03869285" w:rsidR="00A90F56" w:rsidRDefault="00A90F56" w:rsidP="00037F13">
            <w:pPr>
              <w:rPr>
                <w:rFonts w:ascii="Arial" w:eastAsia="Arial" w:hAnsi="Arial" w:cs="Arial"/>
                <w:b w:val="0"/>
                <w:sz w:val="16"/>
                <w:szCs w:val="16"/>
              </w:rPr>
            </w:pPr>
            <w:r>
              <w:rPr>
                <w:rFonts w:ascii="Arial" w:eastAsia="Arial" w:hAnsi="Arial" w:cs="Arial"/>
                <w:b w:val="0"/>
                <w:sz w:val="16"/>
                <w:szCs w:val="16"/>
              </w:rPr>
              <w:t>No. positive pools</w:t>
            </w:r>
          </w:p>
        </w:tc>
        <w:tc>
          <w:tcPr>
            <w:tcW w:w="534" w:type="dxa"/>
            <w:tcBorders>
              <w:top w:val="single" w:sz="4" w:space="0" w:color="auto"/>
            </w:tcBorders>
            <w:vAlign w:val="center"/>
          </w:tcPr>
          <w:p w14:paraId="1D89C915" w14:textId="03848468" w:rsidR="00A90F56" w:rsidRPr="00037F1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3</w:t>
            </w:r>
            <w:r w:rsidR="003C4FA2">
              <w:rPr>
                <w:rFonts w:ascii="Arial" w:eastAsia="Arial" w:hAnsi="Arial" w:cs="Arial"/>
                <w:sz w:val="16"/>
                <w:szCs w:val="16"/>
              </w:rPr>
              <w:t>4</w:t>
            </w:r>
          </w:p>
        </w:tc>
        <w:tc>
          <w:tcPr>
            <w:tcW w:w="1306" w:type="dxa"/>
            <w:tcBorders>
              <w:top w:val="single" w:sz="4" w:space="0" w:color="auto"/>
            </w:tcBorders>
            <w:vAlign w:val="center"/>
          </w:tcPr>
          <w:p w14:paraId="49F3E825" w14:textId="63EB56BE"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130" w:type="dxa"/>
            <w:tcBorders>
              <w:top w:val="single" w:sz="4" w:space="0" w:color="auto"/>
            </w:tcBorders>
            <w:vAlign w:val="center"/>
          </w:tcPr>
          <w:p w14:paraId="2D1DB227" w14:textId="6C081B28"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080" w:type="dxa"/>
            <w:tcBorders>
              <w:top w:val="single" w:sz="4" w:space="0" w:color="auto"/>
            </w:tcBorders>
            <w:vAlign w:val="center"/>
          </w:tcPr>
          <w:p w14:paraId="67484C6B" w14:textId="51CDD8EB"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39</w:t>
            </w:r>
          </w:p>
        </w:tc>
        <w:tc>
          <w:tcPr>
            <w:tcW w:w="2070" w:type="dxa"/>
            <w:tcBorders>
              <w:top w:val="single" w:sz="4" w:space="0" w:color="auto"/>
            </w:tcBorders>
            <w:vAlign w:val="center"/>
          </w:tcPr>
          <w:p w14:paraId="6FDA3B2F" w14:textId="0DFABAF2" w:rsidR="00A90F56"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 (36, 10)</w:t>
            </w:r>
          </w:p>
        </w:tc>
        <w:tc>
          <w:tcPr>
            <w:tcW w:w="990" w:type="dxa"/>
            <w:tcBorders>
              <w:top w:val="single" w:sz="4" w:space="0" w:color="auto"/>
            </w:tcBorders>
            <w:vAlign w:val="center"/>
          </w:tcPr>
          <w:p w14:paraId="221D6D77" w14:textId="50CF2129"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top w:val="single" w:sz="4" w:space="0" w:color="auto"/>
            </w:tcBorders>
            <w:vAlign w:val="center"/>
          </w:tcPr>
          <w:p w14:paraId="4AE38353" w14:textId="4693BF8E"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6F1A51D1" w14:textId="1531EC9C" w:rsidTr="00037F13">
        <w:trPr>
          <w:trHeight w:val="26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289F83E1" w14:textId="1BD4D367" w:rsidR="00A90F56" w:rsidRDefault="00A90F56" w:rsidP="00037F13">
            <w:pPr>
              <w:rPr>
                <w:rFonts w:ascii="Arial" w:eastAsia="Arial" w:hAnsi="Arial" w:cs="Arial"/>
                <w:b w:val="0"/>
                <w:sz w:val="16"/>
                <w:szCs w:val="16"/>
              </w:rPr>
            </w:pPr>
            <w:r>
              <w:rPr>
                <w:rFonts w:ascii="Arial" w:eastAsia="Arial" w:hAnsi="Arial" w:cs="Arial"/>
                <w:b w:val="0"/>
                <w:sz w:val="16"/>
                <w:szCs w:val="16"/>
              </w:rPr>
              <w:t>No. negative pools</w:t>
            </w:r>
          </w:p>
        </w:tc>
        <w:tc>
          <w:tcPr>
            <w:tcW w:w="534" w:type="dxa"/>
            <w:vAlign w:val="center"/>
          </w:tcPr>
          <w:p w14:paraId="15020C5B" w14:textId="05758244"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306" w:type="dxa"/>
            <w:vAlign w:val="center"/>
          </w:tcPr>
          <w:p w14:paraId="0AA0B77C" w14:textId="5FF8B023"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74</w:t>
            </w:r>
          </w:p>
        </w:tc>
        <w:tc>
          <w:tcPr>
            <w:tcW w:w="1130" w:type="dxa"/>
            <w:vAlign w:val="center"/>
          </w:tcPr>
          <w:p w14:paraId="52ABBAE8" w14:textId="75800C1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080" w:type="dxa"/>
            <w:vAlign w:val="center"/>
          </w:tcPr>
          <w:p w14:paraId="212E2C3A" w14:textId="4B76E15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71</w:t>
            </w:r>
          </w:p>
        </w:tc>
        <w:tc>
          <w:tcPr>
            <w:tcW w:w="2070" w:type="dxa"/>
            <w:vAlign w:val="center"/>
          </w:tcPr>
          <w:p w14:paraId="1872B5E7" w14:textId="12EEF90B"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vAlign w:val="center"/>
          </w:tcPr>
          <w:p w14:paraId="03B919AA" w14:textId="0F1ADABE"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64</w:t>
            </w:r>
          </w:p>
        </w:tc>
        <w:tc>
          <w:tcPr>
            <w:tcW w:w="1494" w:type="dxa"/>
            <w:vAlign w:val="center"/>
          </w:tcPr>
          <w:p w14:paraId="374ECDE7" w14:textId="5F66470E"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505E1B20" w14:textId="653DD75B" w:rsidTr="00037F13">
        <w:trPr>
          <w:trHeight w:val="251"/>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604FB6D" w14:textId="5FD16A0F" w:rsidR="00A90F56" w:rsidRDefault="00A90F56" w:rsidP="00037F13">
            <w:pPr>
              <w:rPr>
                <w:rFonts w:ascii="Arial" w:eastAsia="Arial" w:hAnsi="Arial" w:cs="Arial"/>
                <w:b w:val="0"/>
                <w:sz w:val="16"/>
                <w:szCs w:val="16"/>
              </w:rPr>
            </w:pPr>
            <w:r>
              <w:rPr>
                <w:rFonts w:ascii="Arial" w:eastAsia="Arial" w:hAnsi="Arial" w:cs="Arial"/>
                <w:b w:val="0"/>
                <w:sz w:val="16"/>
                <w:szCs w:val="16"/>
              </w:rPr>
              <w:t>Total no. pools</w:t>
            </w:r>
          </w:p>
        </w:tc>
        <w:tc>
          <w:tcPr>
            <w:tcW w:w="534" w:type="dxa"/>
            <w:tcBorders>
              <w:bottom w:val="single" w:sz="4" w:space="0" w:color="auto"/>
            </w:tcBorders>
            <w:vAlign w:val="center"/>
          </w:tcPr>
          <w:p w14:paraId="473B8380" w14:textId="389420D7"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306" w:type="dxa"/>
            <w:tcBorders>
              <w:bottom w:val="single" w:sz="4" w:space="0" w:color="auto"/>
            </w:tcBorders>
            <w:vAlign w:val="center"/>
          </w:tcPr>
          <w:p w14:paraId="5130A8B4" w14:textId="284C057D"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130" w:type="dxa"/>
            <w:tcBorders>
              <w:bottom w:val="single" w:sz="4" w:space="0" w:color="auto"/>
            </w:tcBorders>
            <w:vAlign w:val="center"/>
          </w:tcPr>
          <w:p w14:paraId="52C4EE1C" w14:textId="7BEFAC6A"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080" w:type="dxa"/>
            <w:tcBorders>
              <w:bottom w:val="single" w:sz="4" w:space="0" w:color="auto"/>
            </w:tcBorders>
            <w:vAlign w:val="center"/>
          </w:tcPr>
          <w:p w14:paraId="67EF9783" w14:textId="4F531F22"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110</w:t>
            </w:r>
          </w:p>
        </w:tc>
        <w:tc>
          <w:tcPr>
            <w:tcW w:w="2070" w:type="dxa"/>
            <w:tcBorders>
              <w:bottom w:val="single" w:sz="4" w:space="0" w:color="auto"/>
            </w:tcBorders>
            <w:vAlign w:val="center"/>
          </w:tcPr>
          <w:p w14:paraId="740B8ED9" w14:textId="78BB5FF3"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7A7407D9" w14:textId="62791037"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107B9FFE" w14:textId="7324A0E7"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r>
      <w:tr w:rsidR="00A90F56" w:rsidRPr="008159B3" w14:paraId="564A2B5B" w14:textId="71B59642" w:rsidTr="00037F13">
        <w:trPr>
          <w:trHeight w:val="1250"/>
        </w:trPr>
        <w:tc>
          <w:tcPr>
            <w:cnfStyle w:val="001000000000" w:firstRow="0" w:lastRow="0" w:firstColumn="1" w:lastColumn="0" w:oddVBand="0" w:evenVBand="0" w:oddHBand="0" w:evenHBand="0" w:firstRowFirstColumn="0" w:firstRowLastColumn="0" w:lastRowFirstColumn="0" w:lastRowLastColumn="0"/>
            <w:tcW w:w="10224" w:type="dxa"/>
            <w:gridSpan w:val="8"/>
            <w:tcBorders>
              <w:top w:val="nil"/>
              <w:bottom w:val="nil"/>
            </w:tcBorders>
            <w:vAlign w:val="bottom"/>
          </w:tcPr>
          <w:p w14:paraId="6A93335D" w14:textId="4971D3A5" w:rsidR="00A90F56" w:rsidRPr="00037F13" w:rsidRDefault="007C5705" w:rsidP="007C5705">
            <w:pPr>
              <w:rPr>
                <w:rFonts w:ascii="Arial" w:eastAsia="Arial" w:hAnsi="Arial" w:cs="Arial"/>
                <w:bCs w:val="0"/>
                <w:sz w:val="16"/>
                <w:szCs w:val="16"/>
              </w:rPr>
            </w:pPr>
            <w:r w:rsidRPr="00687C15">
              <w:rPr>
                <w:rFonts w:ascii="Arial" w:eastAsia="Arial" w:hAnsi="Arial" w:cs="Arial"/>
                <w:b w:val="0"/>
                <w:sz w:val="16"/>
                <w:szCs w:val="16"/>
              </w:rPr>
              <w:t>*</w:t>
            </w:r>
            <w:r w:rsidR="00A90F56" w:rsidRPr="00687C15">
              <w:rPr>
                <w:rFonts w:ascii="Arial" w:eastAsia="Arial" w:hAnsi="Arial" w:cs="Arial"/>
                <w:b w:val="0"/>
                <w:sz w:val="16"/>
                <w:szCs w:val="16"/>
              </w:rPr>
              <w:t>False positive</w:t>
            </w:r>
            <w:r w:rsidR="00A90F56" w:rsidRPr="00687C15">
              <w:rPr>
                <w:rFonts w:ascii="Arial" w:eastAsia="Arial" w:hAnsi="Arial" w:cs="Arial"/>
                <w:b w:val="0"/>
                <w:i/>
                <w:sz w:val="16"/>
                <w:szCs w:val="16"/>
              </w:rPr>
              <w:t xml:space="preserve"> </w:t>
            </w:r>
            <w:r w:rsidR="00A90F56" w:rsidRPr="00687C15">
              <w:rPr>
                <w:rFonts w:ascii="Arial" w:eastAsia="Arial" w:hAnsi="Arial" w:cs="Arial"/>
                <w:b w:val="0"/>
                <w:sz w:val="16"/>
                <w:szCs w:val="16"/>
              </w:rPr>
              <w:t>LDT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37.5.</w:t>
            </w:r>
          </w:p>
          <w:p w14:paraId="2C2676B0" w14:textId="7033364D"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Fusion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38.8.</w:t>
            </w:r>
          </w:p>
          <w:p w14:paraId="5AA41A19" w14:textId="4BE15616"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Aptima-350 RLU value was 434.</w:t>
            </w:r>
          </w:p>
          <w:p w14:paraId="5E524AA6" w14:textId="6C1CC48F" w:rsidR="00A90F56" w:rsidRPr="008159B3" w:rsidRDefault="00A90F56" w:rsidP="00037F13">
            <w:pPr>
              <w:rPr>
                <w:rFonts w:ascii="Arial" w:eastAsia="Arial" w:hAnsi="Arial" w:cs="Arial"/>
                <w:sz w:val="16"/>
                <w:szCs w:val="16"/>
              </w:rPr>
            </w:pPr>
            <w:r w:rsidRPr="00687C15">
              <w:rPr>
                <w:rFonts w:ascii="Arial" w:eastAsia="Arial" w:hAnsi="Arial" w:cs="Arial"/>
                <w:b w:val="0"/>
                <w:sz w:val="16"/>
                <w:szCs w:val="16"/>
              </w:rPr>
              <w:t xml:space="preserve">LDT, lab developed test; Panther Aptima-M, Panther Aptima with manufacturer-set relative light unit cutoff; Panther Aptima-350, Panther Aptima with relative light unit cutoff of &gt;350 considered positive; no., number; 1PP, 1 positive specimen in pool; &gt;1PP, 2 or more positive specimens in pool; Pos, positive; -, negative; </w:t>
            </w:r>
            <w:r w:rsidRPr="00687C15">
              <w:rPr>
                <w:rFonts w:ascii="Arial" w:eastAsia="Arial" w:hAnsi="Arial" w:cs="Arial"/>
                <w:b w:val="0"/>
                <w:bCs w:val="0"/>
                <w:sz w:val="16"/>
                <w:szCs w:val="16"/>
              </w:rPr>
              <w:t>C</w:t>
            </w:r>
            <w:r w:rsidRPr="00687C15">
              <w:rPr>
                <w:rFonts w:ascii="Arial" w:eastAsia="Arial" w:hAnsi="Arial" w:cs="Arial"/>
                <w:b w:val="0"/>
                <w:bCs w:val="0"/>
                <w:sz w:val="16"/>
                <w:szCs w:val="16"/>
                <w:vertAlign w:val="subscript"/>
              </w:rPr>
              <w:t>t</w:t>
            </w:r>
            <w:r w:rsidRPr="00687C15">
              <w:rPr>
                <w:rFonts w:ascii="Arial" w:eastAsia="Arial" w:hAnsi="Arial" w:cs="Arial"/>
                <w:b w:val="0"/>
                <w:bCs w:val="0"/>
                <w:sz w:val="16"/>
                <w:szCs w:val="16"/>
              </w:rPr>
              <w:t xml:space="preserve">, cycle threshold; </w:t>
            </w:r>
            <w:r w:rsidRPr="00687C15">
              <w:rPr>
                <w:rFonts w:ascii="Arial" w:eastAsia="Arial" w:hAnsi="Arial" w:cs="Arial"/>
                <w:b w:val="0"/>
                <w:sz w:val="16"/>
                <w:szCs w:val="16"/>
              </w:rPr>
              <w:t>RLU, relative light unit.</w:t>
            </w:r>
          </w:p>
        </w:tc>
      </w:tr>
    </w:tbl>
    <w:p w14:paraId="1A198754" w14:textId="77777777" w:rsidR="00B25D95" w:rsidRDefault="00B25D95">
      <w:pPr>
        <w:rPr>
          <w:rFonts w:ascii="Arial" w:eastAsia="Arial" w:hAnsi="Arial" w:cs="Arial"/>
          <w:sz w:val="16"/>
          <w:szCs w:val="16"/>
        </w:rPr>
      </w:pPr>
      <w:r>
        <w:rPr>
          <w:rFonts w:ascii="Arial" w:eastAsia="Arial" w:hAnsi="Arial" w:cs="Arial"/>
          <w:sz w:val="16"/>
          <w:szCs w:val="16"/>
        </w:rPr>
        <w:br w:type="page"/>
      </w:r>
    </w:p>
    <w:p w14:paraId="099505F6" w14:textId="19EB0BE4" w:rsidR="00A407AA" w:rsidRPr="00687C15" w:rsidRDefault="5885873D" w:rsidP="00814D6B">
      <w:pPr>
        <w:spacing w:line="480" w:lineRule="auto"/>
        <w:rPr>
          <w:rFonts w:eastAsia="Arial"/>
        </w:rPr>
      </w:pPr>
      <w:r w:rsidRPr="00B1770D">
        <w:rPr>
          <w:rFonts w:eastAsia="Arial"/>
          <w:b/>
          <w:bCs/>
        </w:rPr>
        <w:lastRenderedPageBreak/>
        <w:t xml:space="preserve">Table </w:t>
      </w:r>
      <w:r w:rsidR="00492F59">
        <w:rPr>
          <w:rFonts w:eastAsia="Arial"/>
          <w:b/>
          <w:bCs/>
        </w:rPr>
        <w:t>4</w:t>
      </w:r>
      <w:r w:rsidRPr="00B1770D">
        <w:rPr>
          <w:rFonts w:eastAsia="Arial"/>
          <w:b/>
          <w:bCs/>
        </w:rPr>
        <w:t>.</w:t>
      </w:r>
      <w:r w:rsidRPr="006F1059">
        <w:rPr>
          <w:rFonts w:eastAsia="Arial"/>
        </w:rPr>
        <w:t xml:space="preserve"> Performance characteristics and efficiency of </w:t>
      </w:r>
      <w:r w:rsidR="004D6AC1">
        <w:rPr>
          <w:rFonts w:eastAsia="Arial"/>
        </w:rPr>
        <w:t>8-sample and 4-sample pooled testing, by testing platform (n=302)</w:t>
      </w:r>
    </w:p>
    <w:tbl>
      <w:tblPr>
        <w:tblStyle w:val="PlainTable21"/>
        <w:tblW w:w="0" w:type="auto"/>
        <w:tblLook w:val="06A0" w:firstRow="1" w:lastRow="0" w:firstColumn="1" w:lastColumn="0" w:noHBand="1" w:noVBand="1"/>
      </w:tblPr>
      <w:tblGrid>
        <w:gridCol w:w="1782"/>
        <w:gridCol w:w="1019"/>
        <w:gridCol w:w="1981"/>
        <w:gridCol w:w="1935"/>
        <w:gridCol w:w="1577"/>
        <w:gridCol w:w="1642"/>
      </w:tblGrid>
      <w:tr w:rsidR="00037F13" w14:paraId="06BE0CDE" w14:textId="77777777" w:rsidTr="00037F1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03710E88" w14:textId="0B5B9F62" w:rsidR="007215FE" w:rsidRPr="00037F13" w:rsidRDefault="007215FE" w:rsidP="00AA2EE9">
            <w:pPr>
              <w:rPr>
                <w:rFonts w:ascii="Arial" w:eastAsia="Arial" w:hAnsi="Arial" w:cs="Arial"/>
                <w:b w:val="0"/>
                <w:sz w:val="16"/>
                <w:szCs w:val="16"/>
              </w:rPr>
            </w:pPr>
            <w:r w:rsidRPr="00037F13">
              <w:rPr>
                <w:rFonts w:ascii="Arial" w:eastAsia="Arial" w:hAnsi="Arial" w:cs="Arial"/>
                <w:b w:val="0"/>
                <w:sz w:val="16"/>
                <w:szCs w:val="16"/>
              </w:rPr>
              <w:t>Testing platform</w:t>
            </w:r>
          </w:p>
        </w:tc>
        <w:tc>
          <w:tcPr>
            <w:tcW w:w="969" w:type="dxa"/>
            <w:tcBorders>
              <w:top w:val="single" w:sz="4" w:space="0" w:color="auto"/>
            </w:tcBorders>
            <w:vAlign w:val="center"/>
          </w:tcPr>
          <w:p w14:paraId="2347196D" w14:textId="2B88912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037F13">
              <w:rPr>
                <w:rFonts w:ascii="Arial" w:eastAsia="Arial" w:hAnsi="Arial" w:cs="Arial"/>
                <w:b w:val="0"/>
                <w:bCs w:val="0"/>
                <w:sz w:val="16"/>
                <w:szCs w:val="16"/>
              </w:rPr>
              <w:t>Pool size</w:t>
            </w:r>
          </w:p>
        </w:tc>
        <w:tc>
          <w:tcPr>
            <w:tcW w:w="2117" w:type="dxa"/>
            <w:tcBorders>
              <w:top w:val="single" w:sz="4" w:space="0" w:color="auto"/>
            </w:tcBorders>
            <w:vAlign w:val="center"/>
          </w:tcPr>
          <w:p w14:paraId="79A72FE7" w14:textId="19A6FB41"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PPA (95% CI)</w:t>
            </w:r>
          </w:p>
        </w:tc>
        <w:tc>
          <w:tcPr>
            <w:tcW w:w="2049" w:type="dxa"/>
            <w:tcBorders>
              <w:top w:val="single" w:sz="4" w:space="0" w:color="auto"/>
            </w:tcBorders>
            <w:vAlign w:val="center"/>
          </w:tcPr>
          <w:p w14:paraId="048B3A3C" w14:textId="75411CD2"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NPA (95% CI)</w:t>
            </w:r>
          </w:p>
        </w:tc>
        <w:tc>
          <w:tcPr>
            <w:tcW w:w="1563" w:type="dxa"/>
            <w:tcBorders>
              <w:top w:val="single" w:sz="4" w:space="0" w:color="auto"/>
              <w:right w:val="nil"/>
            </w:tcBorders>
            <w:vAlign w:val="center"/>
          </w:tcPr>
          <w:p w14:paraId="6C45BB07" w14:textId="1C3E1DA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Percent of pools positive</w:t>
            </w:r>
          </w:p>
        </w:tc>
        <w:tc>
          <w:tcPr>
            <w:tcW w:w="1615" w:type="dxa"/>
            <w:tcBorders>
              <w:top w:val="single" w:sz="4" w:space="0" w:color="auto"/>
              <w:left w:val="nil"/>
              <w:right w:val="nil"/>
            </w:tcBorders>
            <w:vAlign w:val="center"/>
          </w:tcPr>
          <w:p w14:paraId="4A24F454" w14:textId="7C9B046E"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Average tests run per sample</w:t>
            </w:r>
          </w:p>
        </w:tc>
      </w:tr>
      <w:tr w:rsidR="00037F13" w14:paraId="2F9AE7D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2F14007" w14:textId="3738B17A"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7F86F35E" w14:textId="2D9CE126"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8</w:t>
            </w:r>
          </w:p>
        </w:tc>
        <w:tc>
          <w:tcPr>
            <w:tcW w:w="2117" w:type="dxa"/>
            <w:tcBorders>
              <w:top w:val="single" w:sz="4" w:space="0" w:color="auto"/>
            </w:tcBorders>
            <w:vAlign w:val="center"/>
          </w:tcPr>
          <w:p w14:paraId="5C3248EC" w14:textId="1747EAD1"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71.7% (56.5%-84.0</w:t>
            </w:r>
            <w:r w:rsidRPr="003C658F">
              <w:rPr>
                <w:rFonts w:ascii="Arial" w:eastAsia="Arial" w:hAnsi="Arial" w:cs="Arial"/>
                <w:sz w:val="16"/>
                <w:szCs w:val="16"/>
              </w:rPr>
              <w:t xml:space="preserve">%) </w:t>
            </w:r>
          </w:p>
        </w:tc>
        <w:tc>
          <w:tcPr>
            <w:tcW w:w="2049" w:type="dxa"/>
            <w:tcBorders>
              <w:top w:val="single" w:sz="4" w:space="0" w:color="auto"/>
            </w:tcBorders>
            <w:vAlign w:val="center"/>
          </w:tcPr>
          <w:p w14:paraId="102473A8" w14:textId="53956F76"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single" w:sz="4" w:space="0" w:color="auto"/>
              <w:right w:val="nil"/>
            </w:tcBorders>
            <w:vAlign w:val="center"/>
          </w:tcPr>
          <w:p w14:paraId="6175B96A"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top w:val="single" w:sz="4" w:space="0" w:color="auto"/>
              <w:left w:val="nil"/>
              <w:right w:val="nil"/>
            </w:tcBorders>
            <w:vAlign w:val="center"/>
          </w:tcPr>
          <w:p w14:paraId="7C56F8FC"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374B56DD"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64BBF199" w14:textId="6360982C"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05CB1751" w14:textId="420652C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vAlign w:val="center"/>
          </w:tcPr>
          <w:p w14:paraId="19306F06" w14:textId="7A6C70E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76.1% (61.2%-87.4</w:t>
            </w:r>
            <w:r w:rsidRPr="003C658F">
              <w:rPr>
                <w:rFonts w:ascii="Arial" w:eastAsia="Arial" w:hAnsi="Arial" w:cs="Arial"/>
                <w:sz w:val="16"/>
                <w:szCs w:val="16"/>
              </w:rPr>
              <w:t xml:space="preserve">%) </w:t>
            </w:r>
          </w:p>
        </w:tc>
        <w:tc>
          <w:tcPr>
            <w:tcW w:w="2049" w:type="dxa"/>
            <w:vAlign w:val="center"/>
          </w:tcPr>
          <w:p w14:paraId="721FF6FE" w14:textId="0FF93D83"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right w:val="nil"/>
            </w:tcBorders>
            <w:vAlign w:val="center"/>
          </w:tcPr>
          <w:p w14:paraId="4F5368DB"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32.7%</w:t>
            </w:r>
          </w:p>
        </w:tc>
        <w:tc>
          <w:tcPr>
            <w:tcW w:w="1615" w:type="dxa"/>
            <w:tcBorders>
              <w:left w:val="nil"/>
              <w:right w:val="nil"/>
            </w:tcBorders>
            <w:vAlign w:val="center"/>
          </w:tcPr>
          <w:p w14:paraId="4DEA79B1"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0.452</w:t>
            </w:r>
          </w:p>
        </w:tc>
      </w:tr>
      <w:tr w:rsidR="00037F13" w14:paraId="440384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nil"/>
            </w:tcBorders>
            <w:vAlign w:val="center"/>
          </w:tcPr>
          <w:p w14:paraId="605034C6" w14:textId="0E789053"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tcBorders>
              <w:bottom w:val="nil"/>
            </w:tcBorders>
            <w:vAlign w:val="center"/>
          </w:tcPr>
          <w:p w14:paraId="45ABDC25" w14:textId="07A3B93A"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bottom w:val="nil"/>
            </w:tcBorders>
            <w:vAlign w:val="center"/>
          </w:tcPr>
          <w:p w14:paraId="00057DA1" w14:textId="6F9CA344"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7</w:t>
            </w:r>
            <w:r>
              <w:rPr>
                <w:rFonts w:ascii="Arial" w:eastAsia="Arial" w:hAnsi="Arial" w:cs="Arial"/>
                <w:sz w:val="16"/>
                <w:szCs w:val="16"/>
              </w:rPr>
              <w:t>3.9% (58.9%-85.7</w:t>
            </w:r>
            <w:r w:rsidRPr="003C658F">
              <w:rPr>
                <w:rFonts w:ascii="Arial" w:eastAsia="Arial" w:hAnsi="Arial" w:cs="Arial"/>
                <w:sz w:val="16"/>
                <w:szCs w:val="16"/>
              </w:rPr>
              <w:t xml:space="preserve">%) </w:t>
            </w:r>
          </w:p>
        </w:tc>
        <w:tc>
          <w:tcPr>
            <w:tcW w:w="2049" w:type="dxa"/>
            <w:tcBorders>
              <w:bottom w:val="nil"/>
            </w:tcBorders>
            <w:vAlign w:val="center"/>
          </w:tcPr>
          <w:p w14:paraId="6DB139F7" w14:textId="09BEAA90"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100.0%</w:t>
            </w:r>
            <w:r>
              <w:rPr>
                <w:rFonts w:ascii="Arial" w:eastAsia="Arial" w:hAnsi="Arial" w:cs="Arial"/>
                <w:sz w:val="16"/>
                <w:szCs w:val="16"/>
              </w:rPr>
              <w:t xml:space="preserve"> (94.3%-100.0%)</w:t>
            </w:r>
          </w:p>
        </w:tc>
        <w:tc>
          <w:tcPr>
            <w:tcW w:w="1563" w:type="dxa"/>
            <w:tcBorders>
              <w:bottom w:val="nil"/>
              <w:right w:val="nil"/>
            </w:tcBorders>
            <w:vAlign w:val="center"/>
          </w:tcPr>
          <w:p w14:paraId="4309A694"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left w:val="nil"/>
              <w:bottom w:val="nil"/>
              <w:right w:val="nil"/>
            </w:tcBorders>
            <w:vAlign w:val="center"/>
          </w:tcPr>
          <w:p w14:paraId="6448481E"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152B041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nil"/>
              <w:bottom w:val="single" w:sz="4" w:space="0" w:color="auto"/>
            </w:tcBorders>
            <w:vAlign w:val="center"/>
          </w:tcPr>
          <w:p w14:paraId="00352BD1" w14:textId="151FA89F"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p>
        </w:tc>
        <w:tc>
          <w:tcPr>
            <w:tcW w:w="969" w:type="dxa"/>
            <w:tcBorders>
              <w:top w:val="nil"/>
              <w:bottom w:val="single" w:sz="4" w:space="0" w:color="auto"/>
            </w:tcBorders>
            <w:vAlign w:val="center"/>
          </w:tcPr>
          <w:p w14:paraId="66453BA3" w14:textId="2F059A5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top w:val="nil"/>
              <w:bottom w:val="single" w:sz="4" w:space="0" w:color="auto"/>
            </w:tcBorders>
            <w:vAlign w:val="center"/>
          </w:tcPr>
          <w:p w14:paraId="12DEA5C1" w14:textId="5C549973"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82.6% (68</w:t>
            </w:r>
            <w:r w:rsidRPr="003C658F">
              <w:rPr>
                <w:rFonts w:ascii="Arial" w:eastAsia="Arial" w:hAnsi="Arial" w:cs="Arial"/>
                <w:sz w:val="16"/>
                <w:szCs w:val="16"/>
              </w:rPr>
              <w:t>.</w:t>
            </w:r>
            <w:r>
              <w:rPr>
                <w:rFonts w:ascii="Arial" w:eastAsia="Arial" w:hAnsi="Arial" w:cs="Arial"/>
                <w:sz w:val="16"/>
                <w:szCs w:val="16"/>
              </w:rPr>
              <w:t>6%-92.2</w:t>
            </w:r>
            <w:r w:rsidRPr="003C658F">
              <w:rPr>
                <w:rFonts w:ascii="Arial" w:eastAsia="Arial" w:hAnsi="Arial" w:cs="Arial"/>
                <w:sz w:val="16"/>
                <w:szCs w:val="16"/>
              </w:rPr>
              <w:t>%)</w:t>
            </w:r>
          </w:p>
        </w:tc>
        <w:tc>
          <w:tcPr>
            <w:tcW w:w="2049" w:type="dxa"/>
            <w:tcBorders>
              <w:top w:val="nil"/>
              <w:bottom w:val="single" w:sz="4" w:space="0" w:color="auto"/>
            </w:tcBorders>
            <w:vAlign w:val="center"/>
          </w:tcPr>
          <w:p w14:paraId="028992C4" w14:textId="6D3287A4"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nil"/>
              <w:bottom w:val="single" w:sz="4" w:space="0" w:color="auto"/>
              <w:right w:val="nil"/>
            </w:tcBorders>
            <w:vAlign w:val="center"/>
          </w:tcPr>
          <w:p w14:paraId="72D02D24" w14:textId="78BBC77B"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34.5%</w:t>
            </w:r>
          </w:p>
        </w:tc>
        <w:tc>
          <w:tcPr>
            <w:tcW w:w="1615" w:type="dxa"/>
            <w:tcBorders>
              <w:top w:val="nil"/>
              <w:left w:val="nil"/>
              <w:bottom w:val="single" w:sz="4" w:space="0" w:color="auto"/>
              <w:right w:val="nil"/>
            </w:tcBorders>
            <w:vAlign w:val="center"/>
          </w:tcPr>
          <w:p w14:paraId="3760BC77" w14:textId="56E0B7DD"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0.470</w:t>
            </w:r>
          </w:p>
        </w:tc>
      </w:tr>
      <w:tr w:rsidR="00037F13" w14:paraId="028D249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4B7927B" w14:textId="30D4C27F"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6E3C06B0" w14:textId="76764498" w:rsidR="007215FE" w:rsidRPr="009D41AA"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9D41AA">
              <w:rPr>
                <w:rFonts w:ascii="Arial" w:eastAsia="Arial" w:hAnsi="Arial" w:cs="Arial"/>
                <w:sz w:val="16"/>
                <w:szCs w:val="16"/>
              </w:rPr>
              <w:t>4</w:t>
            </w:r>
          </w:p>
        </w:tc>
        <w:tc>
          <w:tcPr>
            <w:tcW w:w="2117" w:type="dxa"/>
            <w:tcBorders>
              <w:top w:val="single" w:sz="4" w:space="0" w:color="auto"/>
            </w:tcBorders>
            <w:vAlign w:val="center"/>
          </w:tcPr>
          <w:p w14:paraId="717B7596" w14:textId="0F1B5876"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94.3% (80.8%-99.3</w:t>
            </w:r>
            <w:proofErr w:type="gramStart"/>
            <w:r w:rsidRPr="00093E49">
              <w:rPr>
                <w:rFonts w:ascii="Arial" w:eastAsia="Arial" w:hAnsi="Arial" w:cs="Arial"/>
                <w:sz w:val="16"/>
                <w:szCs w:val="16"/>
              </w:rPr>
              <w:t>%</w:t>
            </w:r>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tcBorders>
              <w:top w:val="single" w:sz="4" w:space="0" w:color="auto"/>
            </w:tcBorders>
            <w:vAlign w:val="center"/>
          </w:tcPr>
          <w:p w14:paraId="285AF3D4" w14:textId="6BC1145F"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top w:val="single" w:sz="4" w:space="0" w:color="auto"/>
              <w:right w:val="nil"/>
            </w:tcBorders>
            <w:vAlign w:val="center"/>
          </w:tcPr>
          <w:p w14:paraId="4448DB11" w14:textId="011F9D6F"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17.2%</w:t>
            </w:r>
          </w:p>
        </w:tc>
        <w:tc>
          <w:tcPr>
            <w:tcW w:w="1615" w:type="dxa"/>
            <w:tcBorders>
              <w:top w:val="single" w:sz="4" w:space="0" w:color="auto"/>
              <w:left w:val="nil"/>
              <w:right w:val="nil"/>
            </w:tcBorders>
            <w:vAlign w:val="center"/>
          </w:tcPr>
          <w:p w14:paraId="3A08E6DB" w14:textId="34E75642"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0.422</w:t>
            </w:r>
          </w:p>
        </w:tc>
      </w:tr>
      <w:tr w:rsidR="00037F13" w14:paraId="203A39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5D865DCB" w14:textId="368986AB"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23FBBD32" w14:textId="0500001D"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06C92285" w14:textId="4D67887B"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 (85.8%-100.</w:t>
            </w:r>
            <w:r w:rsidRPr="00093E49">
              <w:rPr>
                <w:rFonts w:ascii="Arial" w:eastAsia="Arial" w:hAnsi="Arial" w:cs="Arial"/>
                <w:sz w:val="16"/>
                <w:szCs w:val="16"/>
              </w:rPr>
              <w:t>0%</w:t>
            </w:r>
            <w:r>
              <w:rPr>
                <w:rFonts w:ascii="Arial" w:eastAsia="Arial" w:hAnsi="Arial" w:cs="Arial"/>
                <w:sz w:val="16"/>
                <w:szCs w:val="16"/>
              </w:rPr>
              <w:t>)</w:t>
            </w:r>
          </w:p>
        </w:tc>
        <w:tc>
          <w:tcPr>
            <w:tcW w:w="2049" w:type="dxa"/>
            <w:vAlign w:val="center"/>
          </w:tcPr>
          <w:p w14:paraId="6D3DFFC3" w14:textId="31489233"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(96.7%-100.0%)</w:t>
            </w:r>
          </w:p>
        </w:tc>
        <w:tc>
          <w:tcPr>
            <w:tcW w:w="1563" w:type="dxa"/>
            <w:tcBorders>
              <w:right w:val="nil"/>
            </w:tcBorders>
            <w:vAlign w:val="center"/>
          </w:tcPr>
          <w:p w14:paraId="7E89C58F" w14:textId="0C15C52E"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17.6%</w:t>
            </w:r>
          </w:p>
        </w:tc>
        <w:tc>
          <w:tcPr>
            <w:tcW w:w="1615" w:type="dxa"/>
            <w:tcBorders>
              <w:left w:val="nil"/>
              <w:right w:val="nil"/>
            </w:tcBorders>
            <w:vAlign w:val="center"/>
          </w:tcPr>
          <w:p w14:paraId="066D0A8B" w14:textId="3A3A20A5"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0.426</w:t>
            </w:r>
          </w:p>
        </w:tc>
      </w:tr>
      <w:tr w:rsidR="00037F13" w14:paraId="24DA9DCC"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3707A3B0" w14:textId="7A1042DE"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vAlign w:val="center"/>
          </w:tcPr>
          <w:p w14:paraId="10EE605D" w14:textId="6C110497"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3B1F5C66" w14:textId="6D466E12"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82.9% (66.2%-93.4</w:t>
            </w:r>
            <w:proofErr w:type="gramStart"/>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vAlign w:val="center"/>
          </w:tcPr>
          <w:p w14:paraId="3D287724" w14:textId="50DD4062"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right w:val="nil"/>
            </w:tcBorders>
            <w:vAlign w:val="center"/>
          </w:tcPr>
          <w:p w14:paraId="546F81DC" w14:textId="5AC256D2"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15.1%</w:t>
            </w:r>
          </w:p>
        </w:tc>
        <w:tc>
          <w:tcPr>
            <w:tcW w:w="1615" w:type="dxa"/>
            <w:tcBorders>
              <w:left w:val="nil"/>
              <w:right w:val="nil"/>
            </w:tcBorders>
            <w:vAlign w:val="center"/>
          </w:tcPr>
          <w:p w14:paraId="54D5B055" w14:textId="6C898B1B"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0.401</w:t>
            </w:r>
          </w:p>
        </w:tc>
      </w:tr>
      <w:tr w:rsidR="00037F13" w14:paraId="7F454E39"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single" w:sz="4" w:space="0" w:color="auto"/>
            </w:tcBorders>
            <w:vAlign w:val="center"/>
          </w:tcPr>
          <w:p w14:paraId="4AE482F2" w14:textId="67305625" w:rsidR="007215FE" w:rsidRPr="009D41AA"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r w:rsidRPr="00A44FDB">
              <w:rPr>
                <w:rFonts w:ascii="Arial" w:eastAsia="Arial" w:hAnsi="Arial" w:cs="Arial"/>
                <w:b w:val="0"/>
                <w:bCs w:val="0"/>
                <w:sz w:val="16"/>
                <w:szCs w:val="16"/>
              </w:rPr>
              <w:t xml:space="preserve"> </w:t>
            </w:r>
          </w:p>
        </w:tc>
        <w:tc>
          <w:tcPr>
            <w:tcW w:w="969" w:type="dxa"/>
            <w:tcBorders>
              <w:bottom w:val="single" w:sz="4" w:space="0" w:color="auto"/>
            </w:tcBorders>
            <w:vAlign w:val="center"/>
          </w:tcPr>
          <w:p w14:paraId="4FDA14B1" w14:textId="63EA0D90"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tcBorders>
              <w:bottom w:val="single" w:sz="4" w:space="0" w:color="auto"/>
            </w:tcBorders>
            <w:vAlign w:val="center"/>
          </w:tcPr>
          <w:p w14:paraId="3B806E15" w14:textId="0E7A21B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88.6% (73.3%-96.8</w:t>
            </w:r>
            <w:proofErr w:type="gramStart"/>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tcBorders>
              <w:bottom w:val="single" w:sz="4" w:space="0" w:color="auto"/>
            </w:tcBorders>
            <w:vAlign w:val="center"/>
          </w:tcPr>
          <w:p w14:paraId="490BF23F" w14:textId="6D58B90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bottom w:val="single" w:sz="4" w:space="0" w:color="auto"/>
              <w:right w:val="nil"/>
            </w:tcBorders>
            <w:vAlign w:val="center"/>
          </w:tcPr>
          <w:p w14:paraId="6A5933D3" w14:textId="0E184F3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16.2%</w:t>
            </w:r>
          </w:p>
        </w:tc>
        <w:tc>
          <w:tcPr>
            <w:tcW w:w="1615" w:type="dxa"/>
            <w:tcBorders>
              <w:left w:val="nil"/>
              <w:bottom w:val="single" w:sz="4" w:space="0" w:color="auto"/>
              <w:right w:val="nil"/>
            </w:tcBorders>
            <w:vAlign w:val="center"/>
          </w:tcPr>
          <w:p w14:paraId="7B2616CA" w14:textId="55A294EA"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0.411</w:t>
            </w:r>
          </w:p>
        </w:tc>
      </w:tr>
      <w:tr w:rsidR="00AA2EE9" w14:paraId="3DD1FDC3" w14:textId="77777777" w:rsidTr="00037F13">
        <w:trPr>
          <w:trHeight w:val="1232"/>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left w:val="nil"/>
              <w:bottom w:val="nil"/>
              <w:right w:val="nil"/>
            </w:tcBorders>
            <w:vAlign w:val="bottom"/>
          </w:tcPr>
          <w:p w14:paraId="326923F6" w14:textId="45816A12" w:rsidR="00AA2EE9" w:rsidRDefault="00AA2EE9" w:rsidP="00A44FDB">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6B8F54B6" w14:textId="18FF989B" w:rsidR="00AA2EE9" w:rsidRPr="00037F13" w:rsidRDefault="00AA2EE9" w:rsidP="004B1946">
            <w:pPr>
              <w:rPr>
                <w:rFonts w:ascii="Arial" w:eastAsia="Arial" w:hAnsi="Arial" w:cs="Arial"/>
                <w:b w:val="0"/>
                <w:bCs w:val="0"/>
                <w:sz w:val="16"/>
                <w:szCs w:val="16"/>
              </w:rPr>
            </w:pPr>
            <w:r w:rsidRPr="00F81854">
              <w:rPr>
                <w:rFonts w:ascii="Arial" w:eastAsia="Arial" w:hAnsi="Arial" w:cs="Arial"/>
                <w:sz w:val="16"/>
                <w:szCs w:val="16"/>
                <w:vertAlign w:val="superscript"/>
              </w:rPr>
              <w:t>†</w:t>
            </w:r>
            <w:r w:rsidRPr="002F1456">
              <w:rPr>
                <w:rFonts w:ascii="Arial" w:eastAsia="Arial" w:hAnsi="Arial" w:cs="Arial"/>
                <w:b w:val="0"/>
                <w:sz w:val="16"/>
                <w:szCs w:val="16"/>
              </w:rPr>
              <w:t>Restricting the performance characteristic</w:t>
            </w:r>
            <w:r w:rsidRPr="002F1456">
              <w:rPr>
                <w:rFonts w:ascii="Arial" w:eastAsia="Arial" w:hAnsi="Arial" w:cs="Arial"/>
                <w:b w:val="0"/>
                <w:bCs w:val="0"/>
                <w:sz w:val="16"/>
                <w:szCs w:val="16"/>
              </w:rPr>
              <w:t>s</w:t>
            </w:r>
            <w:r w:rsidRPr="002F1456">
              <w:rPr>
                <w:rFonts w:ascii="Arial" w:eastAsia="Arial" w:hAnsi="Arial" w:cs="Arial"/>
                <w:b w:val="0"/>
                <w:sz w:val="16"/>
                <w:szCs w:val="16"/>
              </w:rPr>
              <w:t xml:space="preserve"> comparison to</w:t>
            </w:r>
            <w:r w:rsidRPr="002F1456">
              <w:rPr>
                <w:rFonts w:ascii="Arial" w:eastAsia="Arial" w:hAnsi="Arial" w:cs="Arial"/>
                <w:b w:val="0"/>
                <w:bCs w:val="0"/>
                <w:sz w:val="16"/>
                <w:szCs w:val="16"/>
              </w:rPr>
              <w:t xml:space="preserve"> only the 136 </w:t>
            </w:r>
            <w:r w:rsidR="004F59C6">
              <w:rPr>
                <w:rFonts w:ascii="Arial" w:eastAsia="Arial" w:hAnsi="Arial" w:cs="Arial"/>
                <w:b w:val="0"/>
                <w:bCs w:val="0"/>
                <w:sz w:val="16"/>
                <w:szCs w:val="16"/>
              </w:rPr>
              <w:t>pools</w:t>
            </w:r>
            <w:r w:rsidRPr="002F1456">
              <w:rPr>
                <w:rFonts w:ascii="Arial" w:eastAsia="Arial" w:hAnsi="Arial" w:cs="Arial"/>
                <w:b w:val="0"/>
                <w:bCs w:val="0"/>
                <w:sz w:val="16"/>
                <w:szCs w:val="16"/>
              </w:rPr>
              <w:t xml:space="preserve"> tested by </w:t>
            </w:r>
            <w:r w:rsidR="004F59C6">
              <w:rPr>
                <w:rFonts w:ascii="Arial" w:eastAsia="Arial" w:hAnsi="Arial" w:cs="Arial"/>
                <w:b w:val="0"/>
                <w:bCs w:val="0"/>
                <w:sz w:val="16"/>
                <w:szCs w:val="16"/>
              </w:rPr>
              <w:t>Panther Fusion resulted in a</w:t>
            </w:r>
            <w:r w:rsidRPr="002F1456">
              <w:rPr>
                <w:rFonts w:ascii="Arial" w:eastAsia="Arial" w:hAnsi="Arial" w:cs="Arial"/>
                <w:b w:val="0"/>
                <w:bCs w:val="0"/>
                <w:sz w:val="16"/>
                <w:szCs w:val="16"/>
              </w:rPr>
              <w:t xml:space="preserve"> PPA as follows: LDT 100% (</w:t>
            </w:r>
            <w:r w:rsidRPr="002F1456">
              <w:rPr>
                <w:rFonts w:ascii="Arial" w:eastAsia="Arial" w:hAnsi="Arial" w:cs="Arial"/>
                <w:b w:val="0"/>
                <w:sz w:val="16"/>
                <w:szCs w:val="16"/>
              </w:rPr>
              <w:t>95% CI 85.8%-100.0%</w:t>
            </w:r>
            <w:r w:rsidRPr="002F1456">
              <w:rPr>
                <w:rFonts w:ascii="Arial" w:eastAsia="Arial" w:hAnsi="Arial" w:cs="Arial"/>
                <w:b w:val="0"/>
                <w:bCs w:val="0"/>
                <w:sz w:val="16"/>
                <w:szCs w:val="16"/>
              </w:rPr>
              <w:t>), Aptima-M 91.7% (</w:t>
            </w:r>
            <w:r w:rsidRPr="002F1456">
              <w:rPr>
                <w:rFonts w:ascii="Arial" w:eastAsia="Arial" w:hAnsi="Arial" w:cs="Arial"/>
                <w:b w:val="0"/>
                <w:sz w:val="16"/>
                <w:szCs w:val="16"/>
              </w:rPr>
              <w:t>95% CI 73.0%-99.0%</w:t>
            </w:r>
            <w:r w:rsidRPr="002F1456">
              <w:rPr>
                <w:rFonts w:ascii="Arial" w:eastAsia="Arial" w:hAnsi="Arial" w:cs="Arial"/>
                <w:b w:val="0"/>
                <w:bCs w:val="0"/>
                <w:sz w:val="16"/>
                <w:szCs w:val="16"/>
              </w:rPr>
              <w:t>) and Aptima-350 95.</w:t>
            </w:r>
            <w:r w:rsidRPr="002F1456">
              <w:rPr>
                <w:rFonts w:ascii="Arial" w:eastAsia="Arial" w:hAnsi="Arial" w:cs="Arial"/>
                <w:b w:val="0"/>
                <w:sz w:val="16"/>
                <w:szCs w:val="16"/>
              </w:rPr>
              <w:t>8</w:t>
            </w:r>
            <w:r w:rsidRPr="002F1456">
              <w:rPr>
                <w:rFonts w:ascii="Arial" w:eastAsia="Arial" w:hAnsi="Arial" w:cs="Arial"/>
                <w:b w:val="0"/>
                <w:bCs w:val="0"/>
                <w:sz w:val="16"/>
                <w:szCs w:val="16"/>
              </w:rPr>
              <w:t>% (</w:t>
            </w:r>
            <w:r w:rsidRPr="002F1456">
              <w:rPr>
                <w:rFonts w:ascii="Arial" w:eastAsia="Arial" w:hAnsi="Arial" w:cs="Arial"/>
                <w:b w:val="0"/>
                <w:sz w:val="16"/>
                <w:szCs w:val="16"/>
              </w:rPr>
              <w:t>95% CI 78.9%-99.9%</w:t>
            </w:r>
            <w:r w:rsidRPr="002F1456">
              <w:rPr>
                <w:rFonts w:ascii="Arial" w:eastAsia="Arial" w:hAnsi="Arial" w:cs="Arial"/>
                <w:b w:val="0"/>
                <w:bCs w:val="0"/>
                <w:sz w:val="16"/>
                <w:szCs w:val="16"/>
              </w:rPr>
              <w:t>).</w:t>
            </w:r>
          </w:p>
          <w:p w14:paraId="54C8FE56" w14:textId="6115DB8D" w:rsidR="00AA2EE9" w:rsidRPr="00037F13" w:rsidRDefault="00AA2EE9" w:rsidP="00037F13">
            <w:pPr>
              <w:rPr>
                <w:rFonts w:ascii="Arial" w:hAnsi="Arial" w:cs="Arial"/>
                <w:b w:val="0"/>
                <w:sz w:val="20"/>
                <w:szCs w:val="20"/>
              </w:rPr>
            </w:pPr>
            <w:r w:rsidRPr="000A0FFD">
              <w:rPr>
                <w:rFonts w:ascii="Arial" w:eastAsia="Arial" w:hAnsi="Arial" w:cs="Arial"/>
                <w:b w:val="0"/>
                <w:sz w:val="16"/>
                <w:szCs w:val="16"/>
              </w:rPr>
              <w:t>PPA, positive percent agreement; NPA, negative percent agreement; LDT, laboratory-developed test; Panther Aptima-M, Panther Aptima with manufacturer-set relative light unit cutoff; Panther Aptima-350, Panther Aptima with relative light unit cutoff of &gt;350 considered positive; RLU, relative light unit.</w:t>
            </w:r>
          </w:p>
        </w:tc>
      </w:tr>
    </w:tbl>
    <w:p w14:paraId="2052662C" w14:textId="7EEB7EEA" w:rsidR="00B25D95" w:rsidRDefault="00B25D95">
      <w:pPr>
        <w:rPr>
          <w:rFonts w:ascii="Arial" w:hAnsi="Arial" w:cs="Arial"/>
          <w:b/>
          <w:sz w:val="20"/>
          <w:szCs w:val="20"/>
        </w:rPr>
      </w:pPr>
    </w:p>
    <w:p w14:paraId="21FB7CE4" w14:textId="263C52E4" w:rsidR="003C24DC" w:rsidRDefault="003C24DC">
      <w:pPr>
        <w:rPr>
          <w:b/>
        </w:rPr>
      </w:pPr>
      <w:r>
        <w:rPr>
          <w:b/>
        </w:rPr>
        <w:br w:type="page"/>
      </w:r>
    </w:p>
    <w:p w14:paraId="329BB913" w14:textId="7D113D76" w:rsidR="00083DAF" w:rsidRPr="00083DAF" w:rsidRDefault="001A4045" w:rsidP="00083DAF">
      <w:pPr>
        <w:spacing w:line="480" w:lineRule="auto"/>
        <w:rPr>
          <w:b/>
        </w:rPr>
      </w:pPr>
      <w:r w:rsidRPr="006F1059">
        <w:rPr>
          <w:b/>
        </w:rPr>
        <w:lastRenderedPageBreak/>
        <w:t>Figure Legends</w:t>
      </w:r>
    </w:p>
    <w:p w14:paraId="1B17CFC4" w14:textId="44A563A0" w:rsidR="00083DAF" w:rsidRDefault="00083DAF" w:rsidP="00083DAF">
      <w:pPr>
        <w:spacing w:line="480" w:lineRule="auto"/>
      </w:pPr>
      <w:r w:rsidRPr="007E18A2">
        <w:rPr>
          <w:b/>
        </w:rPr>
        <w:t>Figure 1.</w:t>
      </w:r>
      <w:r w:rsidRPr="006F1059">
        <w:t xml:space="preserve"> </w:t>
      </w:r>
      <w:r>
        <w:t>For a pool size of 8, p</w:t>
      </w:r>
      <w:r w:rsidRPr="006F1059">
        <w:t>aired individual and pooled C</w:t>
      </w:r>
      <w:r w:rsidRPr="006F1059">
        <w:rPr>
          <w:vertAlign w:val="subscript"/>
        </w:rPr>
        <w:t>t</w:t>
      </w:r>
      <w:r w:rsidRPr="006F1059">
        <w:t xml:space="preserve"> values for each individually positive sample</w:t>
      </w:r>
      <w:r w:rsidR="00941523">
        <w:t xml:space="preserve"> (n=58)</w:t>
      </w:r>
      <w:r w:rsidRPr="006F1059">
        <w:t xml:space="preserve">, </w:t>
      </w:r>
      <w:r w:rsidR="00941523">
        <w:t>in order of</w:t>
      </w:r>
      <w:r w:rsidRPr="006F1059">
        <w:t xml:space="preserve"> increasing individual C</w:t>
      </w:r>
      <w:r w:rsidRPr="006F1059">
        <w:rPr>
          <w:vertAlign w:val="subscript"/>
        </w:rPr>
        <w:t>t</w:t>
      </w:r>
      <w:r w:rsidRPr="006F1059">
        <w:t xml:space="preserve"> value. The left panel contains pools comprised of only a single positive sample. The right panel contains pools comprised of two or more positive samples. The grey lines span the range of C</w:t>
      </w:r>
      <w:r w:rsidRPr="006F1059">
        <w:rPr>
          <w:vertAlign w:val="subscript"/>
        </w:rPr>
        <w:t>t</w:t>
      </w:r>
      <w:r w:rsidRPr="006F1059">
        <w:t xml:space="preserve"> values associated with a given pool. Rows without grey lines represent individually positive samples belonging to pools that tested negative by </w:t>
      </w:r>
      <w:r>
        <w:t xml:space="preserve">both </w:t>
      </w:r>
      <w:proofErr w:type="spellStart"/>
      <w:r>
        <w:t>rRT</w:t>
      </w:r>
      <w:proofErr w:type="spellEnd"/>
      <w:r>
        <w:t>-PCR methods</w:t>
      </w:r>
      <w:r w:rsidRPr="006F1059">
        <w:t>.</w:t>
      </w:r>
    </w:p>
    <w:p w14:paraId="509EEAF1" w14:textId="77777777" w:rsidR="00083DAF" w:rsidRDefault="00083DAF" w:rsidP="00814D6B">
      <w:pPr>
        <w:spacing w:line="480" w:lineRule="auto"/>
      </w:pPr>
    </w:p>
    <w:p w14:paraId="18D88A26" w14:textId="1A7F83B6" w:rsidR="001A4045" w:rsidRDefault="00A407AA" w:rsidP="00814D6B">
      <w:pPr>
        <w:spacing w:line="480" w:lineRule="auto"/>
      </w:pPr>
      <w:r w:rsidRPr="007E18A2">
        <w:rPr>
          <w:b/>
        </w:rPr>
        <w:t xml:space="preserve">Figure </w:t>
      </w:r>
      <w:r w:rsidR="00083DAF" w:rsidRPr="007E18A2">
        <w:rPr>
          <w:b/>
        </w:rPr>
        <w:t>2</w:t>
      </w:r>
      <w:r w:rsidRPr="007E18A2">
        <w:rPr>
          <w:b/>
        </w:rPr>
        <w:t>.</w:t>
      </w:r>
      <w:r w:rsidRPr="006F1059">
        <w:t xml:space="preserve"> </w:t>
      </w:r>
      <w:r w:rsidR="00941523">
        <w:t xml:space="preserve">Passing-Bablok regression and Bland-Altman plots for pools of 8 containing only a </w:t>
      </w:r>
      <w:r w:rsidR="00365107" w:rsidRPr="006F1059">
        <w:t>single positive sample</w:t>
      </w:r>
      <w:r w:rsidR="00AC29D1" w:rsidRPr="006F1059">
        <w:t>, tested by A</w:t>
      </w:r>
      <w:r w:rsidR="009B704E">
        <w:t>-B</w:t>
      </w:r>
      <w:r w:rsidR="001A4045" w:rsidRPr="006F1059">
        <w:t>) pooled</w:t>
      </w:r>
      <w:r w:rsidR="001C3113" w:rsidRPr="001C3113">
        <w:rPr>
          <w:i/>
        </w:rPr>
        <w:t xml:space="preserve"> </w:t>
      </w:r>
      <w:r w:rsidR="001A4045" w:rsidRPr="006F1059">
        <w:t>LDT vs. individual</w:t>
      </w:r>
      <w:r w:rsidR="001C3113" w:rsidRPr="001C3113">
        <w:rPr>
          <w:i/>
        </w:rPr>
        <w:t xml:space="preserve"> </w:t>
      </w:r>
      <w:r w:rsidR="001A4045" w:rsidRPr="006F1059">
        <w:t xml:space="preserve">LDT (n=23), </w:t>
      </w:r>
      <w:r w:rsidR="009B704E">
        <w:t>C-D)</w:t>
      </w:r>
      <w:r w:rsidR="001A4045" w:rsidRPr="006F1059">
        <w:t xml:space="preserve"> pooled Panther Fusion vs. individual</w:t>
      </w:r>
      <w:r w:rsidR="001C3113" w:rsidRPr="001C3113">
        <w:rPr>
          <w:i/>
        </w:rPr>
        <w:t xml:space="preserve"> </w:t>
      </w:r>
      <w:r w:rsidR="001A4045" w:rsidRPr="006F1059">
        <w:t>LDT (n=25</w:t>
      </w:r>
      <w:r w:rsidR="009B704E">
        <w:t>), and E-F</w:t>
      </w:r>
      <w:r w:rsidR="001A4045" w:rsidRPr="006F1059">
        <w:t>) pooled Panther Fusion vs. pooled</w:t>
      </w:r>
      <w:r w:rsidR="001C3113" w:rsidRPr="001C3113">
        <w:rPr>
          <w:i/>
        </w:rPr>
        <w:t xml:space="preserve"> </w:t>
      </w:r>
      <w:r w:rsidRPr="006F1059">
        <w:t xml:space="preserve">LDT (n=32). For the </w:t>
      </w:r>
      <w:r w:rsidR="00083DAF">
        <w:t>Passing-Bablok</w:t>
      </w:r>
      <w:r w:rsidRPr="006F1059">
        <w:t xml:space="preserve"> regression plots (</w:t>
      </w:r>
      <w:r w:rsidR="009B704E">
        <w:t>A, C, E</w:t>
      </w:r>
      <w:r w:rsidRPr="006F1059">
        <w:t>), the solid line represents the line of regression, with 95% confidence interval shaded in grey. The dashed line represents the line of identity. The s</w:t>
      </w:r>
      <w:r w:rsidR="001A4045" w:rsidRPr="006F1059">
        <w:t xml:space="preserve">lope and intercept </w:t>
      </w:r>
      <w:r w:rsidRPr="006F1059">
        <w:t xml:space="preserve">of the regression line </w:t>
      </w:r>
      <w:r w:rsidR="001A4045" w:rsidRPr="006F1059">
        <w:t xml:space="preserve">are </w:t>
      </w:r>
      <w:r w:rsidRPr="006F1059">
        <w:t>reported with</w:t>
      </w:r>
      <w:r w:rsidR="001A4045" w:rsidRPr="006F1059">
        <w:t xml:space="preserve"> 95% confidence</w:t>
      </w:r>
      <w:r w:rsidRPr="006F1059">
        <w:t xml:space="preserve"> intervals</w:t>
      </w:r>
      <w:r w:rsidR="001A4045" w:rsidRPr="006F1059">
        <w:t xml:space="preserve"> </w:t>
      </w:r>
      <w:r w:rsidRPr="006F1059">
        <w:t>in parentheses. For the Bland-Altman plots (</w:t>
      </w:r>
      <w:r w:rsidR="009B704E">
        <w:t>B, D, F</w:t>
      </w:r>
      <w:r w:rsidRPr="006F1059">
        <w:t>), the solid line represents the mean difference in C</w:t>
      </w:r>
      <w:r w:rsidRPr="006F1059">
        <w:rPr>
          <w:vertAlign w:val="subscript"/>
        </w:rPr>
        <w:t>t</w:t>
      </w:r>
      <w:r w:rsidRPr="006F1059">
        <w:t xml:space="preserve"> value, with 95% </w:t>
      </w:r>
      <w:r w:rsidR="00AC29D1" w:rsidRPr="006F1059">
        <w:t>limits of agreement area</w:t>
      </w:r>
      <w:r w:rsidRPr="006F1059">
        <w:t xml:space="preserve"> shaded in grey.</w:t>
      </w:r>
    </w:p>
    <w:p w14:paraId="7BF54464" w14:textId="77777777" w:rsidR="007028D3" w:rsidRPr="006F1059" w:rsidRDefault="007028D3" w:rsidP="00814D6B">
      <w:pPr>
        <w:spacing w:line="480" w:lineRule="auto"/>
      </w:pPr>
    </w:p>
    <w:p w14:paraId="4B406AB4" w14:textId="228603B5" w:rsidR="007E24CE" w:rsidRDefault="00CB6FFC" w:rsidP="00814D6B">
      <w:pPr>
        <w:spacing w:line="480" w:lineRule="auto"/>
        <w:rPr>
          <w:bCs/>
        </w:rPr>
      </w:pPr>
      <w:r w:rsidRPr="007E18A2">
        <w:rPr>
          <w:b/>
        </w:rPr>
        <w:t xml:space="preserve">Figure </w:t>
      </w:r>
      <w:r w:rsidR="00C6158A" w:rsidRPr="007E18A2">
        <w:rPr>
          <w:b/>
        </w:rPr>
        <w:t>3</w:t>
      </w:r>
      <w:r w:rsidRPr="007E18A2">
        <w:rPr>
          <w:b/>
        </w:rPr>
        <w:t>.</w:t>
      </w:r>
      <w:r>
        <w:t xml:space="preserve"> </w:t>
      </w:r>
      <w:r w:rsidR="00626E65">
        <w:t>Model-estimated positive percent agreement (PPA) and testing efficiency, by pool size, proportion of tests positive, and proportion of samples with cycle threshold (</w:t>
      </w:r>
      <w:r w:rsidR="00626E65" w:rsidRPr="00DB1421">
        <w:rPr>
          <w:rFonts w:cs="Arial"/>
          <w:bCs/>
        </w:rPr>
        <w:t>C</w:t>
      </w:r>
      <w:r w:rsidR="00626E65" w:rsidRPr="00DB1421">
        <w:rPr>
          <w:rFonts w:cs="Arial"/>
          <w:bCs/>
          <w:vertAlign w:val="subscript"/>
        </w:rPr>
        <w:t>t</w:t>
      </w:r>
      <w:r w:rsidR="00626E65">
        <w:t>) above the 95% limit of detection (</w:t>
      </w:r>
      <w:proofErr w:type="spellStart"/>
      <w:r w:rsidR="00626E65">
        <w:t>LoD</w:t>
      </w:r>
      <w:proofErr w:type="spellEnd"/>
      <w:r w:rsidR="00626E65">
        <w:t>)</w:t>
      </w:r>
      <w:r w:rsidR="007061E9">
        <w:t xml:space="preserve">. </w:t>
      </w:r>
      <w:r w:rsidR="007061E9">
        <w:rPr>
          <w:bCs/>
        </w:rPr>
        <w:t xml:space="preserve">For these estimates, </w:t>
      </w:r>
      <w:proofErr w:type="spellStart"/>
      <w:r w:rsidR="007061E9">
        <w:rPr>
          <w:bCs/>
        </w:rPr>
        <w:t>LoD</w:t>
      </w:r>
      <w:proofErr w:type="spellEnd"/>
      <w:r w:rsidR="007061E9">
        <w:rPr>
          <w:bCs/>
        </w:rPr>
        <w:t xml:space="preserve"> has been held constant at the </w:t>
      </w:r>
      <w:proofErr w:type="gramStart"/>
      <w:r w:rsidR="007061E9">
        <w:rPr>
          <w:bCs/>
        </w:rPr>
        <w:t>experimentally-derived</w:t>
      </w:r>
      <w:proofErr w:type="gramEnd"/>
      <w:r w:rsidR="007061E9">
        <w:rPr>
          <w:bCs/>
        </w:rPr>
        <w:t xml:space="preserve"> </w:t>
      </w:r>
      <w:r w:rsidR="007061E9" w:rsidRPr="00DB1421">
        <w:rPr>
          <w:rFonts w:cs="Arial"/>
          <w:bCs/>
        </w:rPr>
        <w:t>C</w:t>
      </w:r>
      <w:r w:rsidR="007061E9" w:rsidRPr="00DB1421">
        <w:rPr>
          <w:rFonts w:cs="Arial"/>
          <w:bCs/>
          <w:vertAlign w:val="subscript"/>
        </w:rPr>
        <w:t>t</w:t>
      </w:r>
      <w:r w:rsidR="007061E9">
        <w:rPr>
          <w:bCs/>
        </w:rPr>
        <w:t xml:space="preserve"> of 35.9, although results are independent of specific </w:t>
      </w:r>
      <w:proofErr w:type="spellStart"/>
      <w:r w:rsidR="007061E9">
        <w:rPr>
          <w:bCs/>
        </w:rPr>
        <w:t>LoD</w:t>
      </w:r>
      <w:proofErr w:type="spellEnd"/>
      <w:r w:rsidR="007061E9">
        <w:rPr>
          <w:bCs/>
        </w:rPr>
        <w:t xml:space="preserve"> value. </w:t>
      </w:r>
      <w:r w:rsidR="009B704E">
        <w:t xml:space="preserve">A) </w:t>
      </w:r>
      <w:r w:rsidR="00967309">
        <w:t>Expected</w:t>
      </w:r>
      <w:r>
        <w:t xml:space="preserve"> </w:t>
      </w:r>
      <w:r w:rsidR="00626E65">
        <w:t>PPA</w:t>
      </w:r>
      <w:r>
        <w:t xml:space="preserve"> between pooled and individual testing at pool sizes from 1-20. PPA decreases with decreasing proportion of tests positive (indicated by colored lines in each plot), and with increasing proportion of samples with </w:t>
      </w:r>
      <w:r w:rsidRPr="00DB1421">
        <w:rPr>
          <w:rFonts w:cs="Arial"/>
          <w:bCs/>
        </w:rPr>
        <w:t>C</w:t>
      </w:r>
      <w:r w:rsidRPr="00DB1421">
        <w:rPr>
          <w:rFonts w:cs="Arial"/>
          <w:bCs/>
          <w:vertAlign w:val="subscript"/>
        </w:rPr>
        <w:t>t</w:t>
      </w:r>
      <w:r>
        <w:rPr>
          <w:rFonts w:cs="Arial"/>
          <w:bCs/>
        </w:rPr>
        <w:t xml:space="preserve"> </w:t>
      </w:r>
      <w:r w:rsidRPr="00DB1421">
        <w:rPr>
          <w:rFonts w:cs="Arial"/>
          <w:bCs/>
        </w:rPr>
        <w:t>value</w:t>
      </w:r>
      <w:r>
        <w:rPr>
          <w:bCs/>
        </w:rPr>
        <w:t>s bey</w:t>
      </w:r>
      <w:r w:rsidR="00501700">
        <w:rPr>
          <w:bCs/>
        </w:rPr>
        <w:t xml:space="preserve">ond the 95% </w:t>
      </w:r>
      <w:r w:rsidR="00626E65">
        <w:rPr>
          <w:bCs/>
        </w:rPr>
        <w:t>LoD</w:t>
      </w:r>
      <w:r w:rsidR="00501700">
        <w:rPr>
          <w:bCs/>
        </w:rPr>
        <w:t xml:space="preserve"> (</w:t>
      </w:r>
      <w:r w:rsidR="009B704E">
        <w:rPr>
          <w:bCs/>
        </w:rPr>
        <w:t>each panel</w:t>
      </w:r>
      <w:r>
        <w:rPr>
          <w:bCs/>
        </w:rPr>
        <w:t xml:space="preserve">). At &gt;5% test positivity, expected PPA starts to increase at larger pool sizes as there is a greater likelihood of two positive samples being in the same pool. The baseline </w:t>
      </w:r>
      <w:r>
        <w:rPr>
          <w:bCs/>
        </w:rPr>
        <w:lastRenderedPageBreak/>
        <w:t xml:space="preserve">PPA (pool size of </w:t>
      </w:r>
      <w:r w:rsidR="00967309">
        <w:rPr>
          <w:bCs/>
        </w:rPr>
        <w:t>one) reflects the likelihood of obtaining the same individual result wit</w:t>
      </w:r>
      <w:r w:rsidR="009B704E">
        <w:rPr>
          <w:bCs/>
        </w:rPr>
        <w:t xml:space="preserve">h repeat (non-pooled) testing. B) Estimated average tests per sample that would be performed at each pool size, </w:t>
      </w:r>
      <w:r w:rsidR="00C86E06">
        <w:rPr>
          <w:bCs/>
        </w:rPr>
        <w:t xml:space="preserve">with a </w:t>
      </w:r>
      <w:r w:rsidR="009B704E">
        <w:rPr>
          <w:bCs/>
        </w:rPr>
        <w:t xml:space="preserve">lower number of average tests per sample </w:t>
      </w:r>
      <w:r w:rsidR="00C86E06">
        <w:rPr>
          <w:bCs/>
        </w:rPr>
        <w:t xml:space="preserve">corresponding to </w:t>
      </w:r>
      <w:r w:rsidR="009B704E">
        <w:rPr>
          <w:bCs/>
        </w:rPr>
        <w:t>higher testing efficiency. Efficiency increases with decreasing p</w:t>
      </w:r>
      <w:r w:rsidR="00966988">
        <w:rPr>
          <w:bCs/>
        </w:rPr>
        <w:t xml:space="preserve">roportion of tests positive, and slightly increases with increasing samples </w:t>
      </w:r>
      <w:r w:rsidR="00626E65">
        <w:rPr>
          <w:bCs/>
        </w:rPr>
        <w:t xml:space="preserve">with </w:t>
      </w:r>
      <w:r w:rsidR="00626E65" w:rsidRPr="00DB1421">
        <w:rPr>
          <w:rFonts w:cs="Arial"/>
          <w:bCs/>
        </w:rPr>
        <w:t>C</w:t>
      </w:r>
      <w:r w:rsidR="00626E65" w:rsidRPr="00DB1421">
        <w:rPr>
          <w:rFonts w:cs="Arial"/>
          <w:bCs/>
          <w:vertAlign w:val="subscript"/>
        </w:rPr>
        <w:t>t</w:t>
      </w:r>
      <w:r w:rsidR="00626E65">
        <w:rPr>
          <w:bCs/>
        </w:rPr>
        <w:t xml:space="preserve"> above the </w:t>
      </w:r>
      <w:proofErr w:type="spellStart"/>
      <w:r w:rsidR="00626E65">
        <w:rPr>
          <w:bCs/>
        </w:rPr>
        <w:t>LoD</w:t>
      </w:r>
      <w:proofErr w:type="spellEnd"/>
      <w:r w:rsidR="00626E65">
        <w:rPr>
          <w:bCs/>
        </w:rPr>
        <w:t>. E</w:t>
      </w:r>
      <w:r w:rsidR="007061E9">
        <w:rPr>
          <w:bCs/>
        </w:rPr>
        <w:t>a</w:t>
      </w:r>
      <w:r w:rsidR="00966988">
        <w:rPr>
          <w:bCs/>
        </w:rPr>
        <w:t>ch missed pool results in fewer deconvolutions, and thus fewer total tests performed.</w:t>
      </w:r>
    </w:p>
    <w:p w14:paraId="5D3C8ECA" w14:textId="77777777" w:rsidR="003C24DC" w:rsidRDefault="003C24DC" w:rsidP="00814D6B">
      <w:pPr>
        <w:spacing w:line="480" w:lineRule="auto"/>
      </w:pPr>
    </w:p>
    <w:p w14:paraId="52B32440" w14:textId="57EF9153" w:rsidR="009B704E" w:rsidRPr="007061E9" w:rsidRDefault="007E24CE" w:rsidP="00814D6B">
      <w:pPr>
        <w:spacing w:line="480" w:lineRule="auto"/>
      </w:pPr>
      <w:r w:rsidRPr="007E18A2">
        <w:rPr>
          <w:b/>
        </w:rPr>
        <w:t xml:space="preserve">Figure </w:t>
      </w:r>
      <w:r w:rsidR="00C6158A" w:rsidRPr="007E18A2">
        <w:rPr>
          <w:b/>
        </w:rPr>
        <w:t>4</w:t>
      </w:r>
      <w:r w:rsidRPr="007E18A2">
        <w:rPr>
          <w:b/>
        </w:rPr>
        <w:t>.</w:t>
      </w:r>
      <w:r w:rsidR="009B704E">
        <w:t xml:space="preserve"> </w:t>
      </w:r>
      <w:r w:rsidR="00626E65">
        <w:t xml:space="preserve">Model-estimated positive percent agreement (PPA) and testing efficiency, by pool size, proportion of tests positive, and assay analytical sensitivity as approximated by the </w:t>
      </w:r>
      <w:r w:rsidR="007061E9">
        <w:t>cycle threshold (</w:t>
      </w:r>
      <w:r w:rsidR="007061E9" w:rsidRPr="00DB1421">
        <w:rPr>
          <w:rFonts w:cs="Arial"/>
          <w:bCs/>
        </w:rPr>
        <w:t>C</w:t>
      </w:r>
      <w:r w:rsidR="007061E9" w:rsidRPr="00DB1421">
        <w:rPr>
          <w:rFonts w:cs="Arial"/>
          <w:bCs/>
          <w:vertAlign w:val="subscript"/>
        </w:rPr>
        <w:t>t</w:t>
      </w:r>
      <w:r w:rsidR="007061E9">
        <w:t xml:space="preserve">) </w:t>
      </w:r>
      <w:r w:rsidR="00626E65">
        <w:t>corresponding to the 95% limit of detection (</w:t>
      </w:r>
      <w:proofErr w:type="spellStart"/>
      <w:r w:rsidR="00626E65">
        <w:t>LoD</w:t>
      </w:r>
      <w:proofErr w:type="spellEnd"/>
      <w:r w:rsidR="00626E65">
        <w:t xml:space="preserve">). </w:t>
      </w:r>
      <w:r w:rsidR="007061E9">
        <w:t xml:space="preserve">For these estimates, the population </w:t>
      </w:r>
      <w:r w:rsidR="007061E9">
        <w:rPr>
          <w:rFonts w:cs="Arial"/>
          <w:bCs/>
        </w:rPr>
        <w:t>viral load distribution</w:t>
      </w:r>
      <w:r w:rsidR="007061E9">
        <w:t xml:space="preserve"> has been held constant at 15% of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7061E9">
        <w:t xml:space="preserve">values above 35. </w:t>
      </w:r>
      <w:r w:rsidR="009B704E">
        <w:t xml:space="preserve">A) Expected </w:t>
      </w:r>
      <w:r w:rsidR="007061E9">
        <w:t xml:space="preserve">PPA </w:t>
      </w:r>
      <w:r w:rsidR="009B704E">
        <w:t>between pooled and individual testing at pool sizes from 1-20</w:t>
      </w:r>
      <w:r w:rsidR="00966988">
        <w:t>. PPA decreases with decreasing proportion of tests positive (indicated by colored lines in each plot) and increases with increased analyti</w:t>
      </w:r>
      <w:r w:rsidR="00501700">
        <w:t>cal sensitivity (each panel).</w:t>
      </w:r>
      <w:r w:rsidR="00966988">
        <w:rPr>
          <w:rFonts w:cs="Arial"/>
          <w:bCs/>
        </w:rPr>
        <w:t xml:space="preserve"> </w:t>
      </w:r>
      <w:r w:rsidR="00AA19E6">
        <w:rPr>
          <w:rFonts w:cs="Arial"/>
          <w:bCs/>
        </w:rPr>
        <w:t xml:space="preserve">This occurs because the proportion of individuals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AA19E6">
        <w:rPr>
          <w:rFonts w:cs="Arial"/>
          <w:bCs/>
        </w:rPr>
        <w:t xml:space="preserve">value above each </w:t>
      </w:r>
      <w:proofErr w:type="spellStart"/>
      <w:r w:rsidR="00AA19E6">
        <w:rPr>
          <w:rFonts w:cs="Arial"/>
          <w:bCs/>
        </w:rPr>
        <w:t>LoD</w:t>
      </w:r>
      <w:proofErr w:type="spellEnd"/>
      <w:r w:rsidR="00AA19E6">
        <w:rPr>
          <w:rFonts w:cs="Arial"/>
          <w:bCs/>
        </w:rPr>
        <w:t xml:space="preserve"> decreases as the Ct </w:t>
      </w:r>
      <w:proofErr w:type="spellStart"/>
      <w:r w:rsidR="00AA19E6">
        <w:rPr>
          <w:rFonts w:cs="Arial"/>
          <w:bCs/>
        </w:rPr>
        <w:t>LoD</w:t>
      </w:r>
      <w:proofErr w:type="spellEnd"/>
      <w:r w:rsidR="00AA19E6">
        <w:rPr>
          <w:rFonts w:cs="Arial"/>
          <w:bCs/>
        </w:rPr>
        <w:t xml:space="preserve"> increases. </w:t>
      </w:r>
      <w:r w:rsidR="009B704E">
        <w:rPr>
          <w:bCs/>
        </w:rPr>
        <w:t xml:space="preserve">B) </w:t>
      </w:r>
      <w:r w:rsidR="000B3275">
        <w:rPr>
          <w:bCs/>
        </w:rPr>
        <w:t xml:space="preserve">Estimated average tests per sample that would be performed at each pool size, with a lower number of average tests per sample corresponding to higher testing efficiency. </w:t>
      </w:r>
      <w:r w:rsidR="009B704E">
        <w:rPr>
          <w:bCs/>
        </w:rPr>
        <w:t xml:space="preserve">Efficiency increases with decreasing proportion of tests positive, </w:t>
      </w:r>
      <w:r w:rsidR="00966988">
        <w:rPr>
          <w:bCs/>
        </w:rPr>
        <w:t>and slightly decreases with increased analytical sensitivity, as more pools detected results in an increased number of individual tests performed at the deconvolution step.</w:t>
      </w:r>
    </w:p>
    <w:p w14:paraId="2DF6C456" w14:textId="77777777" w:rsidR="00C6158A" w:rsidRDefault="00C6158A" w:rsidP="00C6158A">
      <w:pPr>
        <w:spacing w:line="480" w:lineRule="auto"/>
      </w:pPr>
    </w:p>
    <w:p w14:paraId="4CEC4599" w14:textId="272932DB" w:rsidR="00C6158A" w:rsidRDefault="00C6158A" w:rsidP="00814D6B">
      <w:pPr>
        <w:spacing w:line="480" w:lineRule="auto"/>
        <w:rPr>
          <w:bCs/>
        </w:rPr>
      </w:pPr>
      <w:r w:rsidRPr="007E18A2">
        <w:rPr>
          <w:b/>
        </w:rPr>
        <w:t>Figure 5.</w:t>
      </w:r>
      <w:r>
        <w:t xml:space="preserve"> </w:t>
      </w:r>
      <w:r w:rsidR="00630547">
        <w:t xml:space="preserve">Empiric and modeled estimates of positive percent agreement (PPA) with 95% confidence intervals </w:t>
      </w:r>
      <w:r w:rsidR="00BC1B51">
        <w:t xml:space="preserve">(CI) </w:t>
      </w:r>
      <w:r w:rsidR="00630547">
        <w:t xml:space="preserve">for </w:t>
      </w:r>
      <w:r w:rsidR="00BC1B51">
        <w:t xml:space="preserve">each pool size, testing platform, and sample type (all vs. first initial diagnostic vs. follow-up). The black circles represent the empiric PPA point estimates, </w:t>
      </w:r>
      <w:r w:rsidR="00433396">
        <w:t>and</w:t>
      </w:r>
      <w:r w:rsidR="00BC1B51">
        <w:t xml:space="preserve"> colored horizontal bars </w:t>
      </w:r>
      <w:r w:rsidR="00433396">
        <w:t>indicate</w:t>
      </w:r>
      <w:r w:rsidR="00BC1B51">
        <w:t xml:space="preserve"> the 95% CI. </w:t>
      </w:r>
      <w:r w:rsidR="00433396">
        <w:t xml:space="preserve">The 95% CI for the </w:t>
      </w:r>
      <w:proofErr w:type="gramStart"/>
      <w:r w:rsidR="00433396">
        <w:t>in silico</w:t>
      </w:r>
      <w:proofErr w:type="gramEnd"/>
      <w:r w:rsidR="00433396">
        <w:t xml:space="preserve"> data are too narrow to be visible in this plot. </w:t>
      </w:r>
      <w:r w:rsidR="00BC1B51">
        <w:t xml:space="preserve">The grey boxplots represent the modeled estimate of PPA, with vertical black line indicating the modeled </w:t>
      </w:r>
      <w:r w:rsidR="00BC1B51">
        <w:lastRenderedPageBreak/>
        <w:t>PPA point estimate, and grey box marking the 95% CI of the probabilistic sensitivity analysis. No modeled estimates are available for Panther Aptima because this is a transcription mediated amplification assay</w:t>
      </w:r>
      <w:r w:rsidR="00433396">
        <w:t>, and the model is based on dilutional effects inherent to real</w:t>
      </w:r>
      <w:r w:rsidR="000B3275">
        <w:t>-</w:t>
      </w:r>
      <w:r w:rsidR="00433396">
        <w:t>time PCR only. The empiric 95% confidence intervals contain the modeled PPA point estimates for all conditions except for “pools of 8 follow-up tests only” and the “in silico” data.</w:t>
      </w:r>
      <w:r w:rsidR="009F50B1">
        <w:t xml:space="preserve"> The data used to </w:t>
      </w:r>
      <w:r w:rsidR="00D41357">
        <w:t xml:space="preserve">generate this figure is provided in Appendix Table </w:t>
      </w:r>
      <w:r w:rsidR="000B3275">
        <w:t>3</w:t>
      </w:r>
      <w:r w:rsidR="00D41357">
        <w:t>.</w:t>
      </w:r>
    </w:p>
    <w:p w14:paraId="07E1F1AE" w14:textId="49A65286" w:rsidR="003C24DC" w:rsidRDefault="003C24DC">
      <w:r>
        <w:br w:type="page"/>
      </w:r>
    </w:p>
    <w:p w14:paraId="1A9A71FD" w14:textId="565DA00D" w:rsidR="00667A33" w:rsidRDefault="00667A33" w:rsidP="00814D6B">
      <w:pPr>
        <w:spacing w:line="480" w:lineRule="auto"/>
        <w:rPr>
          <w:b/>
        </w:rPr>
      </w:pPr>
      <w:r>
        <w:rPr>
          <w:b/>
        </w:rPr>
        <w:lastRenderedPageBreak/>
        <w:t xml:space="preserve">Technical </w:t>
      </w:r>
      <w:r w:rsidR="00BE223E" w:rsidRPr="00F00EC8">
        <w:rPr>
          <w:b/>
        </w:rPr>
        <w:t>Appendix</w:t>
      </w:r>
    </w:p>
    <w:p w14:paraId="0CA44AE2" w14:textId="39F2FCF7" w:rsidR="0036245F" w:rsidRDefault="0036245F" w:rsidP="00814D6B">
      <w:pPr>
        <w:spacing w:line="480" w:lineRule="auto"/>
      </w:pPr>
    </w:p>
    <w:p w14:paraId="582FE2D2" w14:textId="4FFAF4D4" w:rsidR="00363C87" w:rsidRPr="00814D6B" w:rsidRDefault="00363C87" w:rsidP="00363C87">
      <w:pPr>
        <w:spacing w:line="480" w:lineRule="auto"/>
        <w:rPr>
          <w:bCs/>
        </w:rPr>
      </w:pPr>
      <w:r>
        <w:rPr>
          <w:bCs/>
        </w:rPr>
        <w:t xml:space="preserve">Assay Comparisons for Pools of </w:t>
      </w:r>
      <w:r w:rsidR="001214DA">
        <w:rPr>
          <w:bCs/>
        </w:rPr>
        <w:t>4</w:t>
      </w:r>
    </w:p>
    <w:p w14:paraId="401D68C2" w14:textId="59E690EA" w:rsidR="00363C87" w:rsidRDefault="00363C87" w:rsidP="0005248C">
      <w:pPr>
        <w:spacing w:line="480" w:lineRule="auto"/>
        <w:ind w:firstLine="720"/>
      </w:pPr>
      <w:r>
        <w:t xml:space="preserve">To evaluate a pool size of </w:t>
      </w:r>
      <w:r w:rsidR="001214DA">
        <w:t>4</w:t>
      </w:r>
      <w:r>
        <w:t xml:space="preserve">, a total of 192 pools from 768 unique samples </w:t>
      </w:r>
      <w:r w:rsidRPr="006F1059">
        <w:t xml:space="preserve">were tested on three different </w:t>
      </w:r>
      <w:r>
        <w:t xml:space="preserve">NAAT </w:t>
      </w:r>
      <w:r w:rsidRPr="006F1059">
        <w:t>platforms</w:t>
      </w:r>
      <w:r>
        <w:t xml:space="preserve"> (Table 1)</w:t>
      </w:r>
      <w:r w:rsidRPr="006F1059">
        <w:t xml:space="preserve">. </w:t>
      </w:r>
      <w:r w:rsidR="0005248C">
        <w:t xml:space="preserve">Due to unforeseen logistical considerations, 56 of the 192 pools were </w:t>
      </w:r>
      <w:r w:rsidR="00224E1A">
        <w:t xml:space="preserve">tested only by LDT and Panther Aptima, but </w:t>
      </w:r>
      <w:r w:rsidR="0005248C">
        <w:t>not tested by Panther Fusion</w:t>
      </w:r>
      <w:r w:rsidR="00224E1A">
        <w:t xml:space="preserve">. The remaining </w:t>
      </w:r>
      <w:r w:rsidR="0005248C">
        <w:t>13</w:t>
      </w:r>
      <w:r w:rsidR="00224E1A">
        <w:t>6</w:t>
      </w:r>
      <w:r w:rsidR="0005248C">
        <w:t xml:space="preserve"> pools </w:t>
      </w:r>
      <w:r w:rsidR="00224E1A">
        <w:t>were tested by all three methods</w:t>
      </w:r>
      <w:r w:rsidR="0005248C">
        <w:t xml:space="preserve">. </w:t>
      </w:r>
      <w:r>
        <w:t>Among the 768 individual samples, 38 (4.9%) were positive, with a median C</w:t>
      </w:r>
      <w:r w:rsidRPr="00716A4B">
        <w:rPr>
          <w:vertAlign w:val="subscript"/>
        </w:rPr>
        <w:t>t</w:t>
      </w:r>
      <w:r>
        <w:t xml:space="preserve"> value of </w:t>
      </w:r>
      <w:r w:rsidRPr="00363C87">
        <w:t>29.3 (</w:t>
      </w:r>
      <w:r>
        <w:t xml:space="preserve">95% CI </w:t>
      </w:r>
      <w:r w:rsidRPr="00363C87">
        <w:t>20.3-33.9)</w:t>
      </w:r>
      <w:r>
        <w:t xml:space="preserve">. </w:t>
      </w:r>
      <w:r w:rsidR="00DE7440">
        <w:t xml:space="preserve">First-time diagnostic samples had higher median </w:t>
      </w:r>
      <w:r w:rsidR="007E0BC9">
        <w:t>C</w:t>
      </w:r>
      <w:r w:rsidR="007E0BC9" w:rsidRPr="00716A4B">
        <w:rPr>
          <w:vertAlign w:val="subscript"/>
        </w:rPr>
        <w:t>t</w:t>
      </w:r>
      <w:r w:rsidR="00DE7440">
        <w:t xml:space="preserve"> values than follow-up </w:t>
      </w:r>
      <w:r w:rsidR="007E0BC9">
        <w:t>tests</w:t>
      </w:r>
      <w:r w:rsidR="00DE7440">
        <w:t xml:space="preserve"> </w:t>
      </w:r>
      <w:r w:rsidR="00492F59">
        <w:t>(Table 2)</w:t>
      </w:r>
      <w:r w:rsidR="007E0BC9">
        <w:t>.</w:t>
      </w:r>
    </w:p>
    <w:p w14:paraId="54E36760" w14:textId="1EE9152A" w:rsidR="00454162" w:rsidRDefault="00363C87" w:rsidP="00454162">
      <w:pPr>
        <w:spacing w:line="480" w:lineRule="auto"/>
        <w:ind w:firstLine="720"/>
      </w:pPr>
      <w:r>
        <w:t>Among</w:t>
      </w:r>
      <w:r w:rsidRPr="006F1059">
        <w:t xml:space="preserve"> the tested </w:t>
      </w:r>
      <w:r>
        <w:t xml:space="preserve">pools of </w:t>
      </w:r>
      <w:r w:rsidR="001214DA">
        <w:t>4</w:t>
      </w:r>
      <w:r w:rsidRPr="006F1059">
        <w:t xml:space="preserve">, </w:t>
      </w:r>
      <w:r w:rsidR="007E0BC9">
        <w:t>18.2</w:t>
      </w:r>
      <w:r w:rsidRPr="006F1059">
        <w:t>% (</w:t>
      </w:r>
      <w:r w:rsidR="007E0BC9">
        <w:t>35</w:t>
      </w:r>
      <w:r w:rsidRPr="006F1059">
        <w:t>/1</w:t>
      </w:r>
      <w:r w:rsidR="007E0BC9">
        <w:t>92</w:t>
      </w:r>
      <w:r w:rsidRPr="006F1059">
        <w:t xml:space="preserve">) contained at least one positive sample. The positive pools were comprised of </w:t>
      </w:r>
      <w:r w:rsidR="007E0BC9">
        <w:t>32</w:t>
      </w:r>
      <w:r w:rsidRPr="006F1059">
        <w:t xml:space="preserve"> pools with one positive sample, </w:t>
      </w:r>
      <w:r w:rsidR="007E0BC9">
        <w:t>and 3</w:t>
      </w:r>
      <w:r w:rsidRPr="006F1059">
        <w:t xml:space="preserve"> pools with two positive samples</w:t>
      </w:r>
      <w:r w:rsidR="007E0BC9">
        <w:t xml:space="preserve"> </w:t>
      </w:r>
      <w:r w:rsidRPr="006F1059">
        <w:t>(</w:t>
      </w:r>
      <w:r w:rsidR="007E0BC9">
        <w:t xml:space="preserve">Appendix </w:t>
      </w:r>
      <w:r w:rsidRPr="006F1059">
        <w:t xml:space="preserve">Table 2). There were </w:t>
      </w:r>
      <w:r w:rsidR="00224E1A">
        <w:t>no</w:t>
      </w:r>
      <w:r w:rsidRPr="006F1059">
        <w:t xml:space="preserve"> false positive pools. The overall </w:t>
      </w:r>
      <w:r>
        <w:t>PPA</w:t>
      </w:r>
      <w:r w:rsidRPr="006F1059">
        <w:t xml:space="preserve"> of pooled testing ranged from </w:t>
      </w:r>
      <w:r w:rsidR="00224E1A">
        <w:t>82.9</w:t>
      </w:r>
      <w:r w:rsidRPr="006F1059">
        <w:t xml:space="preserve">% to </w:t>
      </w:r>
      <w:r w:rsidR="00224E1A">
        <w:t>100</w:t>
      </w:r>
      <w:r w:rsidRPr="006F1059">
        <w:t>%</w:t>
      </w:r>
      <w:r w:rsidR="00224E1A">
        <w:t xml:space="preserve"> </w:t>
      </w:r>
      <w:r w:rsidRPr="006F1059">
        <w:t>(Table 3).</w:t>
      </w:r>
      <w:r w:rsidR="00454162">
        <w:t xml:space="preserve"> The 26 pools containing positive first-time diagnostic samples had higher PPA than the 9 pools containing positive follow-up tests </w:t>
      </w:r>
      <w:r w:rsidR="00CB337B">
        <w:t xml:space="preserve">by LDT </w:t>
      </w:r>
      <w:r w:rsidR="00454162">
        <w:t>(Appendix Table 3).</w:t>
      </w:r>
    </w:p>
    <w:p w14:paraId="2A03071F" w14:textId="08A097B4" w:rsidR="00363C87" w:rsidRDefault="00363C87" w:rsidP="00CB337B">
      <w:pPr>
        <w:spacing w:line="480" w:lineRule="auto"/>
        <w:ind w:firstLine="720"/>
        <w:rPr>
          <w:rFonts w:eastAsia="Arial"/>
        </w:rPr>
      </w:pPr>
      <w:r w:rsidRPr="006F1059">
        <w:rPr>
          <w:rFonts w:eastAsia="Arial"/>
        </w:rPr>
        <w:t xml:space="preserve">There were </w:t>
      </w:r>
      <w:r w:rsidR="00224E1A">
        <w:rPr>
          <w:rFonts w:eastAsia="Arial"/>
        </w:rPr>
        <w:t>6</w:t>
      </w:r>
      <w:r w:rsidRPr="006F1059">
        <w:rPr>
          <w:rFonts w:eastAsia="Arial"/>
        </w:rPr>
        <w:t xml:space="preserve"> total pools for which at least one method was falsely negative</w:t>
      </w:r>
      <w:r w:rsidR="00224E1A">
        <w:rPr>
          <w:rFonts w:eastAsia="Arial"/>
        </w:rPr>
        <w:t>, all of which contained only a single positive specimen.</w:t>
      </w:r>
      <w:r w:rsidRPr="006F1059">
        <w:rPr>
          <w:rFonts w:eastAsia="Arial"/>
        </w:rPr>
        <w:t xml:space="preserve"> </w:t>
      </w:r>
      <w:r w:rsidR="00367573">
        <w:rPr>
          <w:rFonts w:eastAsia="Arial"/>
        </w:rPr>
        <w:t xml:space="preserve">Each of these 6 specimens had an individual </w:t>
      </w:r>
      <w:r w:rsidR="00367573" w:rsidRPr="006F1059">
        <w:t>C</w:t>
      </w:r>
      <w:r w:rsidR="00367573" w:rsidRPr="006F1059">
        <w:rPr>
          <w:vertAlign w:val="subscript"/>
        </w:rPr>
        <w:t>t</w:t>
      </w:r>
      <w:r w:rsidR="00367573">
        <w:rPr>
          <w:rFonts w:eastAsia="Arial"/>
        </w:rPr>
        <w:t xml:space="preserve"> value greater than 34 cycles </w:t>
      </w:r>
      <w:r w:rsidR="00367573" w:rsidRPr="006F1059">
        <w:rPr>
          <w:rFonts w:eastAsia="Arial"/>
        </w:rPr>
        <w:t>(median 3</w:t>
      </w:r>
      <w:r w:rsidR="00367573">
        <w:rPr>
          <w:rFonts w:eastAsia="Arial"/>
        </w:rPr>
        <w:t>6.4</w:t>
      </w:r>
      <w:r w:rsidR="00367573" w:rsidRPr="006F1059">
        <w:rPr>
          <w:rFonts w:eastAsia="Arial"/>
        </w:rPr>
        <w:t xml:space="preserve">, IQR </w:t>
      </w:r>
      <w:r w:rsidR="00367573">
        <w:rPr>
          <w:rFonts w:eastAsia="Arial"/>
        </w:rPr>
        <w:t xml:space="preserve">34.6-37.5). </w:t>
      </w:r>
      <w:r w:rsidR="000D20BD" w:rsidRPr="000D20BD">
        <w:rPr>
          <w:rFonts w:eastAsia="Arial"/>
        </w:rPr>
        <w:t>Among individual positive specimens in the pools of 4 dataset, 10 (26.3%) had Ct&gt;34. For the LDT, Panther Fusion, Panther Aptima-M, and Panther Aptima-350, 2/10 (20.0%), 0/6 (0.0%, 4 samples were not subjected to pooled testing), 6/10 (60.0%), and 4/10 (40.0%) were falsely negative.</w:t>
      </w:r>
      <w:r w:rsidR="00367573">
        <w:rPr>
          <w:rFonts w:eastAsia="Arial"/>
        </w:rPr>
        <w:t xml:space="preserve"> </w:t>
      </w:r>
      <w:r w:rsidR="008D4B18">
        <w:rPr>
          <w:rFonts w:eastAsia="Arial"/>
        </w:rPr>
        <w:t>Four samples were first-time diagnostic specimens in individuals who were either symptomatic or had suspected exposures; the other 2 were follow-up tests in individuals with a prior diagnosis of COVID-19.</w:t>
      </w:r>
    </w:p>
    <w:p w14:paraId="7CEDF084" w14:textId="77777777" w:rsidR="008D4B18" w:rsidRPr="00DE700A" w:rsidRDefault="008D4B18" w:rsidP="00DE700A">
      <w:pPr>
        <w:spacing w:line="480" w:lineRule="auto"/>
        <w:ind w:firstLine="720"/>
        <w:rPr>
          <w:rFonts w:eastAsia="Arial"/>
        </w:rPr>
      </w:pPr>
    </w:p>
    <w:p w14:paraId="51350109" w14:textId="4813B2E4" w:rsidR="00363C87" w:rsidRPr="006F1059" w:rsidRDefault="00363C87" w:rsidP="00363C87">
      <w:pPr>
        <w:spacing w:line="480" w:lineRule="auto"/>
      </w:pPr>
      <w:r>
        <w:t xml:space="preserve">Linearity Studies for Pools of </w:t>
      </w:r>
      <w:r w:rsidR="001214DA">
        <w:t>4</w:t>
      </w:r>
    </w:p>
    <w:p w14:paraId="0D10378D" w14:textId="3726C146" w:rsidR="00667A33" w:rsidRDefault="00363C87" w:rsidP="008D4B18">
      <w:pPr>
        <w:spacing w:line="480" w:lineRule="auto"/>
        <w:ind w:firstLine="720"/>
      </w:pPr>
      <w:r w:rsidRPr="006F1059">
        <w:lastRenderedPageBreak/>
        <w:t xml:space="preserve">For pools containing only a single positive sample, the pooled </w:t>
      </w:r>
      <w:r w:rsidR="008D4B18">
        <w:t>Panther Fusion assay</w:t>
      </w:r>
      <w:r w:rsidRPr="006F1059">
        <w:t xml:space="preserve"> showed positive system</w:t>
      </w:r>
      <w:r w:rsidR="002E7D13">
        <w:t>at</w:t>
      </w:r>
      <w:r w:rsidRPr="006F1059">
        <w:t>ic bias when compared to the individual</w:t>
      </w:r>
      <w:r w:rsidRPr="001C3113">
        <w:rPr>
          <w:i/>
        </w:rPr>
        <w:t xml:space="preserve"> </w:t>
      </w:r>
      <w:r w:rsidRPr="006F1059">
        <w:t>LDT assay</w:t>
      </w:r>
      <w:r>
        <w:t>, as evidenced by the Passing-Bablok regression intercept value being greater than zero</w:t>
      </w:r>
      <w:r w:rsidRPr="006F1059">
        <w:t>. By</w:t>
      </w:r>
      <w:r w:rsidRPr="001C3113">
        <w:rPr>
          <w:i/>
        </w:rPr>
        <w:t xml:space="preserve"> </w:t>
      </w:r>
      <w:r w:rsidRPr="006F1059">
        <w:t xml:space="preserve">LDT, pools resulted an average of </w:t>
      </w:r>
      <w:r w:rsidR="008D4B18">
        <w:t>2.2</w:t>
      </w:r>
      <w:r w:rsidRPr="006F1059">
        <w:t xml:space="preserve"> cycles (95% limits of agreement </w:t>
      </w:r>
      <w:r w:rsidR="008D4B18">
        <w:t>0.6-3.9</w:t>
      </w:r>
      <w:r w:rsidRPr="006F1059">
        <w:t>, p&lt;0.001) later than the individual positive samples (</w:t>
      </w:r>
      <w:r w:rsidR="008D4B18">
        <w:t xml:space="preserve">Appendix </w:t>
      </w:r>
      <w:r w:rsidRPr="006F1059">
        <w:t xml:space="preserve">Figure </w:t>
      </w:r>
      <w:r w:rsidR="008D4B18">
        <w:t>3</w:t>
      </w:r>
      <w:r w:rsidRPr="006F1059">
        <w:t>A</w:t>
      </w:r>
      <w:r>
        <w:t xml:space="preserve">, </w:t>
      </w:r>
      <w:r w:rsidR="008D4B18">
        <w:t>3</w:t>
      </w:r>
      <w:r>
        <w:t>B</w:t>
      </w:r>
      <w:r w:rsidRPr="006F1059">
        <w:t xml:space="preserve">). By Panther Fusion, pools resulted an average of </w:t>
      </w:r>
      <w:r w:rsidR="008D4B18">
        <w:t>3.1</w:t>
      </w:r>
      <w:r w:rsidRPr="006F1059">
        <w:t xml:space="preserve"> cycles (0.</w:t>
      </w:r>
      <w:r w:rsidR="008D4B18">
        <w:t>8-5.3</w:t>
      </w:r>
      <w:r w:rsidRPr="006F1059">
        <w:t>, p&lt;0.001) later than the individual positive samples (</w:t>
      </w:r>
      <w:r w:rsidR="000B3275">
        <w:t xml:space="preserve">Appendix </w:t>
      </w:r>
      <w:r w:rsidRPr="006F1059">
        <w:t xml:space="preserve">Figure </w:t>
      </w:r>
      <w:r w:rsidR="008D4B18">
        <w:t>3</w:t>
      </w:r>
      <w:r>
        <w:t xml:space="preserve">C, </w:t>
      </w:r>
      <w:r w:rsidR="008D4B18">
        <w:t>3</w:t>
      </w:r>
      <w:r>
        <w:t>D</w:t>
      </w:r>
      <w:r w:rsidRPr="006F1059">
        <w:t xml:space="preserve">). Pools resulted an average of </w:t>
      </w:r>
      <w:r w:rsidR="007401DE">
        <w:t>0.73</w:t>
      </w:r>
      <w:r w:rsidRPr="006F1059">
        <w:t xml:space="preserve"> cycles (</w:t>
      </w:r>
      <w:r w:rsidR="007401DE">
        <w:t>-1.06-2.53</w:t>
      </w:r>
      <w:r w:rsidRPr="006F1059">
        <w:t>, p&lt;0.001) later on Panther Fusion when compared to</w:t>
      </w:r>
      <w:r w:rsidRPr="001C3113">
        <w:rPr>
          <w:i/>
        </w:rPr>
        <w:t xml:space="preserve"> </w:t>
      </w:r>
      <w:r>
        <w:rPr>
          <w:iCs/>
        </w:rPr>
        <w:t>the</w:t>
      </w:r>
      <w:r>
        <w:t xml:space="preserve"> LDT (</w:t>
      </w:r>
      <w:r w:rsidR="000B3275">
        <w:t xml:space="preserve">Appendix </w:t>
      </w:r>
      <w:r>
        <w:t xml:space="preserve">Figure </w:t>
      </w:r>
      <w:r w:rsidR="007401DE">
        <w:t>3</w:t>
      </w:r>
      <w:r>
        <w:t xml:space="preserve">E, </w:t>
      </w:r>
      <w:r w:rsidR="007401DE">
        <w:t>3</w:t>
      </w:r>
      <w:r>
        <w:t>F</w:t>
      </w:r>
      <w:r w:rsidRPr="006F1059">
        <w:t xml:space="preserve">). </w:t>
      </w:r>
      <w:r w:rsidR="007401DE">
        <w:t xml:space="preserve">There was minimal proportional bias among the three assays, although </w:t>
      </w:r>
      <w:r w:rsidR="001C04C7">
        <w:t xml:space="preserve">the 95% confidence intervals </w:t>
      </w:r>
      <w:r w:rsidR="009521FC">
        <w:t xml:space="preserve">for the Passing-Bablok regression slope </w:t>
      </w:r>
      <w:r w:rsidR="001C04C7">
        <w:t xml:space="preserve">for individual LDT versus pooled LDT, and for pooled LDT versus pooled Panther Fusion </w:t>
      </w:r>
      <w:r w:rsidR="009521FC">
        <w:t>do</w:t>
      </w:r>
      <w:r w:rsidR="001C04C7">
        <w:t xml:space="preserve"> not contain 1</w:t>
      </w:r>
      <w:r w:rsidR="009521FC">
        <w:t>. This indicates</w:t>
      </w:r>
      <w:r w:rsidR="001C04C7">
        <w:t xml:space="preserve"> slight positive and negative proportional biases respectively. </w:t>
      </w:r>
      <w:r w:rsidR="009521FC">
        <w:t>The proportional bias</w:t>
      </w:r>
      <w:r w:rsidR="001C04C7">
        <w:t xml:space="preserve"> is additionally highlighted in the Bland-Altman plots, which demonstrate that at higher C</w:t>
      </w:r>
      <w:r w:rsidR="001C04C7" w:rsidRPr="00DE700A">
        <w:rPr>
          <w:vertAlign w:val="subscript"/>
        </w:rPr>
        <w:t>t</w:t>
      </w:r>
      <w:r w:rsidR="001C04C7">
        <w:t xml:space="preserve"> values, Panther Fusion outperforms the LDT.</w:t>
      </w:r>
    </w:p>
    <w:p w14:paraId="665126D9" w14:textId="16ADD8E9" w:rsidR="00F7475E" w:rsidRDefault="00F7475E" w:rsidP="00F7475E">
      <w:pPr>
        <w:spacing w:line="480" w:lineRule="auto"/>
        <w:rPr>
          <w:rFonts w:eastAsia="Arial"/>
        </w:rPr>
      </w:pPr>
    </w:p>
    <w:p w14:paraId="4B8BFBA3" w14:textId="77777777" w:rsidR="00467C59" w:rsidRDefault="00467C59" w:rsidP="00467C59">
      <w:pPr>
        <w:spacing w:line="480" w:lineRule="auto"/>
      </w:pPr>
      <w:r>
        <w:t xml:space="preserve">External </w:t>
      </w:r>
      <w:proofErr w:type="gramStart"/>
      <w:r>
        <w:t>In</w:t>
      </w:r>
      <w:proofErr w:type="gramEnd"/>
      <w:r>
        <w:t xml:space="preserve"> Silico Validation Data</w:t>
      </w:r>
    </w:p>
    <w:p w14:paraId="5441881C" w14:textId="0BDBEBFF" w:rsidR="00467C59" w:rsidRDefault="00467C59" w:rsidP="00A463D7">
      <w:pPr>
        <w:spacing w:line="480" w:lineRule="auto"/>
        <w:ind w:firstLine="720"/>
      </w:pPr>
      <w:r>
        <w:t xml:space="preserve">Data from an </w:t>
      </w:r>
      <w:proofErr w:type="gramStart"/>
      <w:r>
        <w:t>in silico</w:t>
      </w:r>
      <w:proofErr w:type="gramEnd"/>
      <w:r>
        <w:t xml:space="preserve"> sensitivity analysis for the Panther Fusion assay was obtained </w:t>
      </w:r>
      <w:r w:rsidRPr="00071C38">
        <w:t>(</w:t>
      </w:r>
      <w:r>
        <w:t>Hologic</w:t>
      </w:r>
      <w:r w:rsidR="000B3275">
        <w:t xml:space="preserve"> Inc.</w:t>
      </w:r>
      <w:r>
        <w:t>,</w:t>
      </w:r>
      <w:r w:rsidRPr="00071C38">
        <w:t xml:space="preserve"> pers. comm.)</w:t>
      </w:r>
      <w:r>
        <w:t xml:space="preserve"> to validate our model. The data include a total of 52,272 SARS-CoV-2 tests performed from March through July 2020 at two external sites with an average prevalence of 19.1% (Table 2), and 13.0% of positive specimens with a C</w:t>
      </w:r>
      <w:r w:rsidRPr="00DB1421">
        <w:rPr>
          <w:rFonts w:cs="Arial"/>
          <w:bCs/>
          <w:vertAlign w:val="subscript"/>
        </w:rPr>
        <w:t>t</w:t>
      </w:r>
      <w:r>
        <w:t xml:space="preserve"> above that corresponding to the limit of detection of 35.6.</w:t>
      </w:r>
      <w:r w:rsidR="00A463D7">
        <w:t xml:space="preserve"> The </w:t>
      </w:r>
      <w:proofErr w:type="gramStart"/>
      <w:r w:rsidR="00A463D7">
        <w:t>in silico</w:t>
      </w:r>
      <w:proofErr w:type="gramEnd"/>
      <w:r w:rsidR="00A463D7">
        <w:t xml:space="preserve"> sensitivity analysis was performed according to FDA recommendations by first determining the expected shift in C</w:t>
      </w:r>
      <w:r w:rsidR="00A463D7" w:rsidRPr="00DB1421">
        <w:rPr>
          <w:rFonts w:cs="Arial"/>
          <w:bCs/>
          <w:vertAlign w:val="subscript"/>
        </w:rPr>
        <w:t>t</w:t>
      </w:r>
      <w:r w:rsidR="00A463D7">
        <w:t xml:space="preserve"> values using the Passing-Bablok regression equation generated through verification testing</w:t>
      </w:r>
      <w:r w:rsidR="00597F3E">
        <w:t xml:space="preserve"> </w:t>
      </w:r>
      <w:r w:rsidR="00597F3E">
        <w:rPr>
          <w:i/>
        </w:rPr>
        <w:t>(1)</w:t>
      </w:r>
      <w:r w:rsidR="00A463D7">
        <w:t>. The expected positive percent agreement was calculated by dividing the number of specimens with a shifted C</w:t>
      </w:r>
      <w:r w:rsidR="00A463D7" w:rsidRPr="00DB1421">
        <w:rPr>
          <w:rFonts w:cs="Arial"/>
          <w:bCs/>
          <w:vertAlign w:val="subscript"/>
        </w:rPr>
        <w:t>t</w:t>
      </w:r>
      <w:r w:rsidR="00A463D7" w:rsidRPr="00DB1421">
        <w:rPr>
          <w:rFonts w:cs="Arial"/>
          <w:bCs/>
        </w:rPr>
        <w:t xml:space="preserve"> </w:t>
      </w:r>
      <w:r w:rsidR="00A463D7">
        <w:t xml:space="preserve">value beyond the cut-off of the assay. </w:t>
      </w:r>
      <w:r>
        <w:t xml:space="preserve">Pool sizes of </w:t>
      </w:r>
      <w:r w:rsidR="0036245F">
        <w:t>5</w:t>
      </w:r>
      <w:r>
        <w:t xml:space="preserve"> and </w:t>
      </w:r>
      <w:r w:rsidR="0036245F">
        <w:t>3</w:t>
      </w:r>
      <w:r>
        <w:t xml:space="preserve"> were evaluated in this manner, with </w:t>
      </w:r>
      <w:r w:rsidR="0036245F">
        <w:t>expected PPA of</w:t>
      </w:r>
      <w:r>
        <w:t xml:space="preserve"> </w:t>
      </w:r>
      <w:r w:rsidR="0036245F">
        <w:t xml:space="preserve">95.0% (94.7-95.2) and 99.9% (99.9-99.9) respectively (Appendix Table </w:t>
      </w:r>
      <w:r w:rsidR="000B3275">
        <w:t>3</w:t>
      </w:r>
      <w:r w:rsidR="0036245F">
        <w:t>).</w:t>
      </w:r>
    </w:p>
    <w:p w14:paraId="7FF6E112" w14:textId="55B6FD44" w:rsidR="00A463D7" w:rsidRDefault="00A463D7" w:rsidP="00A463D7">
      <w:pPr>
        <w:spacing w:line="480" w:lineRule="auto"/>
      </w:pPr>
    </w:p>
    <w:p w14:paraId="61B4CBC0" w14:textId="77777777" w:rsidR="00A463D7" w:rsidRPr="0067130F" w:rsidRDefault="00A463D7" w:rsidP="00A463D7">
      <w:pPr>
        <w:spacing w:line="480" w:lineRule="auto"/>
      </w:pPr>
      <w:r w:rsidRPr="0067130F">
        <w:lastRenderedPageBreak/>
        <w:t>Modeling</w:t>
      </w:r>
    </w:p>
    <w:p w14:paraId="6FF979DC" w14:textId="461E6534" w:rsidR="00A463D7" w:rsidRDefault="00A463D7" w:rsidP="00A463D7">
      <w:pPr>
        <w:spacing w:line="480" w:lineRule="auto"/>
        <w:ind w:firstLine="720"/>
      </w:pPr>
      <w:r>
        <w:t xml:space="preserve">We developed a </w:t>
      </w:r>
      <w:r w:rsidRPr="009A5508">
        <w:rPr>
          <w:highlight w:val="yellow"/>
        </w:rPr>
        <w:t>stochastic simulation model</w:t>
      </w:r>
      <w:r>
        <w:t xml:space="preserve"> to estimate PPA and efficiency for a two-stage pooled testing algorithm, based on characteristics of the underlying assay and patient population. To study the impact upon PPA and efficiency, </w:t>
      </w:r>
      <w:r w:rsidRPr="00DA76C3">
        <w:rPr>
          <w:highlight w:val="yellow"/>
        </w:rPr>
        <w:t>we varied the proportion of positive tests (</w:t>
      </w:r>
      <w:r w:rsidRPr="00DA76C3">
        <w:rPr>
          <w:i/>
          <w:iCs/>
          <w:highlight w:val="yellow"/>
        </w:rPr>
        <w:t xml:space="preserve">s: </w:t>
      </w:r>
      <w:r w:rsidRPr="00DA76C3">
        <w:rPr>
          <w:highlight w:val="yellow"/>
        </w:rPr>
        <w:t xml:space="preserve">0.1%, 1.0%, 3.0%, 5.0%, 10.0%, 15.0%), the 95% assay limit of detection </w:t>
      </w:r>
      <w:r w:rsidRPr="00DA76C3">
        <w:rPr>
          <w:rFonts w:cs="Arial"/>
          <w:bCs/>
          <w:highlight w:val="yellow"/>
        </w:rPr>
        <w:t>C</w:t>
      </w:r>
      <w:r w:rsidRPr="00DA76C3">
        <w:rPr>
          <w:rFonts w:cs="Arial"/>
          <w:bCs/>
          <w:highlight w:val="yellow"/>
          <w:vertAlign w:val="subscript"/>
        </w:rPr>
        <w:t>t</w:t>
      </w:r>
      <w:r w:rsidRPr="00DA76C3">
        <w:rPr>
          <w:highlight w:val="yellow"/>
        </w:rPr>
        <w:t xml:space="preserve"> value (</w:t>
      </w:r>
      <w:proofErr w:type="spellStart"/>
      <w:r w:rsidRPr="00DA76C3">
        <w:rPr>
          <w:highlight w:val="yellow"/>
        </w:rPr>
        <w:t>LoD</w:t>
      </w:r>
      <w:proofErr w:type="spellEnd"/>
      <w:r w:rsidRPr="00DA76C3">
        <w:rPr>
          <w:highlight w:val="yellow"/>
        </w:rPr>
        <w:t xml:space="preserve">; </w:t>
      </w:r>
      <w:r w:rsidRPr="00DA76C3">
        <w:rPr>
          <w:i/>
          <w:iCs/>
          <w:highlight w:val="yellow"/>
        </w:rPr>
        <w:t xml:space="preserve">l: </w:t>
      </w:r>
      <w:r w:rsidRPr="00DA76C3">
        <w:rPr>
          <w:rFonts w:cs="Arial"/>
          <w:bCs/>
          <w:highlight w:val="yellow"/>
        </w:rPr>
        <w:t>C</w:t>
      </w:r>
      <w:r w:rsidRPr="00DA76C3">
        <w:rPr>
          <w:rFonts w:cs="Arial"/>
          <w:bCs/>
          <w:highlight w:val="yellow"/>
          <w:vertAlign w:val="subscript"/>
        </w:rPr>
        <w:t>t</w:t>
      </w:r>
      <w:r w:rsidRPr="00DA76C3">
        <w:rPr>
          <w:rFonts w:cs="Arial"/>
          <w:bCs/>
          <w:highlight w:val="yellow"/>
        </w:rPr>
        <w:t xml:space="preserve"> </w:t>
      </w:r>
      <w:r w:rsidRPr="00DA76C3">
        <w:rPr>
          <w:highlight w:val="yellow"/>
        </w:rPr>
        <w:t xml:space="preserve">corresponding to 95% detection: 32-40), the percentage of </w:t>
      </w:r>
      <w:r w:rsidR="00A76852" w:rsidRPr="00DA76C3">
        <w:rPr>
          <w:highlight w:val="yellow"/>
        </w:rPr>
        <w:t xml:space="preserve">individual </w:t>
      </w:r>
      <w:r w:rsidRPr="00DA76C3">
        <w:rPr>
          <w:highlight w:val="yellow"/>
        </w:rPr>
        <w:t xml:space="preserve">amplified </w:t>
      </w:r>
      <w:r w:rsidRPr="00DA76C3">
        <w:rPr>
          <w:rFonts w:cs="Arial"/>
          <w:bCs/>
          <w:highlight w:val="yellow"/>
        </w:rPr>
        <w:t>C</w:t>
      </w:r>
      <w:r w:rsidRPr="00DA76C3">
        <w:rPr>
          <w:rFonts w:cs="Arial"/>
          <w:bCs/>
          <w:highlight w:val="yellow"/>
          <w:vertAlign w:val="subscript"/>
        </w:rPr>
        <w:t>t</w:t>
      </w:r>
      <w:r w:rsidRPr="00DA76C3">
        <w:rPr>
          <w:rFonts w:cs="Arial"/>
          <w:bCs/>
          <w:highlight w:val="yellow"/>
        </w:rPr>
        <w:t xml:space="preserve"> </w:t>
      </w:r>
      <w:r w:rsidRPr="00DA76C3">
        <w:rPr>
          <w:highlight w:val="yellow"/>
        </w:rPr>
        <w:t xml:space="preserve">values above the </w:t>
      </w:r>
      <w:proofErr w:type="spellStart"/>
      <w:r w:rsidRPr="00DA76C3">
        <w:rPr>
          <w:highlight w:val="yellow"/>
        </w:rPr>
        <w:t>LoD</w:t>
      </w:r>
      <w:proofErr w:type="spellEnd"/>
      <w:r w:rsidRPr="00DA76C3">
        <w:rPr>
          <w:highlight w:val="yellow"/>
        </w:rPr>
        <w:t xml:space="preserve"> (</w:t>
      </w:r>
      <w:r w:rsidRPr="00DA76C3">
        <w:rPr>
          <w:i/>
          <w:iCs/>
          <w:highlight w:val="yellow"/>
        </w:rPr>
        <w:t xml:space="preserve">x: </w:t>
      </w:r>
      <w:r w:rsidRPr="00DA76C3">
        <w:rPr>
          <w:highlight w:val="yellow"/>
        </w:rPr>
        <w:t>5.0%, 10.0%, 15.0%, 20.0%, 25.0%, 30.0%), and pool size (</w:t>
      </w:r>
      <w:r w:rsidRPr="00DA76C3">
        <w:rPr>
          <w:i/>
          <w:iCs/>
          <w:highlight w:val="yellow"/>
        </w:rPr>
        <w:t xml:space="preserve">p: </w:t>
      </w:r>
      <w:r w:rsidRPr="00DA76C3">
        <w:rPr>
          <w:highlight w:val="yellow"/>
        </w:rPr>
        <w:t>1-20).</w:t>
      </w:r>
    </w:p>
    <w:p w14:paraId="50C4E974" w14:textId="26ACB9EA" w:rsidR="00A463D7" w:rsidRDefault="00A463D7" w:rsidP="00A463D7">
      <w:pPr>
        <w:spacing w:line="480" w:lineRule="auto"/>
        <w:ind w:firstLine="720"/>
      </w:pPr>
      <w:r w:rsidRPr="00897CF7">
        <w:t xml:space="preserve">We fit the </w:t>
      </w:r>
      <w:r w:rsidR="00CC1209" w:rsidRPr="00DB1421">
        <w:rPr>
          <w:rFonts w:cs="Arial"/>
          <w:bCs/>
        </w:rPr>
        <w:t>C</w:t>
      </w:r>
      <w:r w:rsidR="00CC1209" w:rsidRPr="00DB1421">
        <w:rPr>
          <w:rFonts w:cs="Arial"/>
          <w:bCs/>
          <w:vertAlign w:val="subscript"/>
        </w:rPr>
        <w:t>t</w:t>
      </w:r>
      <w:r w:rsidRPr="00897CF7">
        <w:t xml:space="preserve"> values of samples positive for SARS-CoV-2 by </w:t>
      </w:r>
      <w:proofErr w:type="spellStart"/>
      <w:r w:rsidRPr="00897CF7">
        <w:t>rRT</w:t>
      </w:r>
      <w:proofErr w:type="spellEnd"/>
      <w:r w:rsidRPr="00897CF7">
        <w:t xml:space="preserve">-PCR (n=804) received from </w:t>
      </w:r>
      <w:r w:rsidR="00A76852">
        <w:t xml:space="preserve">an independent set of </w:t>
      </w:r>
      <w:r w:rsidRPr="00897CF7">
        <w:t>unique patients undergoing testing for SARS-CoV-2 from March 1 through June 24, 2020 (n=66,070) to candidate continuous probability distributions, and selected the best-fitting distribution based on the Bayesian information criterion</w:t>
      </w:r>
      <w:r w:rsidR="00CC1209">
        <w:t xml:space="preserve"> </w:t>
      </w:r>
      <w:r w:rsidRPr="00897CF7">
        <w:t>and Kolmogorov-Smirnov statistic</w:t>
      </w:r>
      <w:r w:rsidR="00CC1209">
        <w:t xml:space="preserve"> (</w:t>
      </w:r>
      <w:r w:rsidR="00CC1209" w:rsidRPr="00CC1209">
        <w:t>0.0436</w:t>
      </w:r>
      <w:r w:rsidR="00CC1209">
        <w:t>)</w:t>
      </w:r>
      <w:r w:rsidRPr="00897CF7">
        <w:t xml:space="preserve">. </w:t>
      </w:r>
      <w:r w:rsidRPr="009A5508">
        <w:rPr>
          <w:highlight w:val="yellow"/>
        </w:rPr>
        <w:t>Because of slight negative skewness, a Weibull distribution best fit these data with shape and scale parameters of 4.55 and 29.86</w:t>
      </w:r>
      <w:r>
        <w:t xml:space="preserve"> (Appendix Figure 4)</w:t>
      </w:r>
      <w:r w:rsidRPr="00897CF7">
        <w:t xml:space="preserve">. </w:t>
      </w:r>
      <w:r w:rsidRPr="009A5508">
        <w:rPr>
          <w:highlight w:val="yellow"/>
        </w:rPr>
        <w:t xml:space="preserve">We then generated a set of random </w:t>
      </w:r>
      <w:r w:rsidRPr="009A5508">
        <w:rPr>
          <w:rFonts w:cs="Arial"/>
          <w:bCs/>
          <w:highlight w:val="yellow"/>
        </w:rPr>
        <w:t>C</w:t>
      </w:r>
      <w:r w:rsidRPr="009A5508">
        <w:rPr>
          <w:rFonts w:cs="Arial"/>
          <w:bCs/>
          <w:highlight w:val="yellow"/>
          <w:vertAlign w:val="subscript"/>
        </w:rPr>
        <w:t>t</w:t>
      </w:r>
      <w:r w:rsidRPr="009A5508">
        <w:rPr>
          <w:rFonts w:cs="Arial"/>
          <w:bCs/>
          <w:highlight w:val="yellow"/>
        </w:rPr>
        <w:t xml:space="preserve"> value</w:t>
      </w:r>
      <w:r w:rsidRPr="009A5508">
        <w:rPr>
          <w:highlight w:val="yellow"/>
        </w:rPr>
        <w:t>s by sampling 50,000 times from this distribution</w:t>
      </w:r>
      <w:r>
        <w:t xml:space="preserve">. To study differing scenarios in which a variable proportion of samples had viral loads below the </w:t>
      </w:r>
      <w:proofErr w:type="spellStart"/>
      <w:r>
        <w:t>LoD</w:t>
      </w:r>
      <w:proofErr w:type="spellEnd"/>
      <w:r>
        <w:t xml:space="preserve">, we generated additional sets of 50,000 </w:t>
      </w:r>
      <w:r w:rsidRPr="00DB1421">
        <w:rPr>
          <w:rFonts w:cs="Arial"/>
          <w:bCs/>
        </w:rPr>
        <w:t>C</w:t>
      </w:r>
      <w:r w:rsidRPr="00DB1421">
        <w:rPr>
          <w:rFonts w:cs="Arial"/>
          <w:bCs/>
          <w:vertAlign w:val="subscript"/>
        </w:rPr>
        <w:t>t</w:t>
      </w:r>
      <w:r w:rsidRPr="00DB1421">
        <w:rPr>
          <w:rFonts w:cs="Arial"/>
          <w:bCs/>
        </w:rPr>
        <w:t xml:space="preserve"> value</w:t>
      </w:r>
      <w:r>
        <w:t xml:space="preserve">s with 5-30% of values above each </w:t>
      </w:r>
      <w:proofErr w:type="spellStart"/>
      <w:r>
        <w:t>LoD</w:t>
      </w:r>
      <w:proofErr w:type="spellEnd"/>
      <w:r>
        <w:t>. For the base case, the</w:t>
      </w:r>
      <w:r w:rsidRPr="006F1059">
        <w:t xml:space="preserve"> expected C</w:t>
      </w:r>
      <w:r w:rsidRPr="006F1059">
        <w:rPr>
          <w:vertAlign w:val="subscript"/>
        </w:rPr>
        <w:t>t</w:t>
      </w:r>
      <w:r w:rsidRPr="006F1059">
        <w:rPr>
          <w:rFonts w:eastAsia="Arial"/>
        </w:rPr>
        <w:t xml:space="preserve"> value of the pool was calculated using the following equation: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sidRPr="006F1059">
        <w:rPr>
          <w:color w:val="000000"/>
        </w:rPr>
        <w:t>).</w:t>
      </w:r>
      <w:r>
        <w:t xml:space="preserve"> To model the probabilistic nature of detecting RNA at a given calculated pooled </w:t>
      </w:r>
      <w:r w:rsidRPr="00DB1421">
        <w:rPr>
          <w:rFonts w:cs="Arial"/>
          <w:bCs/>
        </w:rPr>
        <w:t>C</w:t>
      </w:r>
      <w:r w:rsidRPr="00DB1421">
        <w:rPr>
          <w:rFonts w:cs="Arial"/>
          <w:bCs/>
          <w:vertAlign w:val="subscript"/>
        </w:rPr>
        <w:t>t</w:t>
      </w:r>
      <w:r w:rsidRPr="00DB1421">
        <w:rPr>
          <w:rFonts w:cs="Arial"/>
          <w:bCs/>
        </w:rPr>
        <w:t xml:space="preserve"> value</w:t>
      </w:r>
      <w:r>
        <w:t xml:space="preserve">, we first fit a probit regression model using binary detection from an independent </w:t>
      </w:r>
      <w:proofErr w:type="spellStart"/>
      <w:r>
        <w:t>LoD</w:t>
      </w:r>
      <w:proofErr w:type="spellEnd"/>
      <w:r>
        <w:t xml:space="preserve"> experiment (100, 200, 500, 1000, 2000, 2500, 5000, 10,000</w:t>
      </w:r>
      <w:r w:rsidR="004F4CED">
        <w:t xml:space="preserve"> </w:t>
      </w:r>
      <w:r>
        <w:t>c</w:t>
      </w:r>
      <w:r w:rsidR="004F4CED">
        <w:t>opies</w:t>
      </w:r>
      <w:r>
        <w:t xml:space="preserve">/mL in replicates of 5-20). This experiment’s </w:t>
      </w:r>
      <w:proofErr w:type="spellStart"/>
      <w:r>
        <w:t>LoD</w:t>
      </w:r>
      <w:proofErr w:type="spellEnd"/>
      <w:r>
        <w:t xml:space="preserve"> and confidence interval (685</w:t>
      </w:r>
      <w:r w:rsidR="00DE700A">
        <w:t xml:space="preserve"> </w:t>
      </w:r>
      <w:r>
        <w:t>c</w:t>
      </w:r>
      <w:r w:rsidR="00DE700A">
        <w:t>opies</w:t>
      </w:r>
      <w:r>
        <w:t xml:space="preserve">/mL [95%CI 484-1074], Ct 35.9 [35.3-36.5]) were incorporated into the base case and sensitivity analyses. </w:t>
      </w:r>
    </w:p>
    <w:p w14:paraId="681EEF0B" w14:textId="0ED470C4" w:rsidR="00A463D7" w:rsidRDefault="00A463D7" w:rsidP="00DE700A">
      <w:pPr>
        <w:spacing w:line="480" w:lineRule="auto"/>
        <w:ind w:firstLine="720"/>
        <w:rPr>
          <w:color w:val="000000"/>
        </w:rPr>
      </w:pPr>
      <w:r>
        <w:t xml:space="preserve">For each pool size </w:t>
      </w:r>
      <w:r>
        <w:rPr>
          <w:i/>
          <w:iCs/>
        </w:rPr>
        <w:t>p</w:t>
      </w:r>
      <w:r>
        <w:t xml:space="preserve">, prevalence </w:t>
      </w:r>
      <w:r>
        <w:rPr>
          <w:i/>
          <w:iCs/>
        </w:rPr>
        <w:t>s</w:t>
      </w:r>
      <w:r>
        <w:t xml:space="preserve">, </w:t>
      </w:r>
      <w:proofErr w:type="spellStart"/>
      <w:r>
        <w:t>LoD</w:t>
      </w:r>
      <w:proofErr w:type="spellEnd"/>
      <w:r>
        <w:t xml:space="preserve"> </w:t>
      </w:r>
      <w:r>
        <w:rPr>
          <w:i/>
          <w:iCs/>
        </w:rPr>
        <w:t>l</w:t>
      </w:r>
      <w:r>
        <w:t xml:space="preserve">, and proportion of </w:t>
      </w:r>
      <w:proofErr w:type="gramStart"/>
      <w:r>
        <w:t>randomly-generated</w:t>
      </w:r>
      <w:proofErr w:type="gramEnd"/>
      <w:r>
        <w:t xml:space="preserve"> </w:t>
      </w:r>
      <w:r w:rsidRPr="00DB1421">
        <w:rPr>
          <w:rFonts w:cs="Arial"/>
          <w:bCs/>
        </w:rPr>
        <w:t>C</w:t>
      </w:r>
      <w:r w:rsidRPr="00DB1421">
        <w:rPr>
          <w:rFonts w:cs="Arial"/>
          <w:bCs/>
          <w:vertAlign w:val="subscript"/>
        </w:rPr>
        <w:t>t</w:t>
      </w:r>
      <w:r w:rsidRPr="00DB1421">
        <w:rPr>
          <w:rFonts w:cs="Arial"/>
          <w:bCs/>
        </w:rPr>
        <w:t xml:space="preserve"> valu</w:t>
      </w:r>
      <w:r>
        <w:t xml:space="preserve">es above </w:t>
      </w:r>
      <w:proofErr w:type="spellStart"/>
      <w:r>
        <w:t>LoD</w:t>
      </w:r>
      <w:proofErr w:type="spellEnd"/>
      <w:r>
        <w:t xml:space="preserve"> </w:t>
      </w:r>
      <w:r>
        <w:rPr>
          <w:i/>
          <w:iCs/>
        </w:rPr>
        <w:t>x</w:t>
      </w:r>
      <w:r>
        <w:t xml:space="preserve">, we randomly generated 10,000 pools for each possible combination of negative and positive pools (1 + </w:t>
      </w:r>
      <w:r w:rsidRPr="00333B72">
        <w:rPr>
          <w:i/>
          <w:iCs/>
        </w:rPr>
        <w:t>p</w:t>
      </w:r>
      <w:r>
        <w:t xml:space="preserve">). Pools with zero positive samples were considered to be true negatives. For each </w:t>
      </w:r>
      <w:proofErr w:type="gramStart"/>
      <w:r>
        <w:lastRenderedPageBreak/>
        <w:t>randomly-generated</w:t>
      </w:r>
      <w:proofErr w:type="gramEnd"/>
      <w:r>
        <w:t xml:space="preserve"> pool with positive samples, we calculated the expected pooled </w:t>
      </w:r>
      <w:r w:rsidRPr="00DB1421">
        <w:rPr>
          <w:rFonts w:cs="Arial"/>
          <w:bCs/>
        </w:rPr>
        <w:t>C</w:t>
      </w:r>
      <w:r w:rsidRPr="00DB1421">
        <w:rPr>
          <w:rFonts w:cs="Arial"/>
          <w:bCs/>
          <w:vertAlign w:val="subscript"/>
        </w:rPr>
        <w:t>t</w:t>
      </w:r>
      <w:r w:rsidRPr="00DB1421">
        <w:rPr>
          <w:rFonts w:cs="Arial"/>
          <w:bCs/>
        </w:rPr>
        <w:t xml:space="preserve"> value</w:t>
      </w:r>
      <w:r w:rsidRPr="00DB1421">
        <w:rPr>
          <w:bCs/>
        </w:rPr>
        <w:t xml:space="preserve"> </w:t>
      </w:r>
      <w:r>
        <w:t xml:space="preserve">from the individual randomly-sampled </w:t>
      </w:r>
      <w:r w:rsidRPr="00DB1421">
        <w:rPr>
          <w:rFonts w:cs="Arial"/>
          <w:bCs/>
        </w:rPr>
        <w:t>C</w:t>
      </w:r>
      <w:r w:rsidRPr="00DB1421">
        <w:rPr>
          <w:rFonts w:cs="Arial"/>
          <w:bCs/>
          <w:vertAlign w:val="subscript"/>
        </w:rPr>
        <w:t>t</w:t>
      </w:r>
      <w:r w:rsidRPr="00DB1421">
        <w:rPr>
          <w:rFonts w:cs="Arial"/>
          <w:bCs/>
        </w:rPr>
        <w:t xml:space="preserve"> value</w:t>
      </w:r>
      <w:r>
        <w:t xml:space="preserve">s and assigned each pool as a true positive or false negative based upon the probability of detection derived from the probit regression model at a given </w:t>
      </w:r>
      <w:proofErr w:type="spellStart"/>
      <w:r>
        <w:t>LoD</w:t>
      </w:r>
      <w:proofErr w:type="spellEnd"/>
      <w:r>
        <w:t xml:space="preserve"> and expected pooled Ct value. Estimated PPA (true positives / [true positives + false negatives]) and average tests expected per sample ([1 + </w:t>
      </w:r>
      <w:r>
        <w:rPr>
          <w:i/>
          <w:iCs/>
        </w:rPr>
        <w:t>p*</w:t>
      </w:r>
      <w:r>
        <w:t>(true positive pools)]/</w:t>
      </w:r>
      <w:r w:rsidRPr="00EA1CFA">
        <w:rPr>
          <w:i/>
          <w:iCs/>
        </w:rPr>
        <w:t>p</w:t>
      </w:r>
      <w:r>
        <w:t xml:space="preserve">) were calculated, and results were weighted by the probability of observing a given pool combination with </w:t>
      </w:r>
      <w:proofErr w:type="spellStart"/>
      <w:r w:rsidRPr="004D0639">
        <w:rPr>
          <w:i/>
          <w:iCs/>
        </w:rPr>
        <w:t>i</w:t>
      </w:r>
      <w:proofErr w:type="spellEnd"/>
      <w:r>
        <w:rPr>
          <w:i/>
          <w:iCs/>
        </w:rPr>
        <w:t xml:space="preserve"> </w:t>
      </w:r>
      <w:r w:rsidRPr="00642C04">
        <w:t xml:space="preserve">individual </w:t>
      </w:r>
      <w:r>
        <w:t xml:space="preserve">positive samples (from 1 to </w:t>
      </w:r>
      <w:r>
        <w:rPr>
          <w:i/>
          <w:iCs/>
        </w:rPr>
        <w:t>p</w:t>
      </w:r>
      <w:r w:rsidRPr="004D0639">
        <w:t>)</w:t>
      </w:r>
      <w:r>
        <w:t xml:space="preserve"> using a binomial distribution. NPA was assumed to be 100%. Because the input datasets used to train this model were independent from the pooled datasets, we subsequently validated modeled estimates of PPA and average tests expected per sample against our empirical data for pools of </w:t>
      </w:r>
      <w:r w:rsidR="00CC1209">
        <w:t>8</w:t>
      </w:r>
      <w:r>
        <w:t xml:space="preserve"> and </w:t>
      </w:r>
      <w:r w:rsidR="00CC1209">
        <w:t>4, as well as external in silico data for pools of 5 and 3</w:t>
      </w:r>
      <w:r>
        <w:t>. Beyond the external factors that contributed to model estimates (individual C</w:t>
      </w:r>
      <w:r w:rsidR="00CC1209" w:rsidRPr="00DE700A">
        <w:rPr>
          <w:iCs/>
          <w:color w:val="000000"/>
        </w:rPr>
        <w:t>t</w:t>
      </w:r>
      <w:r w:rsidR="00CC1209">
        <w:t xml:space="preserve"> </w:t>
      </w:r>
      <w:r>
        <w:t xml:space="preserve">values, prevalence, proportion of samples above </w:t>
      </w:r>
      <w:proofErr w:type="spellStart"/>
      <w:r>
        <w:t>LoD</w:t>
      </w:r>
      <w:proofErr w:type="spellEnd"/>
      <w:r>
        <w:t>), we also assessed model robustness via deterministic and probabilistic sensitivity analyses by varying pooling dilution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Pr>
          <w:i/>
          <w:iCs/>
          <w:color w:val="000000"/>
        </w:rPr>
        <w:t xml:space="preserve"> </w:t>
      </w:r>
      <w:r w:rsidRPr="00E33066">
        <w:rPr>
          <w:i/>
          <w:iCs/>
          <w:color w:val="000000"/>
        </w:rPr>
        <w:t>±</w:t>
      </w:r>
      <w:r>
        <w:rPr>
          <w:i/>
          <w:iCs/>
          <w:color w:val="000000"/>
        </w:rPr>
        <w:t xml:space="preserve"> </w:t>
      </w:r>
      <w:r>
        <w:rPr>
          <w:color w:val="000000"/>
        </w:rPr>
        <w:t>1 Ct</w:t>
      </w:r>
      <w:r w:rsidRPr="006F1059">
        <w:rPr>
          <w:color w:val="000000"/>
        </w:rPr>
        <w:t>)</w:t>
      </w:r>
      <w:r>
        <w:rPr>
          <w:color w:val="000000"/>
        </w:rPr>
        <w:t xml:space="preserve"> and sampling from the 95% confidence interval of the probit regression</w:t>
      </w:r>
      <w:r w:rsidRPr="006F1059">
        <w:rPr>
          <w:color w:val="000000"/>
        </w:rPr>
        <w:t>.</w:t>
      </w:r>
    </w:p>
    <w:p w14:paraId="06F6DA96" w14:textId="66F57E87" w:rsidR="00592BB1" w:rsidRDefault="00592BB1" w:rsidP="00DE700A">
      <w:pPr>
        <w:spacing w:line="480" w:lineRule="auto"/>
        <w:ind w:firstLine="720"/>
      </w:pPr>
      <w:r>
        <w:t xml:space="preserve">The implementation code and </w:t>
      </w:r>
      <w:r w:rsidR="00405D76">
        <w:t>data used to generate and validate this model can be made available upon request to the corresponding author.</w:t>
      </w:r>
    </w:p>
    <w:p w14:paraId="7303FCBF" w14:textId="39AC0CD0" w:rsidR="00597F3E" w:rsidRDefault="00597F3E" w:rsidP="00DE700A">
      <w:pPr>
        <w:spacing w:line="480" w:lineRule="auto"/>
        <w:ind w:firstLine="720"/>
      </w:pPr>
    </w:p>
    <w:p w14:paraId="18746227" w14:textId="0C89A6AC" w:rsidR="00597F3E" w:rsidRDefault="00597F3E" w:rsidP="00597F3E">
      <w:pPr>
        <w:spacing w:line="480" w:lineRule="auto"/>
        <w:rPr>
          <w:b/>
        </w:rPr>
      </w:pPr>
      <w:r w:rsidRPr="00597F3E">
        <w:rPr>
          <w:b/>
        </w:rPr>
        <w:t>Appendix References</w:t>
      </w:r>
    </w:p>
    <w:p w14:paraId="0CA0E7CB" w14:textId="0DEEAC37" w:rsidR="00363C87" w:rsidRPr="00084FA1" w:rsidRDefault="00084FA1" w:rsidP="00084FA1">
      <w:pPr>
        <w:widowControl w:val="0"/>
        <w:autoSpaceDE w:val="0"/>
        <w:autoSpaceDN w:val="0"/>
        <w:adjustRightInd w:val="0"/>
        <w:spacing w:line="480" w:lineRule="auto"/>
        <w:ind w:left="640" w:hanging="640"/>
        <w:rPr>
          <w:noProof/>
        </w:rPr>
      </w:pPr>
      <w:r w:rsidRPr="00597F3E">
        <w:rPr>
          <w:noProof/>
        </w:rPr>
        <w:t xml:space="preserve">1. </w:t>
      </w:r>
      <w:r w:rsidRPr="00597F3E">
        <w:rPr>
          <w:noProof/>
        </w:rPr>
        <w:tab/>
        <w:t xml:space="preserve">Food and Drug Administration. Molecular Diagnostic Template for Laboratories. 2020 July 28 [cited 2020 Sep 18). https://www.fda.gov/media/135658/download. </w:t>
      </w:r>
    </w:p>
    <w:p w14:paraId="043B31C6" w14:textId="77777777" w:rsidR="00084FA1" w:rsidRDefault="00084FA1">
      <w:pPr>
        <w:rPr>
          <w:b/>
          <w:bCs/>
        </w:rPr>
      </w:pPr>
      <w:r>
        <w:rPr>
          <w:b/>
          <w:bCs/>
        </w:rPr>
        <w:br w:type="page"/>
      </w:r>
    </w:p>
    <w:p w14:paraId="2471BA10" w14:textId="796B0F96" w:rsidR="00DF0907" w:rsidRDefault="00DF0907" w:rsidP="00814D6B">
      <w:pPr>
        <w:spacing w:line="480" w:lineRule="auto"/>
      </w:pPr>
      <w:r w:rsidRPr="00B1770D">
        <w:rPr>
          <w:b/>
          <w:bCs/>
        </w:rPr>
        <w:lastRenderedPageBreak/>
        <w:t>Appendix Table 1.</w:t>
      </w:r>
      <w:r w:rsidR="004A0E44">
        <w:t xml:space="preserve"> Receiver operating </w:t>
      </w:r>
      <w:r w:rsidR="00AC4712">
        <w:t xml:space="preserve">characteristic </w:t>
      </w:r>
      <w:r w:rsidR="004A0E44">
        <w:t xml:space="preserve">curve </w:t>
      </w:r>
      <w:r w:rsidR="00EA2D7C">
        <w:t>table for Panther Aptima</w:t>
      </w:r>
      <w:r w:rsidR="00200BFB">
        <w:t>, based on pools of 8 containing a single positive sample (n=36)</w:t>
      </w:r>
    </w:p>
    <w:tbl>
      <w:tblPr>
        <w:tblStyle w:val="PlainTable21"/>
        <w:tblW w:w="0" w:type="auto"/>
        <w:tblInd w:w="378" w:type="dxa"/>
        <w:tblLook w:val="04A0" w:firstRow="1" w:lastRow="0" w:firstColumn="1" w:lastColumn="0" w:noHBand="0" w:noVBand="1"/>
      </w:tblPr>
      <w:tblGrid>
        <w:gridCol w:w="3165"/>
        <w:gridCol w:w="3265"/>
        <w:gridCol w:w="3128"/>
      </w:tblGrid>
      <w:tr w:rsidR="00BD2970" w:rsidRPr="004A0E44" w14:paraId="3239AD86" w14:textId="77777777" w:rsidTr="00D3036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noWrap/>
            <w:vAlign w:val="bottom"/>
            <w:hideMark/>
          </w:tcPr>
          <w:p w14:paraId="03792A0F" w14:textId="1C75C64F" w:rsidR="00BD2970" w:rsidRPr="00D3036A" w:rsidRDefault="00BD2970" w:rsidP="007C46D3">
            <w:pPr>
              <w:rPr>
                <w:rFonts w:ascii="Arial" w:hAnsi="Arial" w:cs="Arial"/>
                <w:b w:val="0"/>
                <w:sz w:val="16"/>
                <w:szCs w:val="16"/>
              </w:rPr>
            </w:pPr>
            <w:r w:rsidRPr="00D3036A">
              <w:rPr>
                <w:rFonts w:ascii="Arial" w:hAnsi="Arial" w:cs="Arial"/>
                <w:b w:val="0"/>
                <w:color w:val="000000"/>
                <w:sz w:val="16"/>
                <w:szCs w:val="16"/>
              </w:rPr>
              <w:t>Positive percent agreement</w:t>
            </w:r>
          </w:p>
        </w:tc>
        <w:tc>
          <w:tcPr>
            <w:tcW w:w="0" w:type="auto"/>
            <w:tcBorders>
              <w:top w:val="single" w:sz="4" w:space="0" w:color="7F7F7F" w:themeColor="text1" w:themeTint="80"/>
              <w:bottom w:val="single" w:sz="4" w:space="0" w:color="auto"/>
            </w:tcBorders>
            <w:noWrap/>
            <w:vAlign w:val="bottom"/>
            <w:hideMark/>
          </w:tcPr>
          <w:p w14:paraId="5A4F3ED0" w14:textId="6E204F5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Pr>
                <w:rFonts w:ascii="Arial" w:hAnsi="Arial" w:cs="Arial"/>
                <w:b w:val="0"/>
                <w:color w:val="000000"/>
                <w:sz w:val="16"/>
                <w:szCs w:val="16"/>
              </w:rPr>
              <w:t>Negative percent agreement</w:t>
            </w:r>
          </w:p>
        </w:tc>
        <w:tc>
          <w:tcPr>
            <w:tcW w:w="0" w:type="auto"/>
            <w:tcBorders>
              <w:top w:val="single" w:sz="4" w:space="0" w:color="7F7F7F" w:themeColor="text1" w:themeTint="80"/>
              <w:bottom w:val="single" w:sz="4" w:space="0" w:color="auto"/>
            </w:tcBorders>
            <w:noWrap/>
            <w:vAlign w:val="bottom"/>
            <w:hideMark/>
          </w:tcPr>
          <w:p w14:paraId="2D29A8B3" w14:textId="1D38F6A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sidRPr="00BD2970">
              <w:rPr>
                <w:rFonts w:ascii="Arial" w:hAnsi="Arial" w:cs="Arial"/>
                <w:b w:val="0"/>
                <w:color w:val="000000"/>
                <w:sz w:val="16"/>
                <w:szCs w:val="16"/>
              </w:rPr>
              <w:t>Relative light unit threshold</w:t>
            </w:r>
          </w:p>
        </w:tc>
      </w:tr>
      <w:tr w:rsidR="00F862D2" w:rsidRPr="004A0E44" w14:paraId="31D08A98"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35F9170" w14:textId="4E43B0FD" w:rsidR="00F862D2" w:rsidRPr="00D3036A" w:rsidRDefault="00F862D2" w:rsidP="00F862D2">
            <w:pPr>
              <w:rPr>
                <w:rFonts w:ascii="Arial" w:hAnsi="Arial" w:cs="Arial"/>
                <w:b w:val="0"/>
                <w:sz w:val="16"/>
                <w:szCs w:val="16"/>
              </w:rPr>
            </w:pPr>
            <w:r w:rsidRPr="00D3036A">
              <w:rPr>
                <w:rFonts w:ascii="Arial" w:hAnsi="Arial" w:cs="Arial"/>
                <w:b w:val="0"/>
                <w:sz w:val="16"/>
                <w:szCs w:val="16"/>
              </w:rPr>
              <w:t>1.000</w:t>
            </w:r>
          </w:p>
        </w:tc>
        <w:tc>
          <w:tcPr>
            <w:tcW w:w="0" w:type="auto"/>
            <w:noWrap/>
            <w:hideMark/>
          </w:tcPr>
          <w:p w14:paraId="145B5693" w14:textId="15E9C01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0.047</w:t>
            </w:r>
          </w:p>
        </w:tc>
        <w:tc>
          <w:tcPr>
            <w:tcW w:w="0" w:type="auto"/>
            <w:noWrap/>
            <w:hideMark/>
          </w:tcPr>
          <w:p w14:paraId="0F14F390" w14:textId="437BE91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301</w:t>
            </w:r>
          </w:p>
        </w:tc>
      </w:tr>
      <w:tr w:rsidR="00F862D2" w:rsidRPr="004A0E44" w14:paraId="701D0A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861B44C" w14:textId="03A9AE9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74EA199" w14:textId="1F9B6FC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0.109</w:t>
            </w:r>
          </w:p>
        </w:tc>
        <w:tc>
          <w:tcPr>
            <w:tcW w:w="0" w:type="auto"/>
            <w:noWrap/>
            <w:hideMark/>
          </w:tcPr>
          <w:p w14:paraId="2E9A4A31" w14:textId="291D1E5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302</w:t>
            </w:r>
          </w:p>
        </w:tc>
      </w:tr>
      <w:tr w:rsidR="00F862D2" w:rsidRPr="004A0E44" w14:paraId="5D23909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539DB41" w14:textId="5D217D5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379D1179" w14:textId="68D16F7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0.156</w:t>
            </w:r>
          </w:p>
        </w:tc>
        <w:tc>
          <w:tcPr>
            <w:tcW w:w="0" w:type="auto"/>
            <w:noWrap/>
            <w:hideMark/>
          </w:tcPr>
          <w:p w14:paraId="1FB42607" w14:textId="45AEA07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304</w:t>
            </w:r>
          </w:p>
        </w:tc>
      </w:tr>
      <w:tr w:rsidR="00F862D2" w:rsidRPr="004A0E44" w14:paraId="14FBDE54"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86DE318" w14:textId="574EECD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ADD014" w14:textId="09DFE3D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0.188</w:t>
            </w:r>
          </w:p>
        </w:tc>
        <w:tc>
          <w:tcPr>
            <w:tcW w:w="0" w:type="auto"/>
            <w:noWrap/>
            <w:hideMark/>
          </w:tcPr>
          <w:p w14:paraId="29149098" w14:textId="6D35A299"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305</w:t>
            </w:r>
          </w:p>
        </w:tc>
      </w:tr>
      <w:tr w:rsidR="00F862D2" w:rsidRPr="004A0E44" w14:paraId="384ED2B2"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D8CFE74" w14:textId="3DABB773"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50A7BFC" w14:textId="7FA997F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0.203</w:t>
            </w:r>
          </w:p>
        </w:tc>
        <w:tc>
          <w:tcPr>
            <w:tcW w:w="0" w:type="auto"/>
            <w:noWrap/>
            <w:hideMark/>
          </w:tcPr>
          <w:p w14:paraId="3E435634" w14:textId="2837826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306</w:t>
            </w:r>
          </w:p>
        </w:tc>
      </w:tr>
      <w:tr w:rsidR="00F862D2" w:rsidRPr="004A0E44" w14:paraId="08609D8E"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2F5CD48" w14:textId="7492483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D11C18" w14:textId="2AE9328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0.219</w:t>
            </w:r>
          </w:p>
        </w:tc>
        <w:tc>
          <w:tcPr>
            <w:tcW w:w="0" w:type="auto"/>
            <w:noWrap/>
            <w:hideMark/>
          </w:tcPr>
          <w:p w14:paraId="732FB5DC" w14:textId="4F4564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307</w:t>
            </w:r>
          </w:p>
        </w:tc>
      </w:tr>
      <w:tr w:rsidR="00F862D2" w:rsidRPr="004A0E44" w14:paraId="11E3C9FB"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D8901F6" w14:textId="341A3BDA"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0C1D2F1C" w14:textId="6D76EA9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0.234</w:t>
            </w:r>
          </w:p>
        </w:tc>
        <w:tc>
          <w:tcPr>
            <w:tcW w:w="0" w:type="auto"/>
            <w:noWrap/>
            <w:hideMark/>
          </w:tcPr>
          <w:p w14:paraId="56A4F8A6" w14:textId="06129F3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308</w:t>
            </w:r>
          </w:p>
        </w:tc>
      </w:tr>
      <w:tr w:rsidR="00F862D2" w:rsidRPr="004A0E44" w14:paraId="61840EAF"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AC85535" w14:textId="1373AEB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279C6D8" w14:textId="58028E3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0.297</w:t>
            </w:r>
          </w:p>
        </w:tc>
        <w:tc>
          <w:tcPr>
            <w:tcW w:w="0" w:type="auto"/>
            <w:noWrap/>
            <w:hideMark/>
          </w:tcPr>
          <w:p w14:paraId="34CE1839" w14:textId="7517288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309</w:t>
            </w:r>
          </w:p>
        </w:tc>
      </w:tr>
      <w:tr w:rsidR="00F862D2" w:rsidRPr="004A0E44" w14:paraId="11F04D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43075" w14:textId="147B8F2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4733CD06" w14:textId="632E99A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0.359</w:t>
            </w:r>
          </w:p>
        </w:tc>
        <w:tc>
          <w:tcPr>
            <w:tcW w:w="0" w:type="auto"/>
            <w:noWrap/>
            <w:hideMark/>
          </w:tcPr>
          <w:p w14:paraId="294D34D3" w14:textId="0DC9DCD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310</w:t>
            </w:r>
          </w:p>
        </w:tc>
      </w:tr>
      <w:tr w:rsidR="00F862D2" w:rsidRPr="004A0E44" w14:paraId="7FC0C7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AE2D8EC" w14:textId="1429BB90"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7BA8B557" w14:textId="200D312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0.406</w:t>
            </w:r>
          </w:p>
        </w:tc>
        <w:tc>
          <w:tcPr>
            <w:tcW w:w="0" w:type="auto"/>
            <w:noWrap/>
            <w:hideMark/>
          </w:tcPr>
          <w:p w14:paraId="1241C21F" w14:textId="35241EC1"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311</w:t>
            </w:r>
          </w:p>
        </w:tc>
      </w:tr>
      <w:tr w:rsidR="00F862D2" w:rsidRPr="004A0E44" w14:paraId="11BE14A6"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1C380F5" w14:textId="45BCADAD"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6436FC29" w14:textId="725F9E5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0.438</w:t>
            </w:r>
          </w:p>
        </w:tc>
        <w:tc>
          <w:tcPr>
            <w:tcW w:w="0" w:type="auto"/>
            <w:noWrap/>
            <w:hideMark/>
          </w:tcPr>
          <w:p w14:paraId="2C74A3D6" w14:textId="594A36F0"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312</w:t>
            </w:r>
          </w:p>
        </w:tc>
      </w:tr>
      <w:tr w:rsidR="00F862D2" w:rsidRPr="004A0E44" w14:paraId="60BC02B5"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2AD7DB" w14:textId="0F2A6C0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3AA7C533" w14:textId="697F3663"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0.469</w:t>
            </w:r>
          </w:p>
        </w:tc>
        <w:tc>
          <w:tcPr>
            <w:tcW w:w="0" w:type="auto"/>
            <w:noWrap/>
            <w:hideMark/>
          </w:tcPr>
          <w:p w14:paraId="51450ACC" w14:textId="505658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313</w:t>
            </w:r>
          </w:p>
        </w:tc>
      </w:tr>
      <w:tr w:rsidR="00F862D2" w:rsidRPr="004A0E44" w14:paraId="611A45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7C0C85A" w14:textId="1B9756A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9D2DC12" w14:textId="17E31DA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0.500</w:t>
            </w:r>
          </w:p>
        </w:tc>
        <w:tc>
          <w:tcPr>
            <w:tcW w:w="0" w:type="auto"/>
            <w:noWrap/>
            <w:hideMark/>
          </w:tcPr>
          <w:p w14:paraId="19515AEF" w14:textId="7EF56E3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314</w:t>
            </w:r>
          </w:p>
        </w:tc>
      </w:tr>
      <w:tr w:rsidR="00F862D2" w:rsidRPr="004A0E44" w14:paraId="7020EC9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21F01" w14:textId="289289C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E9C3DCF" w14:textId="18BB6D2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0.516</w:t>
            </w:r>
          </w:p>
        </w:tc>
        <w:tc>
          <w:tcPr>
            <w:tcW w:w="0" w:type="auto"/>
            <w:noWrap/>
            <w:hideMark/>
          </w:tcPr>
          <w:p w14:paraId="3AFBFCE0" w14:textId="695677C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315</w:t>
            </w:r>
          </w:p>
        </w:tc>
      </w:tr>
      <w:tr w:rsidR="00F862D2" w:rsidRPr="004A0E44" w14:paraId="6BDDCD33"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09D04" w14:textId="353E29F8" w:rsidR="00F862D2" w:rsidRPr="00D3036A" w:rsidRDefault="00F862D2" w:rsidP="00F862D2">
            <w:pPr>
              <w:rPr>
                <w:rFonts w:ascii="Arial" w:hAnsi="Arial" w:cs="Arial"/>
                <w:b w:val="0"/>
                <w:sz w:val="16"/>
                <w:szCs w:val="16"/>
              </w:rPr>
            </w:pPr>
            <w:r w:rsidRPr="00D3036A">
              <w:rPr>
                <w:rFonts w:ascii="Arial" w:hAnsi="Arial" w:cs="Arial"/>
                <w:b w:val="0"/>
                <w:sz w:val="16"/>
                <w:szCs w:val="16"/>
              </w:rPr>
              <w:t>0.917</w:t>
            </w:r>
          </w:p>
        </w:tc>
        <w:tc>
          <w:tcPr>
            <w:tcW w:w="0" w:type="auto"/>
            <w:noWrap/>
            <w:hideMark/>
          </w:tcPr>
          <w:p w14:paraId="10348596" w14:textId="2CDCE1A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0.578</w:t>
            </w:r>
          </w:p>
        </w:tc>
        <w:tc>
          <w:tcPr>
            <w:tcW w:w="0" w:type="auto"/>
            <w:noWrap/>
            <w:hideMark/>
          </w:tcPr>
          <w:p w14:paraId="49F58AE2" w14:textId="30CA170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316</w:t>
            </w:r>
          </w:p>
        </w:tc>
      </w:tr>
      <w:tr w:rsidR="00F862D2" w:rsidRPr="004A0E44" w14:paraId="5AF42EB9"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61A35" w14:textId="53E2C422" w:rsidR="00F862D2" w:rsidRPr="00D3036A" w:rsidRDefault="00F862D2" w:rsidP="00F862D2">
            <w:pPr>
              <w:rPr>
                <w:rFonts w:ascii="Arial" w:hAnsi="Arial" w:cs="Arial"/>
                <w:b w:val="0"/>
                <w:sz w:val="16"/>
                <w:szCs w:val="16"/>
              </w:rPr>
            </w:pPr>
            <w:r w:rsidRPr="00D3036A">
              <w:rPr>
                <w:rFonts w:ascii="Arial" w:hAnsi="Arial" w:cs="Arial"/>
                <w:b w:val="0"/>
                <w:sz w:val="16"/>
                <w:szCs w:val="16"/>
              </w:rPr>
              <w:t>0.889</w:t>
            </w:r>
          </w:p>
        </w:tc>
        <w:tc>
          <w:tcPr>
            <w:tcW w:w="0" w:type="auto"/>
            <w:noWrap/>
            <w:hideMark/>
          </w:tcPr>
          <w:p w14:paraId="65F846AF" w14:textId="3D8B1C9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0.641</w:t>
            </w:r>
          </w:p>
        </w:tc>
        <w:tc>
          <w:tcPr>
            <w:tcW w:w="0" w:type="auto"/>
            <w:noWrap/>
            <w:hideMark/>
          </w:tcPr>
          <w:p w14:paraId="00BC82D7" w14:textId="1CD50807"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317</w:t>
            </w:r>
          </w:p>
        </w:tc>
      </w:tr>
      <w:tr w:rsidR="00F862D2" w:rsidRPr="004A0E44" w14:paraId="22A1DCB5"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14706" w14:textId="33A1C458" w:rsidR="00F862D2" w:rsidRPr="00D3036A" w:rsidRDefault="00F862D2" w:rsidP="00F862D2">
            <w:pPr>
              <w:rPr>
                <w:rFonts w:ascii="Arial" w:hAnsi="Arial" w:cs="Arial"/>
                <w:b w:val="0"/>
                <w:sz w:val="16"/>
                <w:szCs w:val="16"/>
              </w:rPr>
            </w:pPr>
            <w:r w:rsidRPr="00D3036A">
              <w:rPr>
                <w:rFonts w:ascii="Arial" w:hAnsi="Arial" w:cs="Arial"/>
                <w:b w:val="0"/>
                <w:sz w:val="16"/>
                <w:szCs w:val="16"/>
              </w:rPr>
              <w:t>0.861</w:t>
            </w:r>
          </w:p>
        </w:tc>
        <w:tc>
          <w:tcPr>
            <w:tcW w:w="0" w:type="auto"/>
            <w:noWrap/>
            <w:hideMark/>
          </w:tcPr>
          <w:p w14:paraId="7FFE91FC" w14:textId="5FF6289A"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64336476" w14:textId="0180847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318</w:t>
            </w:r>
          </w:p>
        </w:tc>
      </w:tr>
      <w:tr w:rsidR="00F862D2" w:rsidRPr="004A0E44" w14:paraId="6F66517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69CDD6D" w14:textId="3A66D85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3AE777FD" w14:textId="16867F4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5CF2F322" w14:textId="40CD03B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320</w:t>
            </w:r>
          </w:p>
        </w:tc>
      </w:tr>
      <w:tr w:rsidR="00F862D2" w:rsidRPr="004A0E44" w14:paraId="4A891E3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3503492" w14:textId="14150756"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6FDA611" w14:textId="05C71F0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0.703</w:t>
            </w:r>
          </w:p>
        </w:tc>
        <w:tc>
          <w:tcPr>
            <w:tcW w:w="0" w:type="auto"/>
            <w:noWrap/>
            <w:hideMark/>
          </w:tcPr>
          <w:p w14:paraId="7BD8E2FE" w14:textId="42FDE62C"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321</w:t>
            </w:r>
          </w:p>
        </w:tc>
      </w:tr>
      <w:tr w:rsidR="00F862D2" w:rsidRPr="004A0E44" w14:paraId="6AE969F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957F148" w14:textId="2173FA4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0DD00278" w14:textId="79555C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0.750</w:t>
            </w:r>
          </w:p>
        </w:tc>
        <w:tc>
          <w:tcPr>
            <w:tcW w:w="0" w:type="auto"/>
            <w:noWrap/>
            <w:hideMark/>
          </w:tcPr>
          <w:p w14:paraId="7FFB689E" w14:textId="5AD994A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322</w:t>
            </w:r>
          </w:p>
        </w:tc>
      </w:tr>
      <w:tr w:rsidR="00F862D2" w:rsidRPr="004A0E44" w14:paraId="32624B1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793DAAA" w14:textId="6827E3CA"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3877D0" w14:textId="5D5AAD8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0.797</w:t>
            </w:r>
          </w:p>
        </w:tc>
        <w:tc>
          <w:tcPr>
            <w:tcW w:w="0" w:type="auto"/>
            <w:noWrap/>
            <w:hideMark/>
          </w:tcPr>
          <w:p w14:paraId="7759280C" w14:textId="7ABFD22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323</w:t>
            </w:r>
          </w:p>
        </w:tc>
      </w:tr>
      <w:tr w:rsidR="00F862D2" w:rsidRPr="004A0E44" w14:paraId="6CC397F8"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FE8BA5A" w14:textId="2BEE38A0"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420396" w14:textId="6CFF21C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0.844</w:t>
            </w:r>
          </w:p>
        </w:tc>
        <w:tc>
          <w:tcPr>
            <w:tcW w:w="0" w:type="auto"/>
            <w:noWrap/>
            <w:hideMark/>
          </w:tcPr>
          <w:p w14:paraId="659052C1" w14:textId="12BF85F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325</w:t>
            </w:r>
          </w:p>
        </w:tc>
      </w:tr>
      <w:tr w:rsidR="00F862D2" w:rsidRPr="004A0E44" w14:paraId="26E86F47"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9E77A" w14:textId="58842BD3"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5F21F9D4" w14:textId="6192339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0.891</w:t>
            </w:r>
          </w:p>
        </w:tc>
        <w:tc>
          <w:tcPr>
            <w:tcW w:w="0" w:type="auto"/>
            <w:noWrap/>
            <w:hideMark/>
          </w:tcPr>
          <w:p w14:paraId="357A10EF" w14:textId="40D1FDF3"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326</w:t>
            </w:r>
          </w:p>
        </w:tc>
      </w:tr>
      <w:tr w:rsidR="00F862D2" w:rsidRPr="004A0E44" w14:paraId="183AF96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1B116" w14:textId="530821CD"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61F37EF8" w14:textId="7A059D1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0.906</w:t>
            </w:r>
          </w:p>
        </w:tc>
        <w:tc>
          <w:tcPr>
            <w:tcW w:w="0" w:type="auto"/>
            <w:noWrap/>
            <w:hideMark/>
          </w:tcPr>
          <w:p w14:paraId="555AD219" w14:textId="4468A9F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327</w:t>
            </w:r>
          </w:p>
        </w:tc>
      </w:tr>
      <w:tr w:rsidR="00F862D2" w:rsidRPr="004A0E44" w14:paraId="51B0E81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EA29C" w14:textId="7E4C3EB7"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A310B5E" w14:textId="4E0EED3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0.922</w:t>
            </w:r>
          </w:p>
        </w:tc>
        <w:tc>
          <w:tcPr>
            <w:tcW w:w="0" w:type="auto"/>
            <w:noWrap/>
            <w:hideMark/>
          </w:tcPr>
          <w:p w14:paraId="468E070A" w14:textId="2DAF1E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328</w:t>
            </w:r>
          </w:p>
        </w:tc>
      </w:tr>
      <w:tr w:rsidR="00F862D2" w:rsidRPr="004A0E44" w14:paraId="5F73E631"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AC3C16D" w14:textId="323ED900" w:rsidR="00F862D2" w:rsidRPr="00D3036A" w:rsidRDefault="00F862D2" w:rsidP="00F862D2">
            <w:pPr>
              <w:rPr>
                <w:rFonts w:ascii="Arial" w:hAnsi="Arial" w:cs="Arial"/>
                <w:b w:val="0"/>
                <w:sz w:val="16"/>
                <w:szCs w:val="16"/>
              </w:rPr>
            </w:pPr>
            <w:r w:rsidRPr="00D3036A">
              <w:rPr>
                <w:rFonts w:ascii="Arial" w:hAnsi="Arial" w:cs="Arial"/>
                <w:b w:val="0"/>
                <w:sz w:val="16"/>
                <w:szCs w:val="16"/>
              </w:rPr>
              <w:t>0.806</w:t>
            </w:r>
          </w:p>
        </w:tc>
        <w:tc>
          <w:tcPr>
            <w:tcW w:w="0" w:type="auto"/>
            <w:noWrap/>
            <w:hideMark/>
          </w:tcPr>
          <w:p w14:paraId="12E01FA2" w14:textId="3017A6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0.938</w:t>
            </w:r>
          </w:p>
        </w:tc>
        <w:tc>
          <w:tcPr>
            <w:tcW w:w="0" w:type="auto"/>
            <w:noWrap/>
            <w:hideMark/>
          </w:tcPr>
          <w:p w14:paraId="3B2A43B2" w14:textId="16480F0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330</w:t>
            </w:r>
          </w:p>
        </w:tc>
      </w:tr>
      <w:tr w:rsidR="00F862D2" w:rsidRPr="004A0E44" w14:paraId="358F82B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C52E088" w14:textId="6575BF95"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127CAF7B" w14:textId="7143A5D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0.953</w:t>
            </w:r>
          </w:p>
        </w:tc>
        <w:tc>
          <w:tcPr>
            <w:tcW w:w="0" w:type="auto"/>
            <w:noWrap/>
            <w:hideMark/>
          </w:tcPr>
          <w:p w14:paraId="5464AEB7" w14:textId="4B3F47A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332</w:t>
            </w:r>
          </w:p>
        </w:tc>
      </w:tr>
      <w:tr w:rsidR="00F862D2" w:rsidRPr="004A0E44" w14:paraId="2C254E0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D957C77" w14:textId="55ADDF29"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4AD4DBF6" w14:textId="0A5718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63075A6F" w14:textId="4A62930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343</w:t>
            </w:r>
          </w:p>
        </w:tc>
      </w:tr>
      <w:tr w:rsidR="00F862D2" w:rsidRPr="004A0E44" w14:paraId="6B8770C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E2E7BF8" w14:textId="42AE85B3"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48569962" w14:textId="3C4BF2ED"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3D471899" w14:textId="48B35234"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393</w:t>
            </w:r>
          </w:p>
        </w:tc>
      </w:tr>
      <w:tr w:rsidR="00F862D2" w:rsidRPr="004A0E44" w14:paraId="137A26F6"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5FF9D20" w14:textId="22656225"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7A3BAC10" w14:textId="2672E356"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5E44E10A" w14:textId="20880F1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474</w:t>
            </w:r>
          </w:p>
        </w:tc>
      </w:tr>
      <w:tr w:rsidR="00F862D2" w:rsidRPr="004A0E44" w14:paraId="3BE46BAA"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035552D" w14:textId="1EB6DB31" w:rsidR="00F862D2" w:rsidRPr="00D3036A" w:rsidRDefault="00F862D2" w:rsidP="00F862D2">
            <w:pPr>
              <w:rPr>
                <w:rFonts w:ascii="Arial" w:hAnsi="Arial" w:cs="Arial"/>
                <w:b w:val="0"/>
                <w:sz w:val="16"/>
                <w:szCs w:val="16"/>
              </w:rPr>
            </w:pPr>
            <w:r w:rsidRPr="00D3036A">
              <w:rPr>
                <w:rFonts w:ascii="Arial" w:hAnsi="Arial" w:cs="Arial"/>
                <w:b w:val="0"/>
                <w:sz w:val="16"/>
                <w:szCs w:val="16"/>
              </w:rPr>
              <w:t>0.722</w:t>
            </w:r>
          </w:p>
        </w:tc>
        <w:tc>
          <w:tcPr>
            <w:tcW w:w="0" w:type="auto"/>
            <w:noWrap/>
            <w:hideMark/>
          </w:tcPr>
          <w:p w14:paraId="291186D3" w14:textId="68039C5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206E2093" w14:textId="6D92E3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531</w:t>
            </w:r>
          </w:p>
        </w:tc>
      </w:tr>
      <w:tr w:rsidR="00F862D2" w:rsidRPr="004A0E44" w14:paraId="17AF7A0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noWrap/>
            <w:hideMark/>
          </w:tcPr>
          <w:p w14:paraId="45031E71" w14:textId="373BAE8F" w:rsidR="00F862D2" w:rsidRPr="00D3036A" w:rsidRDefault="00F862D2" w:rsidP="00F862D2">
            <w:pPr>
              <w:rPr>
                <w:rFonts w:ascii="Arial" w:hAnsi="Arial" w:cs="Arial"/>
                <w:b w:val="0"/>
                <w:sz w:val="16"/>
                <w:szCs w:val="16"/>
              </w:rPr>
            </w:pPr>
            <w:r w:rsidRPr="00D3036A">
              <w:rPr>
                <w:rFonts w:ascii="Arial" w:hAnsi="Arial" w:cs="Arial"/>
                <w:b w:val="0"/>
                <w:sz w:val="16"/>
                <w:szCs w:val="16"/>
              </w:rPr>
              <w:t>0.694</w:t>
            </w:r>
          </w:p>
        </w:tc>
        <w:tc>
          <w:tcPr>
            <w:tcW w:w="0" w:type="auto"/>
            <w:tcBorders>
              <w:bottom w:val="single" w:sz="4" w:space="0" w:color="7F7F7F" w:themeColor="text1" w:themeTint="80"/>
            </w:tcBorders>
            <w:noWrap/>
            <w:hideMark/>
          </w:tcPr>
          <w:p w14:paraId="23B3AC0B" w14:textId="07A47C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tcBorders>
              <w:bottom w:val="single" w:sz="4" w:space="0" w:color="7F7F7F" w:themeColor="text1" w:themeTint="80"/>
            </w:tcBorders>
            <w:noWrap/>
            <w:hideMark/>
          </w:tcPr>
          <w:p w14:paraId="3EDBF76A" w14:textId="4C5241D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570</w:t>
            </w:r>
          </w:p>
        </w:tc>
      </w:tr>
      <w:tr w:rsidR="00687C15" w:rsidRPr="004A0E44" w14:paraId="65D71054"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nil"/>
            </w:tcBorders>
            <w:noWrap/>
            <w:vAlign w:val="bottom"/>
          </w:tcPr>
          <w:p w14:paraId="446674E5" w14:textId="77777777" w:rsidR="00687C15" w:rsidRPr="00687C15" w:rsidRDefault="00687C15" w:rsidP="007C46D3">
            <w:pPr>
              <w:rPr>
                <w:rFonts w:ascii="Arial" w:hAnsi="Arial" w:cs="Arial"/>
                <w:b w:val="0"/>
                <w:sz w:val="16"/>
                <w:szCs w:val="16"/>
              </w:rPr>
            </w:pPr>
            <w:r w:rsidRPr="00687C15">
              <w:rPr>
                <w:rFonts w:ascii="Arial" w:hAnsi="Arial" w:cs="Arial"/>
                <w:b w:val="0"/>
                <w:sz w:val="16"/>
                <w:szCs w:val="16"/>
              </w:rPr>
              <w:t>*Cases defined as pools containing one or more positive samples by individual testing; controls defined as pools containing only samples negative by individual testing. Ten pools containing more than one positive sample were excluded from analysis.</w:t>
            </w:r>
          </w:p>
          <w:p w14:paraId="147BA0DE" w14:textId="77777777" w:rsidR="00687C15" w:rsidRPr="00687C15" w:rsidRDefault="00687C15" w:rsidP="007C46D3">
            <w:pPr>
              <w:jc w:val="center"/>
              <w:rPr>
                <w:rFonts w:ascii="Arial" w:hAnsi="Arial" w:cs="Arial"/>
                <w:b w:val="0"/>
                <w:color w:val="000000"/>
                <w:sz w:val="16"/>
                <w:szCs w:val="16"/>
              </w:rPr>
            </w:pPr>
          </w:p>
        </w:tc>
      </w:tr>
    </w:tbl>
    <w:p w14:paraId="284BE3A1" w14:textId="77777777" w:rsidR="00FE26B8" w:rsidRDefault="00FE26B8">
      <w:pPr>
        <w:rPr>
          <w:rFonts w:ascii="Arial" w:hAnsi="Arial" w:cs="Arial"/>
          <w:bCs/>
          <w:sz w:val="20"/>
          <w:szCs w:val="20"/>
        </w:rPr>
      </w:pPr>
    </w:p>
    <w:p w14:paraId="781BDFDD" w14:textId="77777777" w:rsidR="00FE26B8" w:rsidRDefault="00FE26B8">
      <w:pPr>
        <w:rPr>
          <w:rFonts w:ascii="Arial" w:hAnsi="Arial" w:cs="Arial"/>
          <w:bCs/>
          <w:sz w:val="20"/>
          <w:szCs w:val="20"/>
        </w:rPr>
      </w:pPr>
      <w:r>
        <w:rPr>
          <w:rFonts w:ascii="Arial" w:hAnsi="Arial" w:cs="Arial"/>
          <w:bCs/>
          <w:sz w:val="20"/>
          <w:szCs w:val="20"/>
        </w:rPr>
        <w:br w:type="page"/>
      </w:r>
    </w:p>
    <w:p w14:paraId="51D30044" w14:textId="7B0DC665" w:rsidR="00FE26B8" w:rsidRPr="00D3036A" w:rsidRDefault="00FE26B8" w:rsidP="00D3036A">
      <w:pPr>
        <w:spacing w:line="480" w:lineRule="auto"/>
        <w:rPr>
          <w:rFonts w:eastAsia="Arial"/>
        </w:rPr>
      </w:pPr>
      <w:r w:rsidRPr="00B1770D">
        <w:rPr>
          <w:b/>
          <w:bCs/>
        </w:rPr>
        <w:lastRenderedPageBreak/>
        <w:t xml:space="preserve">Appendix Table </w:t>
      </w:r>
      <w:r>
        <w:rPr>
          <w:b/>
          <w:bCs/>
        </w:rPr>
        <w:t>2</w:t>
      </w:r>
      <w:r w:rsidRPr="00B1770D">
        <w:rPr>
          <w:b/>
          <w:bCs/>
        </w:rPr>
        <w:t>.</w:t>
      </w:r>
      <w:r>
        <w:t xml:space="preserve"> </w:t>
      </w:r>
      <w:r w:rsidR="00200BFB">
        <w:rPr>
          <w:rFonts w:eastAsia="Arial"/>
        </w:rPr>
        <w:t>Results of 4-sample pooled testing, by testing platform and number of positive specimens per pool (n=192)</w:t>
      </w:r>
    </w:p>
    <w:tbl>
      <w:tblPr>
        <w:tblStyle w:val="PlainTable21"/>
        <w:tblW w:w="0" w:type="auto"/>
        <w:tblInd w:w="-72" w:type="dxa"/>
        <w:tblLayout w:type="fixed"/>
        <w:tblLook w:val="06A0" w:firstRow="1" w:lastRow="0" w:firstColumn="1" w:lastColumn="0" w:noHBand="1" w:noVBand="1"/>
      </w:tblPr>
      <w:tblGrid>
        <w:gridCol w:w="1620"/>
        <w:gridCol w:w="720"/>
        <w:gridCol w:w="1080"/>
        <w:gridCol w:w="990"/>
        <w:gridCol w:w="1080"/>
        <w:gridCol w:w="2250"/>
        <w:gridCol w:w="990"/>
        <w:gridCol w:w="1494"/>
      </w:tblGrid>
      <w:tr w:rsidR="00237055" w:rsidRPr="003C658F" w14:paraId="61165E4B" w14:textId="45EA1B03" w:rsidTr="00D3036A">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648DE80B" w14:textId="77777777" w:rsidR="00237055" w:rsidRPr="003C658F" w:rsidRDefault="00237055" w:rsidP="00014075">
            <w:pPr>
              <w:jc w:val="center"/>
              <w:rPr>
                <w:rFonts w:ascii="Arial" w:eastAsia="Arial" w:hAnsi="Arial" w:cs="Arial"/>
                <w:sz w:val="16"/>
                <w:szCs w:val="16"/>
              </w:rPr>
            </w:pPr>
          </w:p>
        </w:tc>
        <w:tc>
          <w:tcPr>
            <w:tcW w:w="3870" w:type="dxa"/>
            <w:gridSpan w:val="4"/>
            <w:tcBorders>
              <w:bottom w:val="single" w:sz="4" w:space="0" w:color="auto"/>
            </w:tcBorders>
            <w:vAlign w:val="center"/>
          </w:tcPr>
          <w:p w14:paraId="5CE28DF1" w14:textId="4BA3C373"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sz w:val="16"/>
                <w:szCs w:val="16"/>
              </w:rPr>
              <w:t>Pooled Testing</w:t>
            </w:r>
          </w:p>
        </w:tc>
        <w:tc>
          <w:tcPr>
            <w:tcW w:w="3240" w:type="dxa"/>
            <w:gridSpan w:val="2"/>
            <w:tcBorders>
              <w:bottom w:val="single" w:sz="4" w:space="0" w:color="auto"/>
            </w:tcBorders>
            <w:vAlign w:val="center"/>
          </w:tcPr>
          <w:p w14:paraId="23DC9A40" w14:textId="77777777"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bCs w:val="0"/>
                <w:sz w:val="16"/>
                <w:szCs w:val="16"/>
              </w:rPr>
              <w:t>Individual Testing</w:t>
            </w:r>
          </w:p>
        </w:tc>
        <w:tc>
          <w:tcPr>
            <w:tcW w:w="1494" w:type="dxa"/>
            <w:tcBorders>
              <w:bottom w:val="single" w:sz="4" w:space="0" w:color="auto"/>
            </w:tcBorders>
            <w:vAlign w:val="center"/>
          </w:tcPr>
          <w:p w14:paraId="411B1124" w14:textId="4EE4C688" w:rsidR="00237055" w:rsidRPr="00037F13" w:rsidRDefault="00237055" w:rsidP="009A19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D3036A">
              <w:rPr>
                <w:rFonts w:ascii="Arial" w:eastAsia="Arial" w:hAnsi="Arial" w:cs="Arial"/>
                <w:sz w:val="16"/>
                <w:szCs w:val="16"/>
              </w:rPr>
              <w:t>Total no. pools</w:t>
            </w:r>
          </w:p>
        </w:tc>
      </w:tr>
      <w:tr w:rsidR="003B6842" w:rsidRPr="003C658F" w14:paraId="1C2C407C" w14:textId="466D5DC1" w:rsidTr="003B6842">
        <w:trPr>
          <w:trHeight w:val="494"/>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A0EBF99"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bottom w:val="single" w:sz="4" w:space="0" w:color="auto"/>
            </w:tcBorders>
            <w:vAlign w:val="center"/>
          </w:tcPr>
          <w:p w14:paraId="322C434E" w14:textId="330BE2F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LDT</w:t>
            </w:r>
          </w:p>
        </w:tc>
        <w:tc>
          <w:tcPr>
            <w:tcW w:w="1080" w:type="dxa"/>
            <w:tcBorders>
              <w:top w:val="single" w:sz="4" w:space="0" w:color="auto"/>
              <w:bottom w:val="single" w:sz="4" w:space="0" w:color="auto"/>
            </w:tcBorders>
            <w:vAlign w:val="center"/>
          </w:tcPr>
          <w:p w14:paraId="671EDBE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Fusion</w:t>
            </w:r>
          </w:p>
        </w:tc>
        <w:tc>
          <w:tcPr>
            <w:tcW w:w="990" w:type="dxa"/>
            <w:tcBorders>
              <w:top w:val="single" w:sz="4" w:space="0" w:color="auto"/>
              <w:bottom w:val="single" w:sz="4" w:space="0" w:color="auto"/>
            </w:tcBorders>
            <w:vAlign w:val="center"/>
          </w:tcPr>
          <w:p w14:paraId="25E8161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53A39DD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Aptima-350</w:t>
            </w:r>
          </w:p>
        </w:tc>
        <w:tc>
          <w:tcPr>
            <w:tcW w:w="2250" w:type="dxa"/>
            <w:tcBorders>
              <w:top w:val="single" w:sz="4" w:space="0" w:color="auto"/>
              <w:bottom w:val="single" w:sz="4" w:space="0" w:color="auto"/>
            </w:tcBorders>
            <w:vAlign w:val="center"/>
          </w:tcPr>
          <w:p w14:paraId="61485B9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 xml:space="preserve">Positive </w:t>
            </w:r>
          </w:p>
          <w:p w14:paraId="2FEF2C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05800AD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6CB2A07C" w14:textId="4B03E970" w:rsidR="00237055" w:rsidRPr="00037F13"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3B6842" w:rsidRPr="003C658F" w14:paraId="13EAD92B" w14:textId="1BC39A0E" w:rsidTr="003B684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tcPr>
          <w:p w14:paraId="70D2BC2E"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tcBorders>
            <w:vAlign w:val="center"/>
          </w:tcPr>
          <w:p w14:paraId="68B283E0" w14:textId="52D92E51"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tcBorders>
              <w:top w:val="single" w:sz="4" w:space="0" w:color="auto"/>
            </w:tcBorders>
            <w:vAlign w:val="center"/>
          </w:tcPr>
          <w:p w14:paraId="237A165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tcBorders>
              <w:top w:val="single" w:sz="4" w:space="0" w:color="auto"/>
            </w:tcBorders>
            <w:vAlign w:val="center"/>
          </w:tcPr>
          <w:p w14:paraId="1DB906D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tcBorders>
              <w:top w:val="single" w:sz="4" w:space="0" w:color="auto"/>
            </w:tcBorders>
            <w:vAlign w:val="center"/>
          </w:tcPr>
          <w:p w14:paraId="5E4929A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2250" w:type="dxa"/>
            <w:tcBorders>
              <w:top w:val="single" w:sz="4" w:space="0" w:color="auto"/>
            </w:tcBorders>
            <w:vAlign w:val="center"/>
          </w:tcPr>
          <w:p w14:paraId="2F368C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r w:rsidRPr="003C658F">
              <w:rPr>
                <w:rFonts w:ascii="Arial" w:eastAsia="Arial" w:hAnsi="Arial" w:cs="Arial"/>
                <w:sz w:val="16"/>
                <w:szCs w:val="16"/>
              </w:rPr>
              <w:t xml:space="preserve"> (</w:t>
            </w:r>
            <w:r>
              <w:rPr>
                <w:rFonts w:ascii="Arial" w:eastAsia="Arial" w:hAnsi="Arial" w:cs="Arial"/>
                <w:sz w:val="16"/>
                <w:szCs w:val="16"/>
              </w:rPr>
              <w:t>19, 3</w:t>
            </w:r>
            <w:r w:rsidRPr="003C658F">
              <w:rPr>
                <w:rFonts w:ascii="Arial" w:eastAsia="Arial" w:hAnsi="Arial" w:cs="Arial"/>
                <w:sz w:val="16"/>
                <w:szCs w:val="16"/>
              </w:rPr>
              <w:t>)</w:t>
            </w:r>
          </w:p>
        </w:tc>
        <w:tc>
          <w:tcPr>
            <w:tcW w:w="990" w:type="dxa"/>
            <w:tcBorders>
              <w:top w:val="single" w:sz="4" w:space="0" w:color="auto"/>
            </w:tcBorders>
            <w:vAlign w:val="center"/>
          </w:tcPr>
          <w:p w14:paraId="5AC6B3C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tcBorders>
              <w:top w:val="single" w:sz="4" w:space="0" w:color="auto"/>
            </w:tcBorders>
            <w:vAlign w:val="center"/>
          </w:tcPr>
          <w:p w14:paraId="39F9B8DE" w14:textId="0C8B6EC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p>
        </w:tc>
      </w:tr>
      <w:tr w:rsidR="003B6842" w:rsidRPr="003C658F" w14:paraId="619DDAEC" w14:textId="3C35F5D0" w:rsidTr="003B6842">
        <w:tc>
          <w:tcPr>
            <w:cnfStyle w:val="001000000000" w:firstRow="0" w:lastRow="0" w:firstColumn="1" w:lastColumn="0" w:oddVBand="0" w:evenVBand="0" w:oddHBand="0" w:evenHBand="0" w:firstRowFirstColumn="0" w:firstRowLastColumn="0" w:lastRowFirstColumn="0" w:lastRowLastColumn="0"/>
            <w:tcW w:w="1620" w:type="dxa"/>
          </w:tcPr>
          <w:p w14:paraId="5013BA54" w14:textId="77777777" w:rsidR="00237055" w:rsidRPr="003C658F" w:rsidRDefault="00237055" w:rsidP="00237055">
            <w:pPr>
              <w:jc w:val="center"/>
              <w:rPr>
                <w:rFonts w:ascii="Arial" w:eastAsia="Arial" w:hAnsi="Arial" w:cs="Arial"/>
                <w:sz w:val="16"/>
                <w:szCs w:val="16"/>
              </w:rPr>
            </w:pPr>
          </w:p>
        </w:tc>
        <w:tc>
          <w:tcPr>
            <w:tcW w:w="720" w:type="dxa"/>
            <w:vAlign w:val="center"/>
          </w:tcPr>
          <w:p w14:paraId="339A093C" w14:textId="5F8A19F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376108A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2094ED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0C64EF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2D41A54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r w:rsidRPr="003C658F">
              <w:rPr>
                <w:rFonts w:ascii="Arial" w:eastAsia="Arial" w:hAnsi="Arial" w:cs="Arial"/>
                <w:sz w:val="16"/>
                <w:szCs w:val="16"/>
              </w:rPr>
              <w:t>)</w:t>
            </w:r>
          </w:p>
        </w:tc>
        <w:tc>
          <w:tcPr>
            <w:tcW w:w="990" w:type="dxa"/>
            <w:vAlign w:val="center"/>
          </w:tcPr>
          <w:p w14:paraId="4A6D63E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D240C3E" w14:textId="5C257F5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458A34E3" w14:textId="6AF6A500" w:rsidTr="003B6842">
        <w:tc>
          <w:tcPr>
            <w:cnfStyle w:val="001000000000" w:firstRow="0" w:lastRow="0" w:firstColumn="1" w:lastColumn="0" w:oddVBand="0" w:evenVBand="0" w:oddHBand="0" w:evenHBand="0" w:firstRowFirstColumn="0" w:firstRowLastColumn="0" w:lastRowFirstColumn="0" w:lastRowLastColumn="0"/>
            <w:tcW w:w="1620" w:type="dxa"/>
          </w:tcPr>
          <w:p w14:paraId="70038C03" w14:textId="77777777" w:rsidR="00237055" w:rsidRPr="003C658F" w:rsidRDefault="00237055" w:rsidP="00237055">
            <w:pPr>
              <w:jc w:val="center"/>
              <w:rPr>
                <w:rFonts w:ascii="Arial" w:eastAsia="Arial" w:hAnsi="Arial" w:cs="Arial"/>
                <w:sz w:val="16"/>
                <w:szCs w:val="16"/>
              </w:rPr>
            </w:pPr>
          </w:p>
        </w:tc>
        <w:tc>
          <w:tcPr>
            <w:tcW w:w="720" w:type="dxa"/>
            <w:vAlign w:val="center"/>
          </w:tcPr>
          <w:p w14:paraId="7FE4794E" w14:textId="1FE003E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B0EA2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7B8CD55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64E0EE2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86FD23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w:t>
            </w:r>
            <w:r w:rsidRPr="003C658F">
              <w:rPr>
                <w:rFonts w:ascii="Arial" w:eastAsia="Arial" w:hAnsi="Arial" w:cs="Arial"/>
                <w:sz w:val="16"/>
                <w:szCs w:val="16"/>
              </w:rPr>
              <w:t>, 0)</w:t>
            </w:r>
          </w:p>
        </w:tc>
        <w:tc>
          <w:tcPr>
            <w:tcW w:w="990" w:type="dxa"/>
            <w:vAlign w:val="center"/>
          </w:tcPr>
          <w:p w14:paraId="24E0222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24E238" w14:textId="2594000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7BDC31" w14:textId="09074382" w:rsidTr="003B6842">
        <w:tc>
          <w:tcPr>
            <w:cnfStyle w:val="001000000000" w:firstRow="0" w:lastRow="0" w:firstColumn="1" w:lastColumn="0" w:oddVBand="0" w:evenVBand="0" w:oddHBand="0" w:evenHBand="0" w:firstRowFirstColumn="0" w:firstRowLastColumn="0" w:lastRowFirstColumn="0" w:lastRowLastColumn="0"/>
            <w:tcW w:w="1620" w:type="dxa"/>
          </w:tcPr>
          <w:p w14:paraId="71A7F3C8" w14:textId="77777777" w:rsidR="00237055" w:rsidRDefault="00237055" w:rsidP="00237055">
            <w:pPr>
              <w:jc w:val="center"/>
              <w:rPr>
                <w:rFonts w:ascii="Arial" w:eastAsia="Arial" w:hAnsi="Arial" w:cs="Arial"/>
                <w:sz w:val="16"/>
                <w:szCs w:val="16"/>
              </w:rPr>
            </w:pPr>
          </w:p>
        </w:tc>
        <w:tc>
          <w:tcPr>
            <w:tcW w:w="720" w:type="dxa"/>
            <w:vAlign w:val="center"/>
          </w:tcPr>
          <w:p w14:paraId="621BCDB1" w14:textId="531F450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5FAEE8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414917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1080" w:type="dxa"/>
            <w:vAlign w:val="center"/>
          </w:tcPr>
          <w:p w14:paraId="341E95F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6F7BD8FE"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 (7, 0)</w:t>
            </w:r>
          </w:p>
        </w:tc>
        <w:tc>
          <w:tcPr>
            <w:tcW w:w="990" w:type="dxa"/>
            <w:vAlign w:val="center"/>
          </w:tcPr>
          <w:p w14:paraId="7D40795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76B57870" w14:textId="39D2064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r>
      <w:tr w:rsidR="003B6842" w:rsidRPr="003C658F" w14:paraId="2264A2F0" w14:textId="2ADA52F4" w:rsidTr="003B6842">
        <w:tc>
          <w:tcPr>
            <w:cnfStyle w:val="001000000000" w:firstRow="0" w:lastRow="0" w:firstColumn="1" w:lastColumn="0" w:oddVBand="0" w:evenVBand="0" w:oddHBand="0" w:evenHBand="0" w:firstRowFirstColumn="0" w:firstRowLastColumn="0" w:lastRowFirstColumn="0" w:lastRowLastColumn="0"/>
            <w:tcW w:w="1620" w:type="dxa"/>
          </w:tcPr>
          <w:p w14:paraId="63434837" w14:textId="77777777" w:rsidR="00237055" w:rsidRDefault="00237055" w:rsidP="00237055">
            <w:pPr>
              <w:jc w:val="center"/>
              <w:rPr>
                <w:rFonts w:ascii="Arial" w:eastAsia="Arial" w:hAnsi="Arial" w:cs="Arial"/>
                <w:sz w:val="16"/>
                <w:szCs w:val="16"/>
              </w:rPr>
            </w:pPr>
          </w:p>
        </w:tc>
        <w:tc>
          <w:tcPr>
            <w:tcW w:w="720" w:type="dxa"/>
            <w:vAlign w:val="center"/>
          </w:tcPr>
          <w:p w14:paraId="03BB18B3" w14:textId="5340427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3BAF36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4BD599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5C7C42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5A759602"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6C08A31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14AD34A2" w14:textId="494898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0FB27D1" w14:textId="53C8E419" w:rsidTr="003B6842">
        <w:tc>
          <w:tcPr>
            <w:cnfStyle w:val="001000000000" w:firstRow="0" w:lastRow="0" w:firstColumn="1" w:lastColumn="0" w:oddVBand="0" w:evenVBand="0" w:oddHBand="0" w:evenHBand="0" w:firstRowFirstColumn="0" w:firstRowLastColumn="0" w:lastRowFirstColumn="0" w:lastRowLastColumn="0"/>
            <w:tcW w:w="1620" w:type="dxa"/>
          </w:tcPr>
          <w:p w14:paraId="6AA225C6" w14:textId="77777777" w:rsidR="00237055" w:rsidRDefault="00237055" w:rsidP="00237055">
            <w:pPr>
              <w:jc w:val="center"/>
              <w:rPr>
                <w:rFonts w:ascii="Arial" w:eastAsia="Arial" w:hAnsi="Arial" w:cs="Arial"/>
                <w:sz w:val="16"/>
                <w:szCs w:val="16"/>
              </w:rPr>
            </w:pPr>
          </w:p>
        </w:tc>
        <w:tc>
          <w:tcPr>
            <w:tcW w:w="720" w:type="dxa"/>
            <w:vAlign w:val="center"/>
          </w:tcPr>
          <w:p w14:paraId="09CB8A10" w14:textId="2736568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607C361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1835007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460318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16816FA7"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 (2, 0)</w:t>
            </w:r>
          </w:p>
        </w:tc>
        <w:tc>
          <w:tcPr>
            <w:tcW w:w="990" w:type="dxa"/>
            <w:vAlign w:val="center"/>
          </w:tcPr>
          <w:p w14:paraId="7EA527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5CE3643A" w14:textId="0102FF3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3B6842" w:rsidRPr="003C658F" w14:paraId="59DB814F" w14:textId="1A88FA69" w:rsidTr="003B6842">
        <w:tc>
          <w:tcPr>
            <w:cnfStyle w:val="001000000000" w:firstRow="0" w:lastRow="0" w:firstColumn="1" w:lastColumn="0" w:oddVBand="0" w:evenVBand="0" w:oddHBand="0" w:evenHBand="0" w:firstRowFirstColumn="0" w:firstRowLastColumn="0" w:lastRowFirstColumn="0" w:lastRowLastColumn="0"/>
            <w:tcW w:w="1620" w:type="dxa"/>
          </w:tcPr>
          <w:p w14:paraId="55817824" w14:textId="77777777" w:rsidR="00237055" w:rsidRPr="003C658F" w:rsidRDefault="00237055" w:rsidP="00237055">
            <w:pPr>
              <w:jc w:val="center"/>
              <w:rPr>
                <w:rFonts w:ascii="Arial" w:eastAsia="Arial" w:hAnsi="Arial" w:cs="Arial"/>
                <w:sz w:val="16"/>
                <w:szCs w:val="16"/>
              </w:rPr>
            </w:pPr>
          </w:p>
        </w:tc>
        <w:tc>
          <w:tcPr>
            <w:tcW w:w="720" w:type="dxa"/>
            <w:vAlign w:val="center"/>
          </w:tcPr>
          <w:p w14:paraId="5E3344C8" w14:textId="699007A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6FE28DE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16B1B0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vAlign w:val="center"/>
          </w:tcPr>
          <w:p w14:paraId="64F7DCD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123AE8C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901EC8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FB52DB" w14:textId="6B06C1E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669098F" w14:textId="2BA664B1" w:rsidTr="003B6842">
        <w:tc>
          <w:tcPr>
            <w:cnfStyle w:val="001000000000" w:firstRow="0" w:lastRow="0" w:firstColumn="1" w:lastColumn="0" w:oddVBand="0" w:evenVBand="0" w:oddHBand="0" w:evenHBand="0" w:firstRowFirstColumn="0" w:firstRowLastColumn="0" w:lastRowFirstColumn="0" w:lastRowLastColumn="0"/>
            <w:tcW w:w="1620" w:type="dxa"/>
          </w:tcPr>
          <w:p w14:paraId="65387311" w14:textId="77777777" w:rsidR="00237055" w:rsidRPr="003C658F" w:rsidRDefault="00237055" w:rsidP="00237055">
            <w:pPr>
              <w:jc w:val="center"/>
              <w:rPr>
                <w:rFonts w:ascii="Arial" w:eastAsia="Arial" w:hAnsi="Arial" w:cs="Arial"/>
                <w:sz w:val="16"/>
                <w:szCs w:val="16"/>
              </w:rPr>
            </w:pPr>
          </w:p>
        </w:tc>
        <w:tc>
          <w:tcPr>
            <w:tcW w:w="720" w:type="dxa"/>
            <w:vAlign w:val="center"/>
          </w:tcPr>
          <w:p w14:paraId="54FC8931" w14:textId="62EACFF2"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72800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54A0929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F23A39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48039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4CC7C1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9719891" w14:textId="7D4935E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CD3F1AD" w14:textId="05F6CA59" w:rsidTr="003B6842">
        <w:tc>
          <w:tcPr>
            <w:cnfStyle w:val="001000000000" w:firstRow="0" w:lastRow="0" w:firstColumn="1" w:lastColumn="0" w:oddVBand="0" w:evenVBand="0" w:oddHBand="0" w:evenHBand="0" w:firstRowFirstColumn="0" w:firstRowLastColumn="0" w:lastRowFirstColumn="0" w:lastRowLastColumn="0"/>
            <w:tcW w:w="1620" w:type="dxa"/>
          </w:tcPr>
          <w:p w14:paraId="31A2E355" w14:textId="77777777" w:rsidR="00237055" w:rsidRPr="003C658F" w:rsidRDefault="00237055" w:rsidP="00237055">
            <w:pPr>
              <w:jc w:val="center"/>
              <w:rPr>
                <w:rFonts w:ascii="Arial" w:eastAsia="Arial" w:hAnsi="Arial" w:cs="Arial"/>
                <w:sz w:val="16"/>
                <w:szCs w:val="16"/>
              </w:rPr>
            </w:pPr>
          </w:p>
        </w:tc>
        <w:tc>
          <w:tcPr>
            <w:tcW w:w="720" w:type="dxa"/>
            <w:vAlign w:val="center"/>
          </w:tcPr>
          <w:p w14:paraId="26A06AD9" w14:textId="41A3528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32FCDA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BF0D9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1C1DFB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5BA3F6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351EE2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7BD5960" w14:textId="7CA5977C"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A082267" w14:textId="661A95AF" w:rsidTr="003B6842">
        <w:tc>
          <w:tcPr>
            <w:cnfStyle w:val="001000000000" w:firstRow="0" w:lastRow="0" w:firstColumn="1" w:lastColumn="0" w:oddVBand="0" w:evenVBand="0" w:oddHBand="0" w:evenHBand="0" w:firstRowFirstColumn="0" w:firstRowLastColumn="0" w:lastRowFirstColumn="0" w:lastRowLastColumn="0"/>
            <w:tcW w:w="1620" w:type="dxa"/>
          </w:tcPr>
          <w:p w14:paraId="582D3243" w14:textId="77777777" w:rsidR="00237055" w:rsidRPr="003C658F" w:rsidRDefault="00237055" w:rsidP="00237055">
            <w:pPr>
              <w:jc w:val="center"/>
              <w:rPr>
                <w:rFonts w:ascii="Arial" w:eastAsia="Arial" w:hAnsi="Arial" w:cs="Arial"/>
                <w:sz w:val="16"/>
                <w:szCs w:val="16"/>
              </w:rPr>
            </w:pPr>
          </w:p>
        </w:tc>
        <w:tc>
          <w:tcPr>
            <w:tcW w:w="720" w:type="dxa"/>
            <w:vAlign w:val="center"/>
          </w:tcPr>
          <w:p w14:paraId="69EB86EF" w14:textId="50F8143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0BA4803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Pos</w:t>
            </w:r>
          </w:p>
        </w:tc>
        <w:tc>
          <w:tcPr>
            <w:tcW w:w="990" w:type="dxa"/>
            <w:vAlign w:val="center"/>
          </w:tcPr>
          <w:p w14:paraId="40D7FF2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Pos</w:t>
            </w:r>
          </w:p>
        </w:tc>
        <w:tc>
          <w:tcPr>
            <w:tcW w:w="1080" w:type="dxa"/>
            <w:vAlign w:val="center"/>
          </w:tcPr>
          <w:p w14:paraId="3964129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47294A5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614E0F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4ED444D" w14:textId="77B175A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428B17D0" w14:textId="3D61FCC3" w:rsidTr="003B6842">
        <w:tc>
          <w:tcPr>
            <w:cnfStyle w:val="001000000000" w:firstRow="0" w:lastRow="0" w:firstColumn="1" w:lastColumn="0" w:oddVBand="0" w:evenVBand="0" w:oddHBand="0" w:evenHBand="0" w:firstRowFirstColumn="0" w:firstRowLastColumn="0" w:lastRowFirstColumn="0" w:lastRowLastColumn="0"/>
            <w:tcW w:w="1620" w:type="dxa"/>
          </w:tcPr>
          <w:p w14:paraId="435481D6" w14:textId="77777777" w:rsidR="00237055" w:rsidRPr="003C658F" w:rsidRDefault="00237055" w:rsidP="00237055">
            <w:pPr>
              <w:jc w:val="center"/>
              <w:rPr>
                <w:rFonts w:ascii="Arial" w:eastAsia="Arial" w:hAnsi="Arial" w:cs="Arial"/>
                <w:sz w:val="16"/>
                <w:szCs w:val="16"/>
              </w:rPr>
            </w:pPr>
          </w:p>
        </w:tc>
        <w:tc>
          <w:tcPr>
            <w:tcW w:w="720" w:type="dxa"/>
            <w:vAlign w:val="center"/>
          </w:tcPr>
          <w:p w14:paraId="651C90BF" w14:textId="58EE26D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3E9EC9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10264AB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80C99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5EF503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889338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32AA6EB" w14:textId="6DFB0FAF"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D93E016" w14:textId="46527CA8" w:rsidTr="003B6842">
        <w:tc>
          <w:tcPr>
            <w:cnfStyle w:val="001000000000" w:firstRow="0" w:lastRow="0" w:firstColumn="1" w:lastColumn="0" w:oddVBand="0" w:evenVBand="0" w:oddHBand="0" w:evenHBand="0" w:firstRowFirstColumn="0" w:firstRowLastColumn="0" w:lastRowFirstColumn="0" w:lastRowLastColumn="0"/>
            <w:tcW w:w="1620" w:type="dxa"/>
          </w:tcPr>
          <w:p w14:paraId="22E48536" w14:textId="77777777" w:rsidR="00237055" w:rsidRPr="003C658F" w:rsidRDefault="00237055" w:rsidP="00237055">
            <w:pPr>
              <w:jc w:val="center"/>
              <w:rPr>
                <w:rFonts w:ascii="Arial" w:eastAsia="Arial" w:hAnsi="Arial" w:cs="Arial"/>
                <w:sz w:val="16"/>
                <w:szCs w:val="16"/>
              </w:rPr>
            </w:pPr>
          </w:p>
        </w:tc>
        <w:tc>
          <w:tcPr>
            <w:tcW w:w="720" w:type="dxa"/>
            <w:vAlign w:val="center"/>
          </w:tcPr>
          <w:p w14:paraId="6D1D68F1" w14:textId="1C05BB0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C4FD2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3D45704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BF14CB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5EE5A3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2AC5B3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5851976" w14:textId="53959732"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136CBBF" w14:textId="3E2EBB4E" w:rsidTr="003B6842">
        <w:tc>
          <w:tcPr>
            <w:cnfStyle w:val="001000000000" w:firstRow="0" w:lastRow="0" w:firstColumn="1" w:lastColumn="0" w:oddVBand="0" w:evenVBand="0" w:oddHBand="0" w:evenHBand="0" w:firstRowFirstColumn="0" w:firstRowLastColumn="0" w:lastRowFirstColumn="0" w:lastRowLastColumn="0"/>
            <w:tcW w:w="1620" w:type="dxa"/>
          </w:tcPr>
          <w:p w14:paraId="60D8D9CF" w14:textId="77777777" w:rsidR="00237055" w:rsidRDefault="00237055" w:rsidP="00237055">
            <w:pPr>
              <w:jc w:val="center"/>
              <w:rPr>
                <w:rFonts w:ascii="Arial" w:eastAsia="Arial" w:hAnsi="Arial" w:cs="Arial"/>
                <w:sz w:val="16"/>
                <w:szCs w:val="16"/>
              </w:rPr>
            </w:pPr>
          </w:p>
        </w:tc>
        <w:tc>
          <w:tcPr>
            <w:tcW w:w="720" w:type="dxa"/>
            <w:vAlign w:val="center"/>
          </w:tcPr>
          <w:p w14:paraId="2D08A228" w14:textId="33D72CA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3F419D3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33A1CA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1080" w:type="dxa"/>
            <w:vAlign w:val="center"/>
          </w:tcPr>
          <w:p w14:paraId="776A174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49EDE959"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471DE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21D46758" w14:textId="2CD64549"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E5970C8" w14:textId="6C8D63CC" w:rsidTr="003B6842">
        <w:tc>
          <w:tcPr>
            <w:cnfStyle w:val="001000000000" w:firstRow="0" w:lastRow="0" w:firstColumn="1" w:lastColumn="0" w:oddVBand="0" w:evenVBand="0" w:oddHBand="0" w:evenHBand="0" w:firstRowFirstColumn="0" w:firstRowLastColumn="0" w:lastRowFirstColumn="0" w:lastRowLastColumn="0"/>
            <w:tcW w:w="1620" w:type="dxa"/>
          </w:tcPr>
          <w:p w14:paraId="07FCC4E2" w14:textId="77777777" w:rsidR="00237055" w:rsidRDefault="00237055" w:rsidP="00237055">
            <w:pPr>
              <w:jc w:val="center"/>
              <w:rPr>
                <w:rFonts w:ascii="Arial" w:eastAsia="Arial" w:hAnsi="Arial" w:cs="Arial"/>
                <w:sz w:val="16"/>
                <w:szCs w:val="16"/>
              </w:rPr>
            </w:pPr>
          </w:p>
        </w:tc>
        <w:tc>
          <w:tcPr>
            <w:tcW w:w="720" w:type="dxa"/>
            <w:vAlign w:val="center"/>
          </w:tcPr>
          <w:p w14:paraId="0E33444B" w14:textId="7A28BD8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5FCFA5E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3C1D1C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3E7156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19CDAEA4"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02B17EC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073A783B" w14:textId="332CDF7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85EFD1" w14:textId="6923314B" w:rsidTr="003B6842">
        <w:tc>
          <w:tcPr>
            <w:cnfStyle w:val="001000000000" w:firstRow="0" w:lastRow="0" w:firstColumn="1" w:lastColumn="0" w:oddVBand="0" w:evenVBand="0" w:oddHBand="0" w:evenHBand="0" w:firstRowFirstColumn="0" w:firstRowLastColumn="0" w:lastRowFirstColumn="0" w:lastRowLastColumn="0"/>
            <w:tcW w:w="1620" w:type="dxa"/>
          </w:tcPr>
          <w:p w14:paraId="04BD396C" w14:textId="77777777" w:rsidR="00237055" w:rsidRDefault="00237055" w:rsidP="00237055">
            <w:pPr>
              <w:jc w:val="center"/>
              <w:rPr>
                <w:rFonts w:ascii="Arial" w:eastAsia="Arial" w:hAnsi="Arial" w:cs="Arial"/>
                <w:sz w:val="16"/>
                <w:szCs w:val="16"/>
              </w:rPr>
            </w:pPr>
          </w:p>
        </w:tc>
        <w:tc>
          <w:tcPr>
            <w:tcW w:w="720" w:type="dxa"/>
            <w:vAlign w:val="center"/>
          </w:tcPr>
          <w:p w14:paraId="7848965A" w14:textId="0719D2E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13BCE89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134BA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6EF14C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584EB8B6"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5F11160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494" w:type="dxa"/>
            <w:vAlign w:val="center"/>
          </w:tcPr>
          <w:p w14:paraId="0626FD7D" w14:textId="5B8642F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r>
      <w:tr w:rsidR="003B6842" w:rsidRPr="003C658F" w14:paraId="60BFFDB9" w14:textId="20D765D3" w:rsidTr="003B6842">
        <w:tc>
          <w:tcPr>
            <w:cnfStyle w:val="001000000000" w:firstRow="0" w:lastRow="0" w:firstColumn="1" w:lastColumn="0" w:oddVBand="0" w:evenVBand="0" w:oddHBand="0" w:evenHBand="0" w:firstRowFirstColumn="0" w:firstRowLastColumn="0" w:lastRowFirstColumn="0" w:lastRowLastColumn="0"/>
            <w:tcW w:w="1620" w:type="dxa"/>
          </w:tcPr>
          <w:p w14:paraId="30157B96" w14:textId="77777777" w:rsidR="00237055" w:rsidRPr="003C658F" w:rsidRDefault="00237055" w:rsidP="00237055">
            <w:pPr>
              <w:jc w:val="center"/>
              <w:rPr>
                <w:rFonts w:ascii="Arial" w:eastAsia="Arial" w:hAnsi="Arial" w:cs="Arial"/>
                <w:sz w:val="16"/>
                <w:szCs w:val="16"/>
              </w:rPr>
            </w:pPr>
          </w:p>
        </w:tc>
        <w:tc>
          <w:tcPr>
            <w:tcW w:w="720" w:type="dxa"/>
            <w:vAlign w:val="center"/>
          </w:tcPr>
          <w:p w14:paraId="064DFB66" w14:textId="6A50929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8B21C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403ABA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vAlign w:val="center"/>
          </w:tcPr>
          <w:p w14:paraId="7BDE3C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2DE6FDD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1A4222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026A1916" w14:textId="48C4741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2EE8036" w14:textId="3B5114C5" w:rsidTr="003B6842">
        <w:tc>
          <w:tcPr>
            <w:cnfStyle w:val="001000000000" w:firstRow="0" w:lastRow="0" w:firstColumn="1" w:lastColumn="0" w:oddVBand="0" w:evenVBand="0" w:oddHBand="0" w:evenHBand="0" w:firstRowFirstColumn="0" w:firstRowLastColumn="0" w:lastRowFirstColumn="0" w:lastRowLastColumn="0"/>
            <w:tcW w:w="1620" w:type="dxa"/>
          </w:tcPr>
          <w:p w14:paraId="1303145F" w14:textId="77777777" w:rsidR="00237055" w:rsidRPr="003C658F" w:rsidRDefault="00237055" w:rsidP="00237055">
            <w:pPr>
              <w:jc w:val="center"/>
              <w:rPr>
                <w:rFonts w:ascii="Arial" w:eastAsia="Arial" w:hAnsi="Arial" w:cs="Arial"/>
                <w:sz w:val="16"/>
                <w:szCs w:val="16"/>
              </w:rPr>
            </w:pPr>
          </w:p>
        </w:tc>
        <w:tc>
          <w:tcPr>
            <w:tcW w:w="720" w:type="dxa"/>
            <w:vAlign w:val="center"/>
          </w:tcPr>
          <w:p w14:paraId="40759932" w14:textId="4332E83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A82D7B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89AB5C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23BE6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0D511A8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B7281E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309690C0" w14:textId="33A69F8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B80D240" w14:textId="1B3BF5A9"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11EC4ADD" w14:textId="77777777" w:rsidR="00237055" w:rsidRPr="003C658F" w:rsidRDefault="00237055" w:rsidP="00237055">
            <w:pPr>
              <w:jc w:val="center"/>
              <w:rPr>
                <w:rFonts w:ascii="Arial" w:eastAsia="Arial" w:hAnsi="Arial" w:cs="Arial"/>
                <w:sz w:val="16"/>
                <w:szCs w:val="16"/>
              </w:rPr>
            </w:pPr>
          </w:p>
        </w:tc>
        <w:tc>
          <w:tcPr>
            <w:tcW w:w="720" w:type="dxa"/>
            <w:tcBorders>
              <w:bottom w:val="single" w:sz="4" w:space="0" w:color="auto"/>
            </w:tcBorders>
            <w:vAlign w:val="center"/>
          </w:tcPr>
          <w:p w14:paraId="42B99D37" w14:textId="78312F3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65D11BB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tcBorders>
              <w:bottom w:val="single" w:sz="4" w:space="0" w:color="auto"/>
            </w:tcBorders>
            <w:vAlign w:val="center"/>
          </w:tcPr>
          <w:p w14:paraId="222172C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783C3B3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tcBorders>
              <w:bottom w:val="single" w:sz="4" w:space="0" w:color="auto"/>
            </w:tcBorders>
            <w:vAlign w:val="center"/>
          </w:tcPr>
          <w:p w14:paraId="54CB63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tcBorders>
              <w:bottom w:val="single" w:sz="4" w:space="0" w:color="auto"/>
            </w:tcBorders>
            <w:vAlign w:val="center"/>
          </w:tcPr>
          <w:p w14:paraId="19A3C9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1494" w:type="dxa"/>
            <w:tcBorders>
              <w:bottom w:val="single" w:sz="4" w:space="0" w:color="auto"/>
            </w:tcBorders>
            <w:vAlign w:val="center"/>
          </w:tcPr>
          <w:p w14:paraId="664C1B0D" w14:textId="1A43AE1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r>
      <w:tr w:rsidR="003B6842" w:rsidRPr="003C658F" w14:paraId="3FAD76D5" w14:textId="10B6A6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02399A4F" w14:textId="106B02A3" w:rsidR="00237055" w:rsidRPr="003C658F" w:rsidRDefault="00237055" w:rsidP="00D3036A">
            <w:pPr>
              <w:rPr>
                <w:rFonts w:ascii="Arial" w:eastAsia="Arial" w:hAnsi="Arial" w:cs="Arial"/>
                <w:sz w:val="16"/>
                <w:szCs w:val="16"/>
              </w:rPr>
            </w:pPr>
            <w:r>
              <w:rPr>
                <w:rFonts w:ascii="Arial" w:eastAsia="Arial" w:hAnsi="Arial" w:cs="Arial"/>
                <w:b w:val="0"/>
                <w:sz w:val="16"/>
                <w:szCs w:val="16"/>
              </w:rPr>
              <w:t>No. positive pools</w:t>
            </w:r>
          </w:p>
        </w:tc>
        <w:tc>
          <w:tcPr>
            <w:tcW w:w="720" w:type="dxa"/>
            <w:tcBorders>
              <w:bottom w:val="single" w:sz="4" w:space="0" w:color="auto"/>
            </w:tcBorders>
            <w:vAlign w:val="center"/>
          </w:tcPr>
          <w:p w14:paraId="18B3F592" w14:textId="6D12DB3C"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080" w:type="dxa"/>
            <w:tcBorders>
              <w:bottom w:val="single" w:sz="4" w:space="0" w:color="auto"/>
            </w:tcBorders>
            <w:vAlign w:val="center"/>
          </w:tcPr>
          <w:p w14:paraId="4AE09F8E" w14:textId="3D3D995A"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w:t>
            </w:r>
          </w:p>
        </w:tc>
        <w:tc>
          <w:tcPr>
            <w:tcW w:w="990" w:type="dxa"/>
            <w:tcBorders>
              <w:bottom w:val="single" w:sz="4" w:space="0" w:color="auto"/>
            </w:tcBorders>
            <w:vAlign w:val="center"/>
          </w:tcPr>
          <w:p w14:paraId="2655E94C" w14:textId="0CDABAF5"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w:t>
            </w:r>
          </w:p>
        </w:tc>
        <w:tc>
          <w:tcPr>
            <w:tcW w:w="1080" w:type="dxa"/>
            <w:tcBorders>
              <w:bottom w:val="single" w:sz="4" w:space="0" w:color="auto"/>
            </w:tcBorders>
            <w:vAlign w:val="center"/>
          </w:tcPr>
          <w:p w14:paraId="48E3D2DD" w14:textId="5EB3C432"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31</w:t>
            </w:r>
          </w:p>
        </w:tc>
        <w:tc>
          <w:tcPr>
            <w:tcW w:w="2250" w:type="dxa"/>
            <w:tcBorders>
              <w:bottom w:val="single" w:sz="4" w:space="0" w:color="auto"/>
            </w:tcBorders>
            <w:vAlign w:val="center"/>
          </w:tcPr>
          <w:p w14:paraId="688736E8" w14:textId="1ADD873A"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 (32, 3)</w:t>
            </w:r>
          </w:p>
        </w:tc>
        <w:tc>
          <w:tcPr>
            <w:tcW w:w="990" w:type="dxa"/>
            <w:tcBorders>
              <w:bottom w:val="single" w:sz="4" w:space="0" w:color="auto"/>
            </w:tcBorders>
            <w:vAlign w:val="center"/>
          </w:tcPr>
          <w:p w14:paraId="265255AC" w14:textId="28F18ED6"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A2141F9" w14:textId="560174EB"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05849B26" w14:textId="78ECCEDC"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514C89F" w14:textId="7450E9C0" w:rsidR="00237055" w:rsidRPr="003C658F" w:rsidRDefault="00237055" w:rsidP="00D3036A">
            <w:pPr>
              <w:rPr>
                <w:rFonts w:ascii="Arial" w:eastAsia="Arial" w:hAnsi="Arial" w:cs="Arial"/>
                <w:sz w:val="16"/>
                <w:szCs w:val="16"/>
              </w:rPr>
            </w:pPr>
            <w:r>
              <w:rPr>
                <w:rFonts w:ascii="Arial" w:eastAsia="Arial" w:hAnsi="Arial" w:cs="Arial"/>
                <w:b w:val="0"/>
                <w:sz w:val="16"/>
                <w:szCs w:val="16"/>
              </w:rPr>
              <w:t>No. negative pools</w:t>
            </w:r>
          </w:p>
        </w:tc>
        <w:tc>
          <w:tcPr>
            <w:tcW w:w="720" w:type="dxa"/>
            <w:tcBorders>
              <w:bottom w:val="single" w:sz="4" w:space="0" w:color="auto"/>
            </w:tcBorders>
            <w:vAlign w:val="center"/>
          </w:tcPr>
          <w:p w14:paraId="4E25306D" w14:textId="4864AD1F"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159</w:t>
            </w:r>
          </w:p>
        </w:tc>
        <w:tc>
          <w:tcPr>
            <w:tcW w:w="1080" w:type="dxa"/>
            <w:tcBorders>
              <w:bottom w:val="single" w:sz="4" w:space="0" w:color="auto"/>
            </w:tcBorders>
            <w:vAlign w:val="center"/>
          </w:tcPr>
          <w:p w14:paraId="03BFA1D7" w14:textId="22A3C36B"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990" w:type="dxa"/>
            <w:tcBorders>
              <w:bottom w:val="single" w:sz="4" w:space="0" w:color="auto"/>
            </w:tcBorders>
            <w:vAlign w:val="center"/>
          </w:tcPr>
          <w:p w14:paraId="69B07039" w14:textId="0EA775CB"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163</w:t>
            </w:r>
          </w:p>
        </w:tc>
        <w:tc>
          <w:tcPr>
            <w:tcW w:w="1080" w:type="dxa"/>
            <w:tcBorders>
              <w:bottom w:val="single" w:sz="4" w:space="0" w:color="auto"/>
            </w:tcBorders>
            <w:vAlign w:val="center"/>
          </w:tcPr>
          <w:p w14:paraId="30CE209C" w14:textId="1E99F194"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161</w:t>
            </w:r>
          </w:p>
        </w:tc>
        <w:tc>
          <w:tcPr>
            <w:tcW w:w="2250" w:type="dxa"/>
            <w:tcBorders>
              <w:bottom w:val="single" w:sz="4" w:space="0" w:color="auto"/>
            </w:tcBorders>
            <w:vAlign w:val="center"/>
          </w:tcPr>
          <w:p w14:paraId="378AA331" w14:textId="3F6BE308"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CA37321" w14:textId="6B5267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157</w:t>
            </w:r>
          </w:p>
        </w:tc>
        <w:tc>
          <w:tcPr>
            <w:tcW w:w="1494" w:type="dxa"/>
            <w:tcBorders>
              <w:bottom w:val="single" w:sz="4" w:space="0" w:color="auto"/>
            </w:tcBorders>
            <w:vAlign w:val="center"/>
          </w:tcPr>
          <w:p w14:paraId="2FC8D338" w14:textId="4DDF393E"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23C30097" w14:textId="465BEA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38DB2710" w14:textId="5F244FFA" w:rsidR="00237055" w:rsidRPr="003C658F" w:rsidRDefault="00237055" w:rsidP="00D3036A">
            <w:pPr>
              <w:rPr>
                <w:rFonts w:ascii="Arial" w:eastAsia="Arial" w:hAnsi="Arial" w:cs="Arial"/>
                <w:sz w:val="16"/>
                <w:szCs w:val="16"/>
              </w:rPr>
            </w:pPr>
            <w:r>
              <w:rPr>
                <w:rFonts w:ascii="Arial" w:eastAsia="Arial" w:hAnsi="Arial" w:cs="Arial"/>
                <w:b w:val="0"/>
                <w:sz w:val="16"/>
                <w:szCs w:val="16"/>
              </w:rPr>
              <w:t>Total no. pools</w:t>
            </w:r>
          </w:p>
        </w:tc>
        <w:tc>
          <w:tcPr>
            <w:tcW w:w="720" w:type="dxa"/>
            <w:tcBorders>
              <w:bottom w:val="single" w:sz="4" w:space="0" w:color="auto"/>
            </w:tcBorders>
            <w:vAlign w:val="center"/>
          </w:tcPr>
          <w:p w14:paraId="74EF4DD1" w14:textId="432498B4"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1B895279" w14:textId="4FD187DE"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136</w:t>
            </w:r>
          </w:p>
        </w:tc>
        <w:tc>
          <w:tcPr>
            <w:tcW w:w="990" w:type="dxa"/>
            <w:tcBorders>
              <w:bottom w:val="single" w:sz="4" w:space="0" w:color="auto"/>
            </w:tcBorders>
            <w:vAlign w:val="center"/>
          </w:tcPr>
          <w:p w14:paraId="7E2DB60F" w14:textId="3FE3C968"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3AAE4FF1" w14:textId="1E0EF8CF"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192</w:t>
            </w:r>
          </w:p>
        </w:tc>
        <w:tc>
          <w:tcPr>
            <w:tcW w:w="2250" w:type="dxa"/>
            <w:tcBorders>
              <w:bottom w:val="single" w:sz="4" w:space="0" w:color="auto"/>
            </w:tcBorders>
            <w:vAlign w:val="center"/>
          </w:tcPr>
          <w:p w14:paraId="7223AE00" w14:textId="07A3DEF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DD732C1" w14:textId="4CCC474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F43046F" w14:textId="761FDE2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r>
      <w:tr w:rsidR="00237055" w:rsidRPr="003C658F" w14:paraId="32A87D52" w14:textId="0D2CE5A4" w:rsidTr="00DE700A">
        <w:trPr>
          <w:trHeight w:val="809"/>
        </w:trPr>
        <w:tc>
          <w:tcPr>
            <w:cnfStyle w:val="001000000000" w:firstRow="0" w:lastRow="0" w:firstColumn="1" w:lastColumn="0" w:oddVBand="0" w:evenVBand="0" w:oddHBand="0" w:evenHBand="0" w:firstRowFirstColumn="0" w:firstRowLastColumn="0" w:lastRowFirstColumn="0" w:lastRowLastColumn="0"/>
            <w:tcW w:w="0" w:type="dxa"/>
            <w:gridSpan w:val="8"/>
            <w:tcBorders>
              <w:top w:val="single" w:sz="4" w:space="0" w:color="auto"/>
              <w:bottom w:val="nil"/>
            </w:tcBorders>
            <w:vAlign w:val="bottom"/>
          </w:tcPr>
          <w:p w14:paraId="254A0676" w14:textId="746BD7C2" w:rsidR="00237055" w:rsidRPr="00B0314B" w:rsidRDefault="00237055" w:rsidP="009A194E">
            <w:pPr>
              <w:rPr>
                <w:rFonts w:ascii="Arial" w:eastAsia="Arial" w:hAnsi="Arial" w:cs="Arial"/>
                <w:b w:val="0"/>
                <w:sz w:val="16"/>
                <w:szCs w:val="16"/>
              </w:rPr>
            </w:pPr>
            <w:r w:rsidRPr="00B0314B">
              <w:rPr>
                <w:rFonts w:ascii="Arial" w:eastAsia="Arial" w:hAnsi="Arial" w:cs="Arial"/>
                <w:sz w:val="16"/>
                <w:szCs w:val="16"/>
              </w:rPr>
              <w:t>*</w:t>
            </w:r>
            <w:r w:rsidR="00D3036A">
              <w:rPr>
                <w:rFonts w:ascii="Arial" w:eastAsia="Arial" w:hAnsi="Arial" w:cs="Arial"/>
                <w:b w:val="0"/>
                <w:sz w:val="16"/>
                <w:szCs w:val="16"/>
              </w:rPr>
              <w:t xml:space="preserve">N/A, not applicable, indicates pools </w:t>
            </w:r>
            <w:r>
              <w:rPr>
                <w:rFonts w:ascii="Arial" w:eastAsia="Arial" w:hAnsi="Arial" w:cs="Arial"/>
                <w:b w:val="0"/>
                <w:sz w:val="16"/>
                <w:szCs w:val="16"/>
              </w:rPr>
              <w:t>with no Panther Fusion testing done.</w:t>
            </w:r>
          </w:p>
          <w:p w14:paraId="0E7276C9" w14:textId="23E69BF5" w:rsidR="00237055" w:rsidRPr="00B0314B" w:rsidRDefault="00237055" w:rsidP="00A44FDB">
            <w:pPr>
              <w:rPr>
                <w:rFonts w:ascii="Arial" w:eastAsia="Arial" w:hAnsi="Arial" w:cs="Arial"/>
                <w:sz w:val="16"/>
                <w:szCs w:val="16"/>
              </w:rPr>
            </w:pPr>
            <w:r w:rsidRPr="003C658F">
              <w:rPr>
                <w:rFonts w:ascii="Arial" w:eastAsia="Arial" w:hAnsi="Arial" w:cs="Arial"/>
                <w:b w:val="0"/>
                <w:sz w:val="16"/>
                <w:szCs w:val="16"/>
              </w:rPr>
              <w:t>LDT, lab</w:t>
            </w:r>
            <w:r>
              <w:rPr>
                <w:rFonts w:ascii="Arial" w:eastAsia="Arial" w:hAnsi="Arial" w:cs="Arial"/>
                <w:b w:val="0"/>
                <w:sz w:val="16"/>
                <w:szCs w:val="16"/>
              </w:rPr>
              <w:t>oratory-</w:t>
            </w:r>
            <w:r w:rsidRPr="003C658F">
              <w:rPr>
                <w:rFonts w:ascii="Arial" w:eastAsia="Arial" w:hAnsi="Arial" w:cs="Arial"/>
                <w:b w:val="0"/>
                <w:sz w:val="16"/>
                <w:szCs w:val="16"/>
              </w:rPr>
              <w:t xml:space="preserve">developed test; Panther Aptima-M, Panther Aptima with manufacturer-set relative light unit cutoff; Panther Aptima-350, Panther Aptima with relative light unit cutoff of &gt;350 considered positive; no., number; 1PP, 1 positive specimen in pool; &gt;1PP, 2 or more positive specimens in pool; Pos, positive; -, negative; </w:t>
            </w:r>
            <w:r w:rsidRPr="003C658F">
              <w:rPr>
                <w:rFonts w:ascii="Arial" w:eastAsia="Arial" w:hAnsi="Arial" w:cs="Arial"/>
                <w:b w:val="0"/>
                <w:bCs w:val="0"/>
                <w:sz w:val="16"/>
                <w:szCs w:val="16"/>
              </w:rPr>
              <w:t>C</w:t>
            </w:r>
            <w:r w:rsidRPr="003C658F">
              <w:rPr>
                <w:rFonts w:ascii="Arial" w:eastAsia="Arial" w:hAnsi="Arial" w:cs="Arial"/>
                <w:b w:val="0"/>
                <w:bCs w:val="0"/>
                <w:sz w:val="16"/>
                <w:szCs w:val="16"/>
                <w:vertAlign w:val="subscript"/>
              </w:rPr>
              <w:t>t</w:t>
            </w:r>
            <w:r w:rsidRPr="003C658F">
              <w:rPr>
                <w:rFonts w:ascii="Arial" w:eastAsia="Arial" w:hAnsi="Arial" w:cs="Arial"/>
                <w:b w:val="0"/>
                <w:bCs w:val="0"/>
                <w:sz w:val="16"/>
                <w:szCs w:val="16"/>
              </w:rPr>
              <w:t xml:space="preserve">, cycle threshold; </w:t>
            </w:r>
            <w:r w:rsidRPr="003C658F">
              <w:rPr>
                <w:rFonts w:ascii="Arial" w:eastAsia="Arial" w:hAnsi="Arial" w:cs="Arial"/>
                <w:b w:val="0"/>
                <w:sz w:val="16"/>
                <w:szCs w:val="16"/>
              </w:rPr>
              <w:t>RLU, relative light unit.</w:t>
            </w:r>
          </w:p>
        </w:tc>
      </w:tr>
    </w:tbl>
    <w:p w14:paraId="06ACF047" w14:textId="2CF647A8" w:rsidR="00DF6F6F" w:rsidRPr="00084FA1" w:rsidRDefault="00DF6F6F" w:rsidP="00084FA1">
      <w:pPr>
        <w:rPr>
          <w:rFonts w:ascii="Arial" w:hAnsi="Arial" w:cs="Arial"/>
          <w:bCs/>
          <w:sz w:val="20"/>
          <w:szCs w:val="20"/>
        </w:rPr>
      </w:pPr>
      <w:r>
        <w:br w:type="page"/>
      </w:r>
    </w:p>
    <w:p w14:paraId="283C8CDF" w14:textId="73EB4FF0" w:rsidR="00DF6F6F" w:rsidRDefault="00DF6F6F" w:rsidP="00DF6F6F">
      <w:pPr>
        <w:spacing w:line="480" w:lineRule="auto"/>
        <w:rPr>
          <w:rFonts w:eastAsia="Arial"/>
        </w:rPr>
      </w:pPr>
      <w:r>
        <w:rPr>
          <w:rFonts w:eastAsia="Arial"/>
          <w:b/>
          <w:bCs/>
        </w:rPr>
        <w:lastRenderedPageBreak/>
        <w:t>Appendix Table</w:t>
      </w:r>
      <w:r w:rsidRPr="00B1770D">
        <w:rPr>
          <w:rFonts w:eastAsia="Arial"/>
          <w:b/>
          <w:bCs/>
        </w:rPr>
        <w:t xml:space="preserve"> </w:t>
      </w:r>
      <w:r w:rsidR="00084FA1">
        <w:rPr>
          <w:rFonts w:eastAsia="Arial"/>
          <w:b/>
          <w:bCs/>
        </w:rPr>
        <w:t>3</w:t>
      </w:r>
      <w:r w:rsidRPr="00B1770D">
        <w:rPr>
          <w:rFonts w:eastAsia="Arial"/>
          <w:b/>
          <w:bCs/>
        </w:rPr>
        <w:t>.</w:t>
      </w:r>
      <w:r w:rsidRPr="006F1059">
        <w:rPr>
          <w:rFonts w:eastAsia="Arial"/>
        </w:rPr>
        <w:t xml:space="preserve"> </w:t>
      </w:r>
      <w:r w:rsidR="00200BFB">
        <w:rPr>
          <w:rFonts w:eastAsia="Arial"/>
        </w:rPr>
        <w:t>Modeled versus empiric positive percent agreement and testing efficiency</w:t>
      </w:r>
    </w:p>
    <w:tbl>
      <w:tblPr>
        <w:tblStyle w:val="PlainTable21"/>
        <w:tblW w:w="117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48"/>
        <w:gridCol w:w="537"/>
        <w:gridCol w:w="1018"/>
        <w:gridCol w:w="812"/>
        <w:gridCol w:w="627"/>
        <w:gridCol w:w="768"/>
        <w:gridCol w:w="1790"/>
        <w:gridCol w:w="1710"/>
        <w:gridCol w:w="1918"/>
        <w:gridCol w:w="872"/>
      </w:tblGrid>
      <w:tr w:rsidR="00AF1EBE" w14:paraId="6B322527" w14:textId="059F3388" w:rsidTr="00AF1EBE">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48" w:type="dxa"/>
            <w:vMerge w:val="restart"/>
            <w:tcBorders>
              <w:left w:val="nil"/>
              <w:right w:val="nil"/>
            </w:tcBorders>
            <w:vAlign w:val="center"/>
          </w:tcPr>
          <w:p w14:paraId="35F51457" w14:textId="77777777" w:rsidR="0089148A" w:rsidRPr="000A0FFD" w:rsidRDefault="0089148A" w:rsidP="009D41AA">
            <w:pPr>
              <w:rPr>
                <w:rFonts w:ascii="Arial" w:eastAsia="Arial" w:hAnsi="Arial" w:cs="Arial"/>
                <w:sz w:val="16"/>
                <w:szCs w:val="16"/>
              </w:rPr>
            </w:pPr>
            <w:r w:rsidRPr="000A0FFD">
              <w:rPr>
                <w:rFonts w:ascii="Arial" w:eastAsia="Arial" w:hAnsi="Arial" w:cs="Arial"/>
                <w:b w:val="0"/>
                <w:sz w:val="16"/>
                <w:szCs w:val="16"/>
              </w:rPr>
              <w:t xml:space="preserve">Testing </w:t>
            </w:r>
            <w:r>
              <w:rPr>
                <w:rFonts w:ascii="Arial" w:eastAsia="Arial" w:hAnsi="Arial" w:cs="Arial"/>
                <w:b w:val="0"/>
                <w:sz w:val="16"/>
                <w:szCs w:val="16"/>
              </w:rPr>
              <w:t>p</w:t>
            </w:r>
            <w:r w:rsidRPr="000A0FFD">
              <w:rPr>
                <w:rFonts w:ascii="Arial" w:eastAsia="Arial" w:hAnsi="Arial" w:cs="Arial"/>
                <w:b w:val="0"/>
                <w:sz w:val="16"/>
                <w:szCs w:val="16"/>
              </w:rPr>
              <w:t>latform</w:t>
            </w:r>
          </w:p>
        </w:tc>
        <w:tc>
          <w:tcPr>
            <w:tcW w:w="537" w:type="dxa"/>
            <w:vMerge w:val="restart"/>
            <w:tcBorders>
              <w:left w:val="nil"/>
              <w:right w:val="nil"/>
            </w:tcBorders>
            <w:vAlign w:val="center"/>
          </w:tcPr>
          <w:p w14:paraId="161A1278" w14:textId="77777777" w:rsidR="0089148A" w:rsidRPr="000A0FFD" w:rsidRDefault="0089148A" w:rsidP="004B194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 w:val="0"/>
                <w:sz w:val="16"/>
                <w:szCs w:val="16"/>
              </w:rPr>
              <w:t>Pool size</w:t>
            </w:r>
          </w:p>
        </w:tc>
        <w:tc>
          <w:tcPr>
            <w:tcW w:w="1018" w:type="dxa"/>
            <w:vMerge w:val="restart"/>
            <w:tcBorders>
              <w:left w:val="nil"/>
              <w:right w:val="nil"/>
            </w:tcBorders>
            <w:vAlign w:val="center"/>
          </w:tcPr>
          <w:p w14:paraId="0143364D" w14:textId="1CBA593A" w:rsidR="0089148A" w:rsidRPr="000A0FFD" w:rsidRDefault="0089148A" w:rsidP="00071C3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 w:val="0"/>
                <w:sz w:val="16"/>
                <w:szCs w:val="16"/>
              </w:rPr>
              <w:t>Test</w:t>
            </w:r>
            <w:r w:rsidRPr="000A0FFD">
              <w:rPr>
                <w:rFonts w:ascii="Arial" w:eastAsia="Arial" w:hAnsi="Arial" w:cs="Arial"/>
                <w:b w:val="0"/>
                <w:sz w:val="16"/>
                <w:szCs w:val="16"/>
              </w:rPr>
              <w:t xml:space="preserve"> type</w:t>
            </w:r>
          </w:p>
        </w:tc>
        <w:tc>
          <w:tcPr>
            <w:tcW w:w="2207" w:type="dxa"/>
            <w:gridSpan w:val="3"/>
            <w:tcBorders>
              <w:left w:val="nil"/>
              <w:right w:val="nil"/>
            </w:tcBorders>
            <w:vAlign w:val="center"/>
          </w:tcPr>
          <w:p w14:paraId="72FF580D" w14:textId="4370F3B2" w:rsidR="0089148A" w:rsidRPr="000A0FFD" w:rsidRDefault="0089148A" w:rsidP="0060308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Pr>
                <w:rFonts w:ascii="Arial" w:eastAsia="Arial" w:hAnsi="Arial" w:cs="Arial"/>
                <w:b w:val="0"/>
                <w:sz w:val="16"/>
                <w:szCs w:val="16"/>
              </w:rPr>
              <w:t>Model input</w:t>
            </w:r>
            <w:r w:rsidR="001769EE">
              <w:rPr>
                <w:rFonts w:ascii="Arial" w:eastAsia="Arial" w:hAnsi="Arial" w:cs="Arial"/>
                <w:b w:val="0"/>
                <w:sz w:val="16"/>
                <w:szCs w:val="16"/>
              </w:rPr>
              <w:t xml:space="preserve"> variables</w:t>
            </w:r>
          </w:p>
        </w:tc>
        <w:tc>
          <w:tcPr>
            <w:tcW w:w="3500" w:type="dxa"/>
            <w:gridSpan w:val="2"/>
            <w:tcBorders>
              <w:left w:val="nil"/>
              <w:right w:val="nil"/>
            </w:tcBorders>
            <w:vAlign w:val="center"/>
          </w:tcPr>
          <w:p w14:paraId="48E1DCF3" w14:textId="147E5D1B" w:rsidR="0089148A" w:rsidRPr="009A194E" w:rsidRDefault="0089148A" w:rsidP="008F4D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 xml:space="preserve">Model </w:t>
            </w:r>
            <w:r w:rsidR="001769EE">
              <w:rPr>
                <w:rFonts w:ascii="Arial" w:eastAsia="Arial" w:hAnsi="Arial" w:cs="Arial"/>
                <w:b w:val="0"/>
                <w:bCs w:val="0"/>
                <w:sz w:val="16"/>
                <w:szCs w:val="16"/>
              </w:rPr>
              <w:t xml:space="preserve">estimate </w:t>
            </w:r>
            <w:r>
              <w:rPr>
                <w:rFonts w:ascii="Arial" w:eastAsia="Arial" w:hAnsi="Arial" w:cs="Arial"/>
                <w:b w:val="0"/>
                <w:bCs w:val="0"/>
                <w:sz w:val="16"/>
                <w:szCs w:val="16"/>
              </w:rPr>
              <w:t>with PSA</w:t>
            </w:r>
          </w:p>
        </w:tc>
        <w:tc>
          <w:tcPr>
            <w:tcW w:w="2790" w:type="dxa"/>
            <w:gridSpan w:val="2"/>
            <w:tcBorders>
              <w:left w:val="nil"/>
              <w:right w:val="nil"/>
            </w:tcBorders>
            <w:vAlign w:val="center"/>
          </w:tcPr>
          <w:p w14:paraId="4788A519" w14:textId="03BCB2DF" w:rsidR="0089148A" w:rsidRDefault="0089148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Empiric data</w:t>
            </w:r>
          </w:p>
        </w:tc>
      </w:tr>
      <w:tr w:rsidR="00AF1EBE" w14:paraId="4DF8F6AF" w14:textId="60328ED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vMerge/>
            <w:tcBorders>
              <w:left w:val="nil"/>
              <w:right w:val="nil"/>
            </w:tcBorders>
            <w:vAlign w:val="center"/>
          </w:tcPr>
          <w:p w14:paraId="7DC82B3F" w14:textId="77777777" w:rsidR="0089148A" w:rsidRPr="000A0FFD" w:rsidRDefault="0089148A">
            <w:pPr>
              <w:rPr>
                <w:rFonts w:ascii="Arial" w:eastAsia="Arial" w:hAnsi="Arial" w:cs="Arial"/>
                <w:b w:val="0"/>
                <w:sz w:val="16"/>
                <w:szCs w:val="16"/>
              </w:rPr>
            </w:pPr>
          </w:p>
        </w:tc>
        <w:tc>
          <w:tcPr>
            <w:tcW w:w="537" w:type="dxa"/>
            <w:vMerge/>
            <w:tcBorders>
              <w:left w:val="nil"/>
              <w:right w:val="nil"/>
            </w:tcBorders>
            <w:vAlign w:val="center"/>
          </w:tcPr>
          <w:p w14:paraId="03300740"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1018" w:type="dxa"/>
            <w:vMerge/>
            <w:tcBorders>
              <w:left w:val="nil"/>
              <w:right w:val="nil"/>
            </w:tcBorders>
            <w:vAlign w:val="center"/>
          </w:tcPr>
          <w:p w14:paraId="6492E35C"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812" w:type="dxa"/>
            <w:tcBorders>
              <w:left w:val="nil"/>
              <w:right w:val="nil"/>
            </w:tcBorders>
            <w:vAlign w:val="center"/>
          </w:tcPr>
          <w:p w14:paraId="72293AB4" w14:textId="18DCCD8E"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Percent positive samples</w:t>
            </w:r>
          </w:p>
        </w:tc>
        <w:tc>
          <w:tcPr>
            <w:tcW w:w="627" w:type="dxa"/>
            <w:tcBorders>
              <w:left w:val="nil"/>
              <w:right w:val="nil"/>
            </w:tcBorders>
            <w:vAlign w:val="center"/>
          </w:tcPr>
          <w:p w14:paraId="1BBD7898" w14:textId="21BA7292" w:rsidR="0089148A" w:rsidRPr="0089148A" w:rsidRDefault="002B5E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 xml:space="preserve">95% </w:t>
            </w:r>
            <w:proofErr w:type="spellStart"/>
            <w:r w:rsidR="0089148A" w:rsidRPr="00AF1EBE">
              <w:rPr>
                <w:rFonts w:ascii="Arial" w:eastAsia="Arial" w:hAnsi="Arial" w:cs="Arial"/>
                <w:sz w:val="16"/>
                <w:szCs w:val="16"/>
              </w:rPr>
              <w:t>LoD</w:t>
            </w:r>
            <w:proofErr w:type="spellEnd"/>
          </w:p>
        </w:tc>
        <w:tc>
          <w:tcPr>
            <w:tcW w:w="768" w:type="dxa"/>
            <w:tcBorders>
              <w:left w:val="nil"/>
              <w:right w:val="nil"/>
            </w:tcBorders>
            <w:vAlign w:val="center"/>
          </w:tcPr>
          <w:p w14:paraId="32BE0D05" w14:textId="7F92C222"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 xml:space="preserve">Percent Ct &gt; </w:t>
            </w:r>
            <w:proofErr w:type="spellStart"/>
            <w:r w:rsidRPr="00AF1EBE">
              <w:rPr>
                <w:rFonts w:ascii="Arial" w:eastAsia="Arial" w:hAnsi="Arial" w:cs="Arial"/>
                <w:sz w:val="16"/>
                <w:szCs w:val="16"/>
              </w:rPr>
              <w:t>LoD</w:t>
            </w:r>
            <w:proofErr w:type="spellEnd"/>
          </w:p>
        </w:tc>
        <w:tc>
          <w:tcPr>
            <w:tcW w:w="1790" w:type="dxa"/>
            <w:tcBorders>
              <w:left w:val="nil"/>
              <w:right w:val="nil"/>
            </w:tcBorders>
            <w:vAlign w:val="center"/>
          </w:tcPr>
          <w:p w14:paraId="40063595" w14:textId="1B719667"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PPA (95% CI)</w:t>
            </w:r>
          </w:p>
        </w:tc>
        <w:tc>
          <w:tcPr>
            <w:tcW w:w="1710" w:type="dxa"/>
            <w:tcBorders>
              <w:left w:val="nil"/>
              <w:right w:val="nil"/>
            </w:tcBorders>
            <w:vAlign w:val="center"/>
          </w:tcPr>
          <w:p w14:paraId="49427AE2" w14:textId="6FA3AF0D"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Tests per sample (95% CI)</w:t>
            </w:r>
          </w:p>
        </w:tc>
        <w:tc>
          <w:tcPr>
            <w:tcW w:w="1918" w:type="dxa"/>
            <w:tcBorders>
              <w:left w:val="nil"/>
              <w:right w:val="nil"/>
            </w:tcBorders>
            <w:vAlign w:val="center"/>
          </w:tcPr>
          <w:p w14:paraId="582B6C34" w14:textId="00359D35"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PPA (95% CI)</w:t>
            </w:r>
          </w:p>
        </w:tc>
        <w:tc>
          <w:tcPr>
            <w:tcW w:w="872" w:type="dxa"/>
            <w:tcBorders>
              <w:left w:val="nil"/>
              <w:right w:val="nil"/>
            </w:tcBorders>
            <w:vAlign w:val="center"/>
          </w:tcPr>
          <w:p w14:paraId="0E9FABE0" w14:textId="23DCAB7C"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Tests per sample</w:t>
            </w:r>
          </w:p>
        </w:tc>
      </w:tr>
      <w:tr w:rsidR="00AF1EBE" w14:paraId="28B9B257" w14:textId="1E915FF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31C72D6"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556E5E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0634B707" w14:textId="07FC70B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2F5E3686"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sz w:val="16"/>
                <w:szCs w:val="16"/>
              </w:rPr>
              <w:t>6.6%</w:t>
            </w:r>
          </w:p>
        </w:tc>
        <w:tc>
          <w:tcPr>
            <w:tcW w:w="627" w:type="dxa"/>
            <w:tcBorders>
              <w:left w:val="nil"/>
              <w:right w:val="nil"/>
            </w:tcBorders>
            <w:vAlign w:val="center"/>
          </w:tcPr>
          <w:p w14:paraId="70DA7649" w14:textId="013A48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4C5E883F" w14:textId="4EC82FB1"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22.4%</w:t>
            </w:r>
          </w:p>
        </w:tc>
        <w:tc>
          <w:tcPr>
            <w:tcW w:w="1790" w:type="dxa"/>
            <w:tcBorders>
              <w:left w:val="nil"/>
              <w:right w:val="nil"/>
            </w:tcBorders>
            <w:vAlign w:val="center"/>
          </w:tcPr>
          <w:p w14:paraId="619DC35C" w14:textId="6BC1F93D"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84.0% (78.9%-89.0%)</w:t>
            </w:r>
          </w:p>
        </w:tc>
        <w:tc>
          <w:tcPr>
            <w:tcW w:w="1710" w:type="dxa"/>
            <w:tcBorders>
              <w:left w:val="nil"/>
              <w:right w:val="nil"/>
            </w:tcBorders>
            <w:vAlign w:val="center"/>
          </w:tcPr>
          <w:p w14:paraId="7C5C7E87" w14:textId="149D893E"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0.479 (0.457-0.500)</w:t>
            </w:r>
          </w:p>
        </w:tc>
        <w:tc>
          <w:tcPr>
            <w:tcW w:w="1918" w:type="dxa"/>
            <w:tcBorders>
              <w:left w:val="nil"/>
              <w:right w:val="nil"/>
            </w:tcBorders>
            <w:vAlign w:val="center"/>
          </w:tcPr>
          <w:p w14:paraId="5DA38550" w14:textId="4AAC795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71.7% (56.5%-84.0%)</w:t>
            </w:r>
          </w:p>
        </w:tc>
        <w:tc>
          <w:tcPr>
            <w:tcW w:w="872" w:type="dxa"/>
            <w:tcBorders>
              <w:left w:val="nil"/>
              <w:right w:val="nil"/>
            </w:tcBorders>
            <w:vAlign w:val="center"/>
          </w:tcPr>
          <w:p w14:paraId="4A1AFA98" w14:textId="43A0A9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0028A87D" w14:textId="080C62B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6FB725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275D8EE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4B4008F6" w14:textId="0221ADA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2A4A56C" w14:textId="5A6C3E5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c>
          <w:tcPr>
            <w:tcW w:w="627" w:type="dxa"/>
            <w:tcBorders>
              <w:left w:val="nil"/>
              <w:right w:val="nil"/>
            </w:tcBorders>
            <w:vAlign w:val="center"/>
          </w:tcPr>
          <w:p w14:paraId="6BC3E78C" w14:textId="789F87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16B1B31" w14:textId="07F8B85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24.1%</w:t>
            </w:r>
          </w:p>
        </w:tc>
        <w:tc>
          <w:tcPr>
            <w:tcW w:w="1790" w:type="dxa"/>
            <w:tcBorders>
              <w:left w:val="nil"/>
              <w:right w:val="nil"/>
            </w:tcBorders>
            <w:vAlign w:val="center"/>
          </w:tcPr>
          <w:p w14:paraId="74FF037C" w14:textId="041B3EF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82.7% (77.</w:t>
            </w:r>
            <w:r w:rsidR="006F6179">
              <w:rPr>
                <w:rFonts w:ascii="Arial" w:eastAsia="Arial" w:hAnsi="Arial" w:cs="Arial"/>
                <w:sz w:val="16"/>
                <w:szCs w:val="16"/>
              </w:rPr>
              <w:t>5</w:t>
            </w:r>
            <w:r>
              <w:rPr>
                <w:rFonts w:ascii="Arial" w:eastAsia="Arial" w:hAnsi="Arial" w:cs="Arial"/>
                <w:sz w:val="16"/>
                <w:szCs w:val="16"/>
              </w:rPr>
              <w:t>%-88.</w:t>
            </w:r>
            <w:r w:rsidR="006F6179">
              <w:rPr>
                <w:rFonts w:ascii="Arial" w:eastAsia="Arial" w:hAnsi="Arial" w:cs="Arial"/>
                <w:sz w:val="16"/>
                <w:szCs w:val="16"/>
              </w:rPr>
              <w:t>1</w:t>
            </w:r>
            <w:r>
              <w:rPr>
                <w:rFonts w:ascii="Arial" w:eastAsia="Arial" w:hAnsi="Arial" w:cs="Arial"/>
                <w:sz w:val="16"/>
                <w:szCs w:val="16"/>
              </w:rPr>
              <w:t>%)</w:t>
            </w:r>
          </w:p>
        </w:tc>
        <w:tc>
          <w:tcPr>
            <w:tcW w:w="1710" w:type="dxa"/>
            <w:tcBorders>
              <w:left w:val="nil"/>
              <w:right w:val="nil"/>
            </w:tcBorders>
            <w:vAlign w:val="center"/>
          </w:tcPr>
          <w:p w14:paraId="7635A055" w14:textId="0529DE87"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0.473 (0.45</w:t>
            </w:r>
            <w:r w:rsidR="006F6179">
              <w:rPr>
                <w:rFonts w:ascii="Arial" w:eastAsia="Arial" w:hAnsi="Arial" w:cs="Arial"/>
                <w:sz w:val="16"/>
                <w:szCs w:val="16"/>
              </w:rPr>
              <w:t>1</w:t>
            </w:r>
            <w:r>
              <w:rPr>
                <w:rFonts w:ascii="Arial" w:eastAsia="Arial" w:hAnsi="Arial" w:cs="Arial"/>
                <w:sz w:val="16"/>
                <w:szCs w:val="16"/>
              </w:rPr>
              <w:t>-0.49</w:t>
            </w:r>
            <w:r w:rsidR="006F6179">
              <w:rPr>
                <w:rFonts w:ascii="Arial" w:eastAsia="Arial" w:hAnsi="Arial" w:cs="Arial"/>
                <w:sz w:val="16"/>
                <w:szCs w:val="16"/>
              </w:rPr>
              <w:t>6</w:t>
            </w:r>
            <w:r>
              <w:rPr>
                <w:rFonts w:ascii="Arial" w:eastAsia="Arial" w:hAnsi="Arial" w:cs="Arial"/>
                <w:sz w:val="16"/>
                <w:szCs w:val="16"/>
              </w:rPr>
              <w:t>)</w:t>
            </w:r>
          </w:p>
        </w:tc>
        <w:tc>
          <w:tcPr>
            <w:tcW w:w="1918" w:type="dxa"/>
            <w:tcBorders>
              <w:left w:val="nil"/>
              <w:right w:val="nil"/>
            </w:tcBorders>
            <w:vAlign w:val="center"/>
          </w:tcPr>
          <w:p w14:paraId="1EB581C3" w14:textId="55B8222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76.1% (61.2%-87.4%)</w:t>
            </w:r>
          </w:p>
        </w:tc>
        <w:tc>
          <w:tcPr>
            <w:tcW w:w="872" w:type="dxa"/>
            <w:tcBorders>
              <w:left w:val="nil"/>
              <w:right w:val="nil"/>
            </w:tcBorders>
            <w:vAlign w:val="center"/>
          </w:tcPr>
          <w:p w14:paraId="5E343450" w14:textId="3C3A8F4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0.452</w:t>
            </w:r>
          </w:p>
        </w:tc>
      </w:tr>
      <w:tr w:rsidR="00AF1EBE" w14:paraId="5E1DB40C" w14:textId="13C7CA7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2D46C2A"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A464AA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AA96DD" w14:textId="13707F9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4C6A623B" w14:textId="5371192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E320BD" w14:textId="34DF72A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8474DA2" w14:textId="7B3EE11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27A1A10" w14:textId="4A2964AF"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46CC54" w14:textId="310870E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1031A20C" w14:textId="1403DFD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73.9% (58.9%-85.7%)</w:t>
            </w:r>
          </w:p>
        </w:tc>
        <w:tc>
          <w:tcPr>
            <w:tcW w:w="872" w:type="dxa"/>
            <w:tcBorders>
              <w:left w:val="nil"/>
              <w:right w:val="nil"/>
            </w:tcBorders>
            <w:vAlign w:val="center"/>
          </w:tcPr>
          <w:p w14:paraId="72AFE6B0" w14:textId="4BE1F1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126D0C94" w14:textId="6131E08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4910867"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3AFC1B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74B0488A" w14:textId="269E01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9DBC1BB" w14:textId="364EEAF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E5DE108" w14:textId="0C986F2E"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6EA3F67A" w14:textId="4EEDF7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339478" w14:textId="78CB8936" w:rsidR="0089148A" w:rsidRPr="003C658F"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CD373AC" w14:textId="2BE12EC2"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FE8B7E5" w14:textId="36030D1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82.6% (68.6%-92.2%)</w:t>
            </w:r>
          </w:p>
        </w:tc>
        <w:tc>
          <w:tcPr>
            <w:tcW w:w="872" w:type="dxa"/>
            <w:tcBorders>
              <w:left w:val="nil"/>
              <w:right w:val="nil"/>
            </w:tcBorders>
            <w:vAlign w:val="center"/>
          </w:tcPr>
          <w:p w14:paraId="517E845D" w14:textId="2E19FEC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0.470</w:t>
            </w:r>
          </w:p>
        </w:tc>
      </w:tr>
      <w:tr w:rsidR="00AF1EBE" w14:paraId="1345B472" w14:textId="7DA8B2E8"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C883957"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110CCBE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32F7E664" w14:textId="1705834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6B4E5302"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3.7%</w:t>
            </w:r>
          </w:p>
        </w:tc>
        <w:tc>
          <w:tcPr>
            <w:tcW w:w="627" w:type="dxa"/>
            <w:tcBorders>
              <w:left w:val="nil"/>
              <w:right w:val="nil"/>
            </w:tcBorders>
            <w:vAlign w:val="center"/>
          </w:tcPr>
          <w:p w14:paraId="2896F050" w14:textId="406A238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36D354E9" w14:textId="328EBA89"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8.3%</w:t>
            </w:r>
          </w:p>
        </w:tc>
        <w:tc>
          <w:tcPr>
            <w:tcW w:w="1790" w:type="dxa"/>
            <w:tcBorders>
              <w:left w:val="nil"/>
              <w:right w:val="nil"/>
            </w:tcBorders>
            <w:vAlign w:val="center"/>
          </w:tcPr>
          <w:p w14:paraId="646D38BF" w14:textId="222B5E5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(90.2%-96.3%)</w:t>
            </w:r>
          </w:p>
        </w:tc>
        <w:tc>
          <w:tcPr>
            <w:tcW w:w="1710" w:type="dxa"/>
            <w:tcBorders>
              <w:left w:val="nil"/>
              <w:right w:val="nil"/>
            </w:tcBorders>
            <w:vAlign w:val="center"/>
          </w:tcPr>
          <w:p w14:paraId="4D26E9E0" w14:textId="350A0E34"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(0.360-0.376)</w:t>
            </w:r>
          </w:p>
        </w:tc>
        <w:tc>
          <w:tcPr>
            <w:tcW w:w="1918" w:type="dxa"/>
            <w:tcBorders>
              <w:left w:val="nil"/>
              <w:right w:val="nil"/>
            </w:tcBorders>
            <w:vAlign w:val="center"/>
          </w:tcPr>
          <w:p w14:paraId="149B6D98" w14:textId="3C4058C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4BE4674A" w14:textId="0CBEF88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5D0491BC" w14:textId="145B693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4283D72"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6CA3BE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576989CD" w14:textId="469FE42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6D858BD" w14:textId="73773BC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3.7%</w:t>
            </w:r>
          </w:p>
        </w:tc>
        <w:tc>
          <w:tcPr>
            <w:tcW w:w="627" w:type="dxa"/>
            <w:tcBorders>
              <w:left w:val="nil"/>
              <w:right w:val="nil"/>
            </w:tcBorders>
            <w:vAlign w:val="center"/>
          </w:tcPr>
          <w:p w14:paraId="7F7DCB2A" w14:textId="42E2B76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4D10747" w14:textId="0ECFB37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8.3%</w:t>
            </w:r>
          </w:p>
        </w:tc>
        <w:tc>
          <w:tcPr>
            <w:tcW w:w="1790" w:type="dxa"/>
            <w:tcBorders>
              <w:left w:val="nil"/>
              <w:right w:val="nil"/>
            </w:tcBorders>
            <w:vAlign w:val="center"/>
          </w:tcPr>
          <w:p w14:paraId="5211069C" w14:textId="4248E353"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(90.5%-96.3%)</w:t>
            </w:r>
          </w:p>
        </w:tc>
        <w:tc>
          <w:tcPr>
            <w:tcW w:w="1710" w:type="dxa"/>
            <w:tcBorders>
              <w:left w:val="nil"/>
              <w:right w:val="nil"/>
            </w:tcBorders>
            <w:vAlign w:val="center"/>
          </w:tcPr>
          <w:p w14:paraId="72376403" w14:textId="35F71599"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(0.361-0.376)</w:t>
            </w:r>
          </w:p>
        </w:tc>
        <w:tc>
          <w:tcPr>
            <w:tcW w:w="1918" w:type="dxa"/>
            <w:tcBorders>
              <w:left w:val="nil"/>
              <w:right w:val="nil"/>
            </w:tcBorders>
            <w:vAlign w:val="center"/>
          </w:tcPr>
          <w:p w14:paraId="7D2F53BF" w14:textId="273FB15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11E0029A" w14:textId="70E150C8"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76E4634" w14:textId="59D09A7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357B04B"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2612DC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C9A5282" w14:textId="7F01098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75C2B95" w14:textId="792F910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D6FF0D2" w14:textId="4F0475F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600AB3F" w14:textId="6DAB95F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2B691F7" w14:textId="335BDA6C"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10A70CC" w14:textId="65D73A2C"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AB949BA" w14:textId="514F7930"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32C1F2B6" w14:textId="02979CD9"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2615F1A" w14:textId="55890E2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C880326"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28ED7C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9CE4771" w14:textId="65D6896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39978714" w14:textId="30DB87C5"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0FA8BB0" w14:textId="70F45C5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525D99E" w14:textId="69868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81A4397" w14:textId="794EFF1A"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429FAC61" w14:textId="0CDF9B21"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3A2DDF5" w14:textId="20CF35BD"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05F0C670" w14:textId="0DF70643"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01229C0" w14:textId="00F9691E"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2C8A4041"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4ECFC3A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139270F5" w14:textId="52B93157"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Pr="00C14A24">
              <w:rPr>
                <w:rFonts w:ascii="Arial" w:eastAsia="Arial" w:hAnsi="Arial" w:cs="Arial"/>
                <w:sz w:val="16"/>
                <w:szCs w:val="16"/>
                <w:vertAlign w:val="superscript"/>
              </w:rPr>
              <w:t>†</w:t>
            </w:r>
          </w:p>
        </w:tc>
        <w:tc>
          <w:tcPr>
            <w:tcW w:w="812" w:type="dxa"/>
            <w:tcBorders>
              <w:left w:val="nil"/>
              <w:right w:val="nil"/>
            </w:tcBorders>
            <w:vAlign w:val="center"/>
          </w:tcPr>
          <w:p w14:paraId="740427D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15.2%</w:t>
            </w:r>
          </w:p>
        </w:tc>
        <w:tc>
          <w:tcPr>
            <w:tcW w:w="627" w:type="dxa"/>
            <w:tcBorders>
              <w:left w:val="nil"/>
              <w:right w:val="nil"/>
            </w:tcBorders>
            <w:vAlign w:val="center"/>
          </w:tcPr>
          <w:p w14:paraId="37CA1A6E" w14:textId="3820FE8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E785B55" w14:textId="26CD949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32.4%</w:t>
            </w:r>
          </w:p>
        </w:tc>
        <w:tc>
          <w:tcPr>
            <w:tcW w:w="1790" w:type="dxa"/>
            <w:tcBorders>
              <w:left w:val="nil"/>
              <w:right w:val="nil"/>
            </w:tcBorders>
            <w:vAlign w:val="center"/>
          </w:tcPr>
          <w:p w14:paraId="4A54C6FC" w14:textId="47B8346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81.9% (74.9%-88.6%)</w:t>
            </w:r>
          </w:p>
        </w:tc>
        <w:tc>
          <w:tcPr>
            <w:tcW w:w="1710" w:type="dxa"/>
            <w:tcBorders>
              <w:left w:val="nil"/>
              <w:right w:val="nil"/>
            </w:tcBorders>
            <w:vAlign w:val="center"/>
          </w:tcPr>
          <w:p w14:paraId="31629C19" w14:textId="20FAB252"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0.725 (0.680-0.774)</w:t>
            </w:r>
          </w:p>
        </w:tc>
        <w:tc>
          <w:tcPr>
            <w:tcW w:w="1918" w:type="dxa"/>
            <w:tcBorders>
              <w:left w:val="nil"/>
              <w:right w:val="nil"/>
            </w:tcBorders>
            <w:vAlign w:val="center"/>
          </w:tcPr>
          <w:p w14:paraId="47626E11" w14:textId="58B7F4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53.6% (33.9%-72.5%)</w:t>
            </w:r>
          </w:p>
        </w:tc>
        <w:tc>
          <w:tcPr>
            <w:tcW w:w="872" w:type="dxa"/>
            <w:tcBorders>
              <w:left w:val="nil"/>
              <w:right w:val="nil"/>
            </w:tcBorders>
            <w:vAlign w:val="center"/>
          </w:tcPr>
          <w:p w14:paraId="7B4260BD" w14:textId="2420741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09105DE" w14:textId="3C861F6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43D88ACF"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6551FBC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35775C" w14:textId="76DD167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3F30CB61" w14:textId="64095A9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15.2%</w:t>
            </w:r>
          </w:p>
        </w:tc>
        <w:tc>
          <w:tcPr>
            <w:tcW w:w="627" w:type="dxa"/>
            <w:tcBorders>
              <w:left w:val="nil"/>
              <w:right w:val="nil"/>
            </w:tcBorders>
            <w:vAlign w:val="center"/>
          </w:tcPr>
          <w:p w14:paraId="395039AA" w14:textId="64D1B35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DF7229A" w14:textId="7007D36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35.3%</w:t>
            </w:r>
          </w:p>
        </w:tc>
        <w:tc>
          <w:tcPr>
            <w:tcW w:w="1790" w:type="dxa"/>
            <w:tcBorders>
              <w:left w:val="nil"/>
              <w:right w:val="nil"/>
            </w:tcBorders>
            <w:vAlign w:val="center"/>
          </w:tcPr>
          <w:p w14:paraId="1CF74A09" w14:textId="74C95438"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79.9% (73.6%-87.1%)</w:t>
            </w:r>
          </w:p>
        </w:tc>
        <w:tc>
          <w:tcPr>
            <w:tcW w:w="1710" w:type="dxa"/>
            <w:tcBorders>
              <w:left w:val="nil"/>
              <w:right w:val="nil"/>
            </w:tcBorders>
            <w:vAlign w:val="center"/>
          </w:tcPr>
          <w:p w14:paraId="55DFF7D0" w14:textId="5F0AA8BA"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0.711 (0.664-0.763)</w:t>
            </w:r>
          </w:p>
        </w:tc>
        <w:tc>
          <w:tcPr>
            <w:tcW w:w="1918" w:type="dxa"/>
            <w:tcBorders>
              <w:left w:val="nil"/>
              <w:right w:val="nil"/>
            </w:tcBorders>
            <w:vAlign w:val="center"/>
          </w:tcPr>
          <w:p w14:paraId="050DD72F" w14:textId="0C1354B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06EC733" w14:textId="5CA6356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76450E" w14:textId="34DCA5C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69ADD48"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27DF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AB65B96" w14:textId="1AB4E706"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70E46FC4" w14:textId="6E1DB003"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5F2CF9A" w14:textId="25C7694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6A0B016" w14:textId="682D1D3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D8FF576" w14:textId="669D7889"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6C895EB" w14:textId="422615C8"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AB889C2" w14:textId="6F5B24A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FD08A41" w14:textId="169A070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5FD5A2A" w14:textId="4E549F1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9441980"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4493478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12BBB9D" w14:textId="290F7F6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65C9715D" w14:textId="03F6554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EC32F54" w14:textId="1C327E1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C0EFC3C" w14:textId="581C88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65EF88E0" w14:textId="4A1E76B8"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62D59D" w14:textId="0DBD3B40"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6EA828C" w14:textId="2E0BF11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71.4% (51.3%-86.8%)</w:t>
            </w:r>
          </w:p>
        </w:tc>
        <w:tc>
          <w:tcPr>
            <w:tcW w:w="872" w:type="dxa"/>
            <w:tcBorders>
              <w:left w:val="nil"/>
              <w:right w:val="nil"/>
            </w:tcBorders>
            <w:vAlign w:val="center"/>
          </w:tcPr>
          <w:p w14:paraId="1F690646" w14:textId="1B2D6BAF"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6299628" w14:textId="1B22686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378CB69"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C203FE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3C415D8F" w14:textId="39B6A91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32AF1775" w14:textId="73090FF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4.9%</w:t>
            </w:r>
          </w:p>
        </w:tc>
        <w:tc>
          <w:tcPr>
            <w:tcW w:w="627" w:type="dxa"/>
            <w:tcBorders>
              <w:left w:val="nil"/>
              <w:right w:val="nil"/>
            </w:tcBorders>
            <w:vAlign w:val="center"/>
          </w:tcPr>
          <w:p w14:paraId="77BDBBD6" w14:textId="62EA1A90"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0223BB8C" w14:textId="70FB677B"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15.8%</w:t>
            </w:r>
          </w:p>
        </w:tc>
        <w:tc>
          <w:tcPr>
            <w:tcW w:w="1790" w:type="dxa"/>
            <w:tcBorders>
              <w:left w:val="nil"/>
              <w:right w:val="nil"/>
            </w:tcBorders>
            <w:vAlign w:val="center"/>
          </w:tcPr>
          <w:p w14:paraId="2FDEADBF" w14:textId="5A1FAFCD" w:rsidR="0089148A" w:rsidRPr="003C658F"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90.0% (84.8%-94.7%)</w:t>
            </w:r>
          </w:p>
        </w:tc>
        <w:tc>
          <w:tcPr>
            <w:tcW w:w="1710" w:type="dxa"/>
            <w:tcBorders>
              <w:left w:val="nil"/>
              <w:right w:val="nil"/>
            </w:tcBorders>
            <w:vAlign w:val="center"/>
          </w:tcPr>
          <w:p w14:paraId="0CBC4199" w14:textId="0CA8413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(0.406-0.422)</w:t>
            </w:r>
          </w:p>
        </w:tc>
        <w:tc>
          <w:tcPr>
            <w:tcW w:w="1918" w:type="dxa"/>
            <w:tcBorders>
              <w:left w:val="nil"/>
              <w:right w:val="nil"/>
            </w:tcBorders>
            <w:vAlign w:val="center"/>
          </w:tcPr>
          <w:p w14:paraId="061887D6" w14:textId="3888C80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94.3% (80.8%-99.3%)</w:t>
            </w:r>
          </w:p>
        </w:tc>
        <w:tc>
          <w:tcPr>
            <w:tcW w:w="872" w:type="dxa"/>
            <w:tcBorders>
              <w:left w:val="nil"/>
              <w:right w:val="nil"/>
            </w:tcBorders>
            <w:vAlign w:val="center"/>
          </w:tcPr>
          <w:p w14:paraId="120CCB88" w14:textId="726DA76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0.422</w:t>
            </w:r>
          </w:p>
        </w:tc>
      </w:tr>
      <w:tr w:rsidR="00AF1EBE" w14:paraId="3C490E4E" w14:textId="0FE8E12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472306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BB6EDC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73CBC9E5" w14:textId="2F81E93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6C0D4CA7" w14:textId="3DB6FFE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4.9%</w:t>
            </w:r>
          </w:p>
        </w:tc>
        <w:tc>
          <w:tcPr>
            <w:tcW w:w="627" w:type="dxa"/>
            <w:tcBorders>
              <w:left w:val="nil"/>
              <w:right w:val="nil"/>
            </w:tcBorders>
            <w:vAlign w:val="center"/>
          </w:tcPr>
          <w:p w14:paraId="46D818C4" w14:textId="4A09EA0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55428340" w14:textId="44DBFF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15.8%</w:t>
            </w:r>
          </w:p>
        </w:tc>
        <w:tc>
          <w:tcPr>
            <w:tcW w:w="1790" w:type="dxa"/>
            <w:tcBorders>
              <w:left w:val="nil"/>
              <w:right w:val="nil"/>
            </w:tcBorders>
            <w:vAlign w:val="center"/>
          </w:tcPr>
          <w:p w14:paraId="73B20D55" w14:textId="6C434525"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89.9% (85.8%-94.0%)</w:t>
            </w:r>
          </w:p>
        </w:tc>
        <w:tc>
          <w:tcPr>
            <w:tcW w:w="1710" w:type="dxa"/>
            <w:tcBorders>
              <w:left w:val="nil"/>
              <w:right w:val="nil"/>
            </w:tcBorders>
            <w:vAlign w:val="center"/>
          </w:tcPr>
          <w:p w14:paraId="10B662FA" w14:textId="6075B56F"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(0.406-0.421)</w:t>
            </w:r>
          </w:p>
        </w:tc>
        <w:tc>
          <w:tcPr>
            <w:tcW w:w="1918" w:type="dxa"/>
            <w:tcBorders>
              <w:left w:val="nil"/>
              <w:right w:val="nil"/>
            </w:tcBorders>
            <w:vAlign w:val="center"/>
          </w:tcPr>
          <w:p w14:paraId="4046E634" w14:textId="3839BE2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(85.8%-100%)</w:t>
            </w:r>
          </w:p>
        </w:tc>
        <w:tc>
          <w:tcPr>
            <w:tcW w:w="872" w:type="dxa"/>
            <w:tcBorders>
              <w:left w:val="nil"/>
              <w:right w:val="nil"/>
            </w:tcBorders>
            <w:vAlign w:val="center"/>
          </w:tcPr>
          <w:p w14:paraId="74121FE1" w14:textId="68E174F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0.426</w:t>
            </w:r>
          </w:p>
        </w:tc>
      </w:tr>
      <w:tr w:rsidR="00AF1EBE" w14:paraId="651EE880" w14:textId="765DF9F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9B6A1BF"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680D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8D338EA" w14:textId="25DDBC1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A3B18BD" w14:textId="1EA815F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DCB355A" w14:textId="3DD139E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830D930" w14:textId="59A22E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4508C7B3" w14:textId="3D93F47D"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CE1FFE1" w14:textId="6DE444D4"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8F51E93" w14:textId="2C51925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82.9% (66.2%-93.4%)</w:t>
            </w:r>
          </w:p>
        </w:tc>
        <w:tc>
          <w:tcPr>
            <w:tcW w:w="872" w:type="dxa"/>
            <w:tcBorders>
              <w:left w:val="nil"/>
              <w:right w:val="nil"/>
            </w:tcBorders>
            <w:vAlign w:val="center"/>
          </w:tcPr>
          <w:p w14:paraId="0E4B630F" w14:textId="506795D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0.401</w:t>
            </w:r>
          </w:p>
        </w:tc>
      </w:tr>
      <w:tr w:rsidR="00AF1EBE" w14:paraId="0772D378" w14:textId="7D23E05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DCA6B50"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0983BC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DEBC4F9" w14:textId="4685FD5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8F04E09" w14:textId="315E4DB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143FE88" w14:textId="09D726F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5EE9759" w14:textId="1DFDA26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D30F059" w14:textId="70172DC8"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98156F4" w14:textId="69316E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612E392" w14:textId="30ECB74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88.6% (73.3%-96.8%)</w:t>
            </w:r>
          </w:p>
        </w:tc>
        <w:tc>
          <w:tcPr>
            <w:tcW w:w="872" w:type="dxa"/>
            <w:tcBorders>
              <w:left w:val="nil"/>
              <w:right w:val="nil"/>
            </w:tcBorders>
            <w:vAlign w:val="center"/>
          </w:tcPr>
          <w:p w14:paraId="64620B52" w14:textId="043F9B3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0.411</w:t>
            </w:r>
          </w:p>
        </w:tc>
      </w:tr>
      <w:tr w:rsidR="00AF1EBE" w14:paraId="29D83EFE" w14:textId="20593F1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B2755F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0F1AE25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156A011E" w14:textId="728CF255"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EB9A9C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5.7%</w:t>
            </w:r>
          </w:p>
        </w:tc>
        <w:tc>
          <w:tcPr>
            <w:tcW w:w="627" w:type="dxa"/>
            <w:tcBorders>
              <w:left w:val="nil"/>
              <w:right w:val="nil"/>
            </w:tcBorders>
            <w:vAlign w:val="center"/>
          </w:tcPr>
          <w:p w14:paraId="142FC977" w14:textId="06219AD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3B1FA06" w14:textId="288868F8"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6DD198C3" w14:textId="2DD99B1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91.1% (87.2%-95.2%)</w:t>
            </w:r>
          </w:p>
        </w:tc>
        <w:tc>
          <w:tcPr>
            <w:tcW w:w="1710" w:type="dxa"/>
            <w:tcBorders>
              <w:left w:val="nil"/>
              <w:right w:val="nil"/>
            </w:tcBorders>
            <w:vAlign w:val="center"/>
          </w:tcPr>
          <w:p w14:paraId="1CDE4FDA" w14:textId="518CD40C"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0.441 (0.432-0.449)</w:t>
            </w:r>
          </w:p>
        </w:tc>
        <w:tc>
          <w:tcPr>
            <w:tcW w:w="1918" w:type="dxa"/>
            <w:tcBorders>
              <w:left w:val="nil"/>
              <w:right w:val="nil"/>
            </w:tcBorders>
            <w:vAlign w:val="center"/>
          </w:tcPr>
          <w:p w14:paraId="1776557E" w14:textId="1731B1C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96.2% (80.4%-99.9%)</w:t>
            </w:r>
          </w:p>
        </w:tc>
        <w:tc>
          <w:tcPr>
            <w:tcW w:w="872" w:type="dxa"/>
            <w:tcBorders>
              <w:left w:val="nil"/>
              <w:right w:val="nil"/>
            </w:tcBorders>
            <w:vAlign w:val="center"/>
          </w:tcPr>
          <w:p w14:paraId="1AD69B05" w14:textId="687E90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22C1861" w14:textId="3605C8B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7F55549"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9D5C88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979E7CA" w14:textId="504A9F2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44BDEB94" w14:textId="5860F73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5.7%</w:t>
            </w:r>
          </w:p>
        </w:tc>
        <w:tc>
          <w:tcPr>
            <w:tcW w:w="627" w:type="dxa"/>
            <w:tcBorders>
              <w:left w:val="nil"/>
              <w:right w:val="nil"/>
            </w:tcBorders>
            <w:vAlign w:val="center"/>
          </w:tcPr>
          <w:p w14:paraId="15E1B449" w14:textId="523D653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5035346" w14:textId="62D2239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2B9E7B59" w14:textId="0E822DC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91.0% (86.7%-</w:t>
            </w:r>
            <w:r w:rsidR="00AB5C42">
              <w:rPr>
                <w:rFonts w:ascii="Arial" w:eastAsia="Arial" w:hAnsi="Arial" w:cs="Arial"/>
                <w:sz w:val="16"/>
                <w:szCs w:val="16"/>
              </w:rPr>
              <w:t>94.6%)</w:t>
            </w:r>
          </w:p>
        </w:tc>
        <w:tc>
          <w:tcPr>
            <w:tcW w:w="1710" w:type="dxa"/>
            <w:tcBorders>
              <w:left w:val="nil"/>
              <w:right w:val="nil"/>
            </w:tcBorders>
            <w:vAlign w:val="center"/>
          </w:tcPr>
          <w:p w14:paraId="79EED3C7" w14:textId="6BFB76E2"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0.440 (0.431-0.448)</w:t>
            </w:r>
          </w:p>
        </w:tc>
        <w:tc>
          <w:tcPr>
            <w:tcW w:w="1918" w:type="dxa"/>
            <w:tcBorders>
              <w:left w:val="nil"/>
              <w:right w:val="nil"/>
            </w:tcBorders>
            <w:vAlign w:val="center"/>
          </w:tcPr>
          <w:p w14:paraId="59B342C8" w14:textId="578986BF"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(82.4%-100%)</w:t>
            </w:r>
          </w:p>
        </w:tc>
        <w:tc>
          <w:tcPr>
            <w:tcW w:w="872" w:type="dxa"/>
            <w:tcBorders>
              <w:left w:val="nil"/>
              <w:right w:val="nil"/>
            </w:tcBorders>
            <w:vAlign w:val="center"/>
          </w:tcPr>
          <w:p w14:paraId="16F2BDCC" w14:textId="215E63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2E32EF83" w14:textId="79680B5B"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0B02950"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12DC75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4462ACE" w14:textId="68AB09C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2E4E984" w14:textId="0B8DE7DD"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4D49C5" w14:textId="4BF83173"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2DF4E23" w14:textId="264BFB6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BC55EBF" w14:textId="62824AB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DD08A8B" w14:textId="35E5C11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5B7D9156" w14:textId="3D2832A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88.5% (69.9%-97.6%)</w:t>
            </w:r>
          </w:p>
        </w:tc>
        <w:tc>
          <w:tcPr>
            <w:tcW w:w="872" w:type="dxa"/>
            <w:tcBorders>
              <w:left w:val="nil"/>
              <w:right w:val="nil"/>
            </w:tcBorders>
            <w:vAlign w:val="center"/>
          </w:tcPr>
          <w:p w14:paraId="27889081" w14:textId="4A2BEF7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D27EC83" w14:textId="3D1C74D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31B44FC"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783273ED"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42963905" w14:textId="11A0C750"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8163A47" w14:textId="5E04D00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CFF7BA0" w14:textId="79AD1546"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7C677E2" w14:textId="001606E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3F1D486" w14:textId="3B787E6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6F72CDBA" w14:textId="4A2E50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21ACB44" w14:textId="128E3D9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92.3% (74.9%-99.1%)</w:t>
            </w:r>
          </w:p>
        </w:tc>
        <w:tc>
          <w:tcPr>
            <w:tcW w:w="872" w:type="dxa"/>
            <w:tcBorders>
              <w:left w:val="nil"/>
              <w:right w:val="nil"/>
            </w:tcBorders>
            <w:vAlign w:val="center"/>
          </w:tcPr>
          <w:p w14:paraId="07BA2223" w14:textId="75DD74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4032B74" w14:textId="0ABC52A3"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FA927F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770234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640612C3" w14:textId="5319BC1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580AB6FA"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3.6%</w:t>
            </w:r>
          </w:p>
        </w:tc>
        <w:tc>
          <w:tcPr>
            <w:tcW w:w="627" w:type="dxa"/>
            <w:tcBorders>
              <w:left w:val="nil"/>
              <w:right w:val="nil"/>
            </w:tcBorders>
            <w:vAlign w:val="center"/>
          </w:tcPr>
          <w:p w14:paraId="692F3E36" w14:textId="31FE7F8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2E1A837E" w14:textId="20369643"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4A33371D" w14:textId="26864AD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(81.8%-92.3%)</w:t>
            </w:r>
          </w:p>
        </w:tc>
        <w:tc>
          <w:tcPr>
            <w:tcW w:w="1710" w:type="dxa"/>
            <w:tcBorders>
              <w:left w:val="nil"/>
              <w:right w:val="nil"/>
            </w:tcBorders>
            <w:vAlign w:val="center"/>
          </w:tcPr>
          <w:p w14:paraId="29D6322C" w14:textId="45B8CEAD" w:rsidR="0089148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AB4FDF1" w14:textId="4BC7E6F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88.9% (51.8%-99.7%)</w:t>
            </w:r>
          </w:p>
        </w:tc>
        <w:tc>
          <w:tcPr>
            <w:tcW w:w="872" w:type="dxa"/>
            <w:tcBorders>
              <w:left w:val="nil"/>
              <w:right w:val="nil"/>
            </w:tcBorders>
            <w:vAlign w:val="center"/>
          </w:tcPr>
          <w:p w14:paraId="75BAFA59" w14:textId="4EF37C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4D9821" w14:textId="21231EF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8A6D1A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2C730E5"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EAB80A8" w14:textId="4DAD27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473811A" w14:textId="57A89CFE"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3.6%</w:t>
            </w:r>
          </w:p>
        </w:tc>
        <w:tc>
          <w:tcPr>
            <w:tcW w:w="627" w:type="dxa"/>
            <w:tcBorders>
              <w:left w:val="nil"/>
              <w:right w:val="nil"/>
            </w:tcBorders>
            <w:vAlign w:val="center"/>
          </w:tcPr>
          <w:p w14:paraId="49D00D79" w14:textId="0B70661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E2C94A4" w14:textId="631BCE7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1F4F3B63" w14:textId="763BE1DA"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(82.1%-92.0%)</w:t>
            </w:r>
          </w:p>
        </w:tc>
        <w:tc>
          <w:tcPr>
            <w:tcW w:w="1710" w:type="dxa"/>
            <w:tcBorders>
              <w:left w:val="nil"/>
              <w:right w:val="nil"/>
            </w:tcBorders>
            <w:vAlign w:val="center"/>
          </w:tcPr>
          <w:p w14:paraId="3DA5F658" w14:textId="3FF2A38D"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6A4B9D8" w14:textId="6E03AE0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(47.8%-100.0%)</w:t>
            </w:r>
          </w:p>
        </w:tc>
        <w:tc>
          <w:tcPr>
            <w:tcW w:w="872" w:type="dxa"/>
            <w:tcBorders>
              <w:left w:val="nil"/>
              <w:right w:val="nil"/>
            </w:tcBorders>
            <w:vAlign w:val="center"/>
          </w:tcPr>
          <w:p w14:paraId="5B66F212" w14:textId="1E37211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22520F9" w14:textId="1761734F"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0D20B9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7514A03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335416F5" w14:textId="62FEE8AF"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C0183E7" w14:textId="3D1DF5E8"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FB02722" w14:textId="3382D4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12E1906" w14:textId="6812C7A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082C86F" w14:textId="189548C6"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4500837" w14:textId="028A8955"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385388D1" w14:textId="43FC9F1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66.7% (29.9%-92.5%)</w:t>
            </w:r>
          </w:p>
        </w:tc>
        <w:tc>
          <w:tcPr>
            <w:tcW w:w="872" w:type="dxa"/>
            <w:tcBorders>
              <w:left w:val="nil"/>
              <w:right w:val="nil"/>
            </w:tcBorders>
            <w:vAlign w:val="center"/>
          </w:tcPr>
          <w:p w14:paraId="10915E37" w14:textId="4D70BA6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DF51EE7" w14:textId="33D8268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56EDC82"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590E180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CBBC1B9" w14:textId="4ADA08A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A038424" w14:textId="416F97D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5436B499" w14:textId="712166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3F119D2" w14:textId="29653F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783E5F" w14:textId="32159F3C"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56FD7503" w14:textId="17C32EC4"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428884C" w14:textId="78ABFB5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77.8% (40.0%-97.2%)</w:t>
            </w:r>
          </w:p>
        </w:tc>
        <w:tc>
          <w:tcPr>
            <w:tcW w:w="872" w:type="dxa"/>
            <w:tcBorders>
              <w:left w:val="nil"/>
              <w:right w:val="nil"/>
            </w:tcBorders>
            <w:vAlign w:val="center"/>
          </w:tcPr>
          <w:p w14:paraId="064A7B2F" w14:textId="78D58D4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575454C" w14:textId="72647CC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FAF7D74"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right w:val="nil"/>
            </w:tcBorders>
            <w:vAlign w:val="center"/>
          </w:tcPr>
          <w:p w14:paraId="4A6C969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5</w:t>
            </w:r>
          </w:p>
        </w:tc>
        <w:tc>
          <w:tcPr>
            <w:tcW w:w="1018" w:type="dxa"/>
            <w:tcBorders>
              <w:left w:val="nil"/>
              <w:right w:val="nil"/>
            </w:tcBorders>
            <w:vAlign w:val="center"/>
          </w:tcPr>
          <w:p w14:paraId="42DA1BB0"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right w:val="nil"/>
            </w:tcBorders>
            <w:vAlign w:val="center"/>
          </w:tcPr>
          <w:p w14:paraId="4464F9F1"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right w:val="nil"/>
            </w:tcBorders>
            <w:vAlign w:val="center"/>
          </w:tcPr>
          <w:p w14:paraId="157D7466" w14:textId="7D40F34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70D56592" w14:textId="51BB321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right w:val="nil"/>
            </w:tcBorders>
            <w:vAlign w:val="center"/>
          </w:tcPr>
          <w:p w14:paraId="45A675C5" w14:textId="678730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(90.8%-96.3%)</w:t>
            </w:r>
          </w:p>
        </w:tc>
        <w:tc>
          <w:tcPr>
            <w:tcW w:w="1710" w:type="dxa"/>
            <w:tcBorders>
              <w:left w:val="nil"/>
              <w:right w:val="nil"/>
            </w:tcBorders>
            <w:vAlign w:val="center"/>
          </w:tcPr>
          <w:p w14:paraId="1E00D76B" w14:textId="4864E33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0.811 (0.793-0.830)</w:t>
            </w:r>
          </w:p>
        </w:tc>
        <w:tc>
          <w:tcPr>
            <w:tcW w:w="1918" w:type="dxa"/>
            <w:tcBorders>
              <w:left w:val="nil"/>
              <w:right w:val="nil"/>
            </w:tcBorders>
            <w:vAlign w:val="center"/>
          </w:tcPr>
          <w:p w14:paraId="17D8548D" w14:textId="339A770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95.0% (94.7-95.2)</w:t>
            </w:r>
          </w:p>
        </w:tc>
        <w:tc>
          <w:tcPr>
            <w:tcW w:w="872" w:type="dxa"/>
            <w:tcBorders>
              <w:left w:val="nil"/>
              <w:right w:val="nil"/>
            </w:tcBorders>
            <w:vAlign w:val="center"/>
          </w:tcPr>
          <w:p w14:paraId="141311A5" w14:textId="47D5EA7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094718AB" w14:textId="3A98A17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bottom w:val="single" w:sz="4" w:space="0" w:color="auto"/>
              <w:right w:val="nil"/>
            </w:tcBorders>
            <w:vAlign w:val="center"/>
          </w:tcPr>
          <w:p w14:paraId="5EF06753"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bottom w:val="single" w:sz="4" w:space="0" w:color="auto"/>
              <w:right w:val="nil"/>
            </w:tcBorders>
            <w:vAlign w:val="center"/>
          </w:tcPr>
          <w:p w14:paraId="47B8B883"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3</w:t>
            </w:r>
          </w:p>
        </w:tc>
        <w:tc>
          <w:tcPr>
            <w:tcW w:w="1018" w:type="dxa"/>
            <w:tcBorders>
              <w:left w:val="nil"/>
              <w:bottom w:val="single" w:sz="4" w:space="0" w:color="auto"/>
              <w:right w:val="nil"/>
            </w:tcBorders>
            <w:vAlign w:val="center"/>
          </w:tcPr>
          <w:p w14:paraId="148B5FDF"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bottom w:val="single" w:sz="4" w:space="0" w:color="auto"/>
              <w:right w:val="nil"/>
            </w:tcBorders>
            <w:vAlign w:val="center"/>
          </w:tcPr>
          <w:p w14:paraId="41E99F2A"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bottom w:val="single" w:sz="4" w:space="0" w:color="auto"/>
              <w:right w:val="nil"/>
            </w:tcBorders>
            <w:vAlign w:val="center"/>
          </w:tcPr>
          <w:p w14:paraId="284D56C2" w14:textId="2EDA3E6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bottom w:val="single" w:sz="4" w:space="0" w:color="auto"/>
              <w:right w:val="nil"/>
            </w:tcBorders>
            <w:vAlign w:val="center"/>
          </w:tcPr>
          <w:p w14:paraId="3A8BEE17" w14:textId="08E730F2"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bottom w:val="single" w:sz="4" w:space="0" w:color="auto"/>
              <w:right w:val="nil"/>
            </w:tcBorders>
            <w:vAlign w:val="center"/>
          </w:tcPr>
          <w:p w14:paraId="2539CE69" w14:textId="616D0BF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(90.5%-96.5%)</w:t>
            </w:r>
          </w:p>
        </w:tc>
        <w:tc>
          <w:tcPr>
            <w:tcW w:w="1710" w:type="dxa"/>
            <w:tcBorders>
              <w:left w:val="nil"/>
              <w:bottom w:val="single" w:sz="4" w:space="0" w:color="auto"/>
              <w:right w:val="nil"/>
            </w:tcBorders>
            <w:vAlign w:val="center"/>
          </w:tcPr>
          <w:p w14:paraId="35B054C2" w14:textId="2F720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0.773 (0.759-0.787)</w:t>
            </w:r>
          </w:p>
        </w:tc>
        <w:tc>
          <w:tcPr>
            <w:tcW w:w="1918" w:type="dxa"/>
            <w:tcBorders>
              <w:left w:val="nil"/>
              <w:bottom w:val="single" w:sz="4" w:space="0" w:color="auto"/>
              <w:right w:val="nil"/>
            </w:tcBorders>
            <w:vAlign w:val="center"/>
          </w:tcPr>
          <w:p w14:paraId="17D5E78C" w14:textId="7491A32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99.9% (99.9-99.9)</w:t>
            </w:r>
          </w:p>
        </w:tc>
        <w:tc>
          <w:tcPr>
            <w:tcW w:w="872" w:type="dxa"/>
            <w:tcBorders>
              <w:left w:val="nil"/>
              <w:bottom w:val="single" w:sz="4" w:space="0" w:color="auto"/>
              <w:right w:val="nil"/>
            </w:tcBorders>
            <w:vAlign w:val="center"/>
          </w:tcPr>
          <w:p w14:paraId="0C770064" w14:textId="122D4F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89148A" w14:paraId="158A5238" w14:textId="77777777" w:rsidTr="00AF1EBE">
        <w:trPr>
          <w:trHeight w:val="1610"/>
        </w:trPr>
        <w:tc>
          <w:tcPr>
            <w:cnfStyle w:val="001000000000" w:firstRow="0" w:lastRow="0" w:firstColumn="1" w:lastColumn="0" w:oddVBand="0" w:evenVBand="0" w:oddHBand="0" w:evenHBand="0" w:firstRowFirstColumn="0" w:firstRowLastColumn="0" w:lastRowFirstColumn="0" w:lastRowLastColumn="0"/>
            <w:tcW w:w="11700" w:type="dxa"/>
            <w:gridSpan w:val="10"/>
            <w:tcBorders>
              <w:left w:val="nil"/>
              <w:bottom w:val="nil"/>
              <w:right w:val="nil"/>
            </w:tcBorders>
            <w:vAlign w:val="bottom"/>
          </w:tcPr>
          <w:p w14:paraId="566FF84E" w14:textId="4C56AB9C" w:rsidR="0089148A" w:rsidRDefault="0089148A" w:rsidP="009D41AA">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0BFF56F0" w14:textId="74F6C890" w:rsidR="0089148A" w:rsidRPr="00723E55" w:rsidRDefault="0089148A" w:rsidP="009D41AA">
            <w:pPr>
              <w:rPr>
                <w:rFonts w:ascii="Arial" w:eastAsia="Arial" w:hAnsi="Arial" w:cs="Arial"/>
                <w:b w:val="0"/>
                <w:bCs w:val="0"/>
                <w:sz w:val="16"/>
                <w:szCs w:val="16"/>
              </w:rPr>
            </w:pPr>
            <w:r w:rsidRPr="00C14A24">
              <w:rPr>
                <w:rFonts w:ascii="Arial" w:eastAsia="Arial" w:hAnsi="Arial" w:cs="Arial"/>
                <w:sz w:val="16"/>
                <w:szCs w:val="16"/>
                <w:vertAlign w:val="superscript"/>
              </w:rPr>
              <w:t>†</w:t>
            </w:r>
            <w:r>
              <w:rPr>
                <w:rFonts w:ascii="Arial" w:eastAsia="Arial" w:hAnsi="Arial" w:cs="Arial"/>
                <w:b w:val="0"/>
                <w:bCs w:val="0"/>
                <w:sz w:val="16"/>
                <w:szCs w:val="16"/>
              </w:rPr>
              <w:t>For a pool size of 8</w:t>
            </w:r>
            <w:r w:rsidRPr="00723E55">
              <w:rPr>
                <w:rFonts w:ascii="Arial" w:eastAsia="Arial" w:hAnsi="Arial" w:cs="Arial"/>
                <w:b w:val="0"/>
                <w:bCs w:val="0"/>
                <w:sz w:val="16"/>
                <w:szCs w:val="16"/>
              </w:rPr>
              <w:t>, t</w:t>
            </w:r>
            <w:r w:rsidRPr="00723E55">
              <w:rPr>
                <w:rFonts w:ascii="Arial" w:eastAsia="Arial" w:hAnsi="Arial" w:cs="Arial"/>
                <w:b w:val="0"/>
                <w:sz w:val="16"/>
                <w:szCs w:val="16"/>
              </w:rPr>
              <w:t xml:space="preserve">here were a total of 14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 xml:space="preserve">first tests only, and 28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follow-up tests</w:t>
            </w:r>
            <w:r w:rsidRPr="00723E55">
              <w:rPr>
                <w:rFonts w:ascii="Arial" w:eastAsia="Arial" w:hAnsi="Arial" w:cs="Arial"/>
                <w:b w:val="0"/>
                <w:bCs w:val="0"/>
                <w:sz w:val="16"/>
                <w:szCs w:val="16"/>
              </w:rPr>
              <w:t xml:space="preserve"> only. These numbers represent the denominator for the calculation of PPA.</w:t>
            </w:r>
          </w:p>
          <w:p w14:paraId="6309BAD6" w14:textId="22480AC8" w:rsidR="0089148A" w:rsidRPr="00723E55" w:rsidRDefault="0089148A" w:rsidP="009D41AA">
            <w:pPr>
              <w:rPr>
                <w:rFonts w:ascii="Arial" w:eastAsia="Arial" w:hAnsi="Arial" w:cs="Arial"/>
                <w:b w:val="0"/>
                <w:bCs w:val="0"/>
                <w:sz w:val="16"/>
                <w:szCs w:val="16"/>
              </w:rPr>
            </w:pPr>
            <w:r w:rsidRPr="00723E55">
              <w:rPr>
                <w:rFonts w:ascii="Arial" w:eastAsia="Arial" w:hAnsi="Arial" w:cs="Arial"/>
                <w:b w:val="0"/>
                <w:sz w:val="16"/>
                <w:szCs w:val="16"/>
                <w:vertAlign w:val="superscript"/>
              </w:rPr>
              <w:t>‡</w:t>
            </w:r>
            <w:r w:rsidRPr="00723E55">
              <w:rPr>
                <w:rFonts w:ascii="Arial" w:eastAsia="Arial" w:hAnsi="Arial" w:cs="Arial"/>
                <w:b w:val="0"/>
                <w:sz w:val="16"/>
                <w:szCs w:val="16"/>
              </w:rPr>
              <w:t>For a pool size of 4, there were a total of 26 pools containing positive first tests only, and 9 pools containing positive follow-up tests only.</w:t>
            </w:r>
            <w:r w:rsidRPr="00723E55">
              <w:rPr>
                <w:rFonts w:ascii="Arial" w:eastAsia="Arial" w:hAnsi="Arial" w:cs="Arial"/>
                <w:b w:val="0"/>
                <w:bCs w:val="0"/>
                <w:sz w:val="16"/>
                <w:szCs w:val="16"/>
              </w:rPr>
              <w:t xml:space="preserve"> These numbers represent the denominator for the calculation of PPA.</w:t>
            </w:r>
          </w:p>
          <w:p w14:paraId="5C286A7E" w14:textId="709EE1E3" w:rsidR="0089148A" w:rsidRPr="000A0FFD" w:rsidRDefault="0089148A" w:rsidP="004B1946">
            <w:pPr>
              <w:rPr>
                <w:rFonts w:ascii="Arial" w:hAnsi="Arial" w:cs="Arial"/>
                <w:b w:val="0"/>
                <w:sz w:val="20"/>
                <w:szCs w:val="20"/>
              </w:rPr>
            </w:pPr>
            <w:r>
              <w:rPr>
                <w:rFonts w:ascii="Arial" w:eastAsia="Arial" w:hAnsi="Arial" w:cs="Arial"/>
                <w:b w:val="0"/>
                <w:sz w:val="16"/>
                <w:szCs w:val="16"/>
              </w:rPr>
              <w:t xml:space="preserve">PSA, probabilistic sensitivity analysis; </w:t>
            </w:r>
            <w:proofErr w:type="spellStart"/>
            <w:r w:rsidR="002B5E35">
              <w:rPr>
                <w:rFonts w:ascii="Arial" w:eastAsia="Arial" w:hAnsi="Arial" w:cs="Arial"/>
                <w:b w:val="0"/>
                <w:sz w:val="16"/>
                <w:szCs w:val="16"/>
              </w:rPr>
              <w:t>LoD</w:t>
            </w:r>
            <w:proofErr w:type="spellEnd"/>
            <w:r w:rsidR="002B5E35">
              <w:rPr>
                <w:rFonts w:ascii="Arial" w:eastAsia="Arial" w:hAnsi="Arial" w:cs="Arial"/>
                <w:b w:val="0"/>
                <w:sz w:val="16"/>
                <w:szCs w:val="16"/>
              </w:rPr>
              <w:t xml:space="preserve">, limit of detection; Ct, cycle threshold; </w:t>
            </w:r>
            <w:r w:rsidRPr="000A0FFD">
              <w:rPr>
                <w:rFonts w:ascii="Arial" w:eastAsia="Arial" w:hAnsi="Arial" w:cs="Arial"/>
                <w:b w:val="0"/>
                <w:sz w:val="16"/>
                <w:szCs w:val="16"/>
              </w:rPr>
              <w:t xml:space="preserve">PPA, positive percent agreement; </w:t>
            </w:r>
            <w:r>
              <w:rPr>
                <w:rFonts w:ascii="Arial" w:eastAsia="Arial" w:hAnsi="Arial" w:cs="Arial"/>
                <w:b w:val="0"/>
                <w:sz w:val="16"/>
                <w:szCs w:val="16"/>
              </w:rPr>
              <w:t>CI, confidence interval</w:t>
            </w:r>
            <w:r w:rsidRPr="000A0FFD">
              <w:rPr>
                <w:rFonts w:ascii="Arial" w:eastAsia="Arial" w:hAnsi="Arial" w:cs="Arial"/>
                <w:b w:val="0"/>
                <w:sz w:val="16"/>
                <w:szCs w:val="16"/>
              </w:rPr>
              <w:t>; LDT, laboratory-developed test; Panther Aptima-M, Panther Aptima with manufacturer-set relative light unit cutoff; Panther Aptima-350, Panther Aptima with relative light unit cutoff of &gt;350 considered positive; RLU, relative light unit.</w:t>
            </w:r>
          </w:p>
        </w:tc>
      </w:tr>
    </w:tbl>
    <w:p w14:paraId="1FDD6B02" w14:textId="77777777" w:rsidR="00084FA1" w:rsidRPr="007E0BC9" w:rsidRDefault="00B1770D" w:rsidP="00084FA1">
      <w:pPr>
        <w:spacing w:line="480" w:lineRule="auto"/>
      </w:pPr>
      <w:r>
        <w:br w:type="page"/>
      </w:r>
      <w:r w:rsidR="00084FA1" w:rsidRPr="00B1770D">
        <w:rPr>
          <w:b/>
          <w:bCs/>
        </w:rPr>
        <w:lastRenderedPageBreak/>
        <w:t xml:space="preserve">Appendix Table </w:t>
      </w:r>
      <w:r w:rsidR="00084FA1">
        <w:rPr>
          <w:b/>
          <w:bCs/>
        </w:rPr>
        <w:t>4</w:t>
      </w:r>
      <w:r w:rsidR="00084FA1">
        <w:t xml:space="preserve"> (separate excel file). Lookup table for estimated positive percent agreement with deterministic sensitivity analysis upper and lower bounds for pool sizes between 1 and 20 based on model inputs of proportion tests positive (0.001 to 0.15) and proportion of tests with </w:t>
      </w:r>
      <w:r w:rsidR="00084FA1">
        <w:rPr>
          <w:rFonts w:cs="Arial"/>
          <w:bCs/>
        </w:rPr>
        <w:t>cycle threshold greater than the 95% limit of detection (0.05 to 0.30). Input values in cells B1 and B2 of first sheet “</w:t>
      </w:r>
      <w:proofErr w:type="spellStart"/>
      <w:r w:rsidR="00084FA1">
        <w:rPr>
          <w:rFonts w:cs="Arial"/>
          <w:bCs/>
        </w:rPr>
        <w:t>lookup_table</w:t>
      </w:r>
      <w:proofErr w:type="spellEnd"/>
      <w:r w:rsidR="00084FA1">
        <w:rPr>
          <w:rFonts w:cs="Arial"/>
          <w:bCs/>
        </w:rPr>
        <w:t>”.</w:t>
      </w:r>
    </w:p>
    <w:p w14:paraId="5B9D87F9" w14:textId="751B3431" w:rsidR="00084FA1" w:rsidRDefault="00084FA1">
      <w:r>
        <w:br w:type="page"/>
      </w:r>
    </w:p>
    <w:p w14:paraId="684ACCD3" w14:textId="33C55C17" w:rsidR="00DF0907" w:rsidRPr="0000625A" w:rsidRDefault="00DF0907" w:rsidP="00814D6B">
      <w:pPr>
        <w:spacing w:line="480" w:lineRule="auto"/>
      </w:pPr>
      <w:r w:rsidRPr="00B1770D">
        <w:rPr>
          <w:b/>
          <w:bCs/>
        </w:rPr>
        <w:lastRenderedPageBreak/>
        <w:t>Appendix Figure 1.</w:t>
      </w:r>
      <w:r w:rsidR="0000625A">
        <w:t xml:space="preserve"> </w:t>
      </w:r>
      <w:r w:rsidR="00687C15">
        <w:t xml:space="preserve">A) Receiver operating </w:t>
      </w:r>
      <w:r w:rsidR="00AC4712">
        <w:t xml:space="preserve">characteristic </w:t>
      </w:r>
      <w:r w:rsidR="00687C15">
        <w:t>curve of pools</w:t>
      </w:r>
      <w:r w:rsidR="00200BFB">
        <w:t xml:space="preserve"> of 8</w:t>
      </w:r>
      <w:r w:rsidR="00687C15">
        <w:t xml:space="preserve"> </w:t>
      </w:r>
      <w:r w:rsidR="007E18A2">
        <w:t xml:space="preserve">containing only a single positive sample </w:t>
      </w:r>
      <w:r w:rsidR="00687C15">
        <w:t>tested by Panther Aptima</w:t>
      </w:r>
      <w:r w:rsidR="007E18A2">
        <w:t>,</w:t>
      </w:r>
      <w:r w:rsidR="00200BFB">
        <w:t xml:space="preserve"> </w:t>
      </w:r>
      <w:r w:rsidR="00687C15">
        <w:t>and individual samples tested by LDT, with area under the curve of 0.911</w:t>
      </w:r>
      <w:r w:rsidR="007E18A2">
        <w:t xml:space="preserve"> (n=36)</w:t>
      </w:r>
      <w:r w:rsidR="00687C15">
        <w:t xml:space="preserve">. B) </w:t>
      </w:r>
      <w:r w:rsidR="0000625A">
        <w:t>Positive percent agreement (PPA) plotted against Panther Aptima relative light unit (RLU) threshold. Based on the inflection point of this curve, an RLU cutoff of &gt;350 was chosen to maximize PPA.</w:t>
      </w:r>
    </w:p>
    <w:p w14:paraId="616735C5" w14:textId="1288960A" w:rsidR="003C24DC" w:rsidRPr="00DE700A" w:rsidRDefault="003C24DC" w:rsidP="00814D6B">
      <w:pPr>
        <w:spacing w:line="480" w:lineRule="auto"/>
        <w:rPr>
          <w:b/>
        </w:rPr>
      </w:pPr>
    </w:p>
    <w:p w14:paraId="641DBE7F" w14:textId="7D4708FE" w:rsidR="0008174F" w:rsidRDefault="009372E8" w:rsidP="0008174F">
      <w:pPr>
        <w:spacing w:line="480" w:lineRule="auto"/>
      </w:pPr>
      <w:r w:rsidRPr="00DE700A">
        <w:rPr>
          <w:b/>
        </w:rPr>
        <w:t>Appendix Figure 2.</w:t>
      </w:r>
      <w:r>
        <w:t xml:space="preserve"> </w:t>
      </w:r>
      <w:r w:rsidR="007E18A2">
        <w:t>For a pool size of 4, p</w:t>
      </w:r>
      <w:r w:rsidR="007E18A2" w:rsidRPr="006F1059">
        <w:t>aired individual and pooled C</w:t>
      </w:r>
      <w:r w:rsidR="007E18A2" w:rsidRPr="006F1059">
        <w:rPr>
          <w:vertAlign w:val="subscript"/>
        </w:rPr>
        <w:t>t</w:t>
      </w:r>
      <w:r w:rsidR="007E18A2" w:rsidRPr="006F1059">
        <w:t xml:space="preserve"> values for each individually positive sample</w:t>
      </w:r>
      <w:r w:rsidR="007E18A2">
        <w:t xml:space="preserve"> (n=38)</w:t>
      </w:r>
      <w:r w:rsidR="007E18A2" w:rsidRPr="006F1059">
        <w:t xml:space="preserve">, </w:t>
      </w:r>
      <w:r w:rsidR="007E18A2">
        <w:t>in order of</w:t>
      </w:r>
      <w:r w:rsidR="007E18A2" w:rsidRPr="006F1059">
        <w:t xml:space="preserve"> increasing individual C</w:t>
      </w:r>
      <w:r w:rsidR="007E18A2" w:rsidRPr="006F1059">
        <w:rPr>
          <w:vertAlign w:val="subscript"/>
        </w:rPr>
        <w:t>t</w:t>
      </w:r>
      <w:r w:rsidR="007E18A2" w:rsidRPr="006F1059">
        <w:t xml:space="preserve"> value. The left panel contains pools comprised of only a single positive sample. The right panel contains pools comprised of two or more positive samples. The grey lines span the range of C</w:t>
      </w:r>
      <w:r w:rsidR="007E18A2" w:rsidRPr="006F1059">
        <w:rPr>
          <w:vertAlign w:val="subscript"/>
        </w:rPr>
        <w:t>t</w:t>
      </w:r>
      <w:r w:rsidR="007E18A2" w:rsidRPr="006F1059">
        <w:t xml:space="preserve"> values associated with a given pool. </w:t>
      </w:r>
      <w:r w:rsidR="007E18A2">
        <w:t>Pools without a red square were false negatives by the laboratory-developed test (LDT). Pools without a blue triangle were not tested by Panther Fusion, and do not represent false negatives.</w:t>
      </w:r>
    </w:p>
    <w:p w14:paraId="3AF7C954" w14:textId="5C9B471A" w:rsidR="009372E8" w:rsidRDefault="007E18A2" w:rsidP="00814D6B">
      <w:pPr>
        <w:spacing w:line="480" w:lineRule="auto"/>
      </w:pPr>
      <w:r w:rsidRPr="006F1059">
        <w:t xml:space="preserve"> </w:t>
      </w:r>
    </w:p>
    <w:p w14:paraId="4551D538" w14:textId="6BED7FD6" w:rsidR="007F723D" w:rsidRDefault="007F723D" w:rsidP="00814D6B">
      <w:pPr>
        <w:spacing w:line="480" w:lineRule="auto"/>
      </w:pPr>
      <w:r w:rsidRPr="00DE700A">
        <w:rPr>
          <w:b/>
        </w:rPr>
        <w:t xml:space="preserve">Appendix Figure </w:t>
      </w:r>
      <w:r w:rsidR="009372E8">
        <w:rPr>
          <w:b/>
        </w:rPr>
        <w:t>3</w:t>
      </w:r>
      <w:r w:rsidRPr="00DE700A">
        <w:rPr>
          <w:b/>
        </w:rPr>
        <w:t>.</w:t>
      </w:r>
      <w:r>
        <w:t xml:space="preserve"> </w:t>
      </w:r>
      <w:r w:rsidR="007E18A2">
        <w:t xml:space="preserve">Passing-Bablok regression and Bland-Altman plots for pools of 4 containing only a </w:t>
      </w:r>
      <w:r w:rsidR="007E18A2" w:rsidRPr="006F1059">
        <w:t>single positive sample</w:t>
      </w:r>
      <w:r w:rsidRPr="007F723D">
        <w:t xml:space="preserve">, tested by A-B) pooled LDT vs. individual LDT (n=30), C-D) pooled Panther Fusion vs. individual LDT (n=21), and E-F) pooled Panther Fusion vs. pooled LDT (n=24). For the Passing-Bablok regression plots (A, C, E), the solid line represents the line of regression, with 95% confidence interval shaded in grey. The dashed line represents the line of identity. The slope and intercept of the regression line are reported with 95% confidence intervals in parentheses. For the Bland-Altman plots (B, D, F), the solid line represents the mean difference in Ct value, with 95% limits of agreement </w:t>
      </w:r>
      <w:r w:rsidR="00242C55">
        <w:t>range</w:t>
      </w:r>
      <w:r w:rsidRPr="007F723D">
        <w:t xml:space="preserve"> shaded in grey.</w:t>
      </w:r>
    </w:p>
    <w:p w14:paraId="0F3AECC6" w14:textId="77777777" w:rsidR="007E18A2" w:rsidRDefault="007E18A2" w:rsidP="00814D6B">
      <w:pPr>
        <w:spacing w:line="480" w:lineRule="auto"/>
      </w:pPr>
    </w:p>
    <w:p w14:paraId="72FE5B4E" w14:textId="3BD5F9B2" w:rsidR="0008174F" w:rsidRDefault="0008174F" w:rsidP="00814D6B">
      <w:pPr>
        <w:spacing w:line="480" w:lineRule="auto"/>
      </w:pPr>
      <w:r w:rsidRPr="00DE700A">
        <w:rPr>
          <w:b/>
          <w:bCs/>
        </w:rPr>
        <w:t>Appendix Figure 4.</w:t>
      </w:r>
      <w:r>
        <w:t xml:space="preserve"> </w:t>
      </w:r>
      <w:r w:rsidR="00115813">
        <w:t xml:space="preserve">Continuous probability distributions fit to independent dataset of </w:t>
      </w:r>
      <w:r w:rsidR="007E18A2">
        <w:t>cycle threshold (</w:t>
      </w:r>
      <w:r w:rsidR="00115813">
        <w:t>C</w:t>
      </w:r>
      <w:r w:rsidR="00115813" w:rsidRPr="007E18A2">
        <w:rPr>
          <w:vertAlign w:val="subscript"/>
        </w:rPr>
        <w:t>t</w:t>
      </w:r>
      <w:r w:rsidR="007E18A2">
        <w:t xml:space="preserve">) </w:t>
      </w:r>
      <w:r w:rsidR="00115813">
        <w:t xml:space="preserve">values not subjected to pooled testing. Fitted </w:t>
      </w:r>
      <w:r w:rsidR="00394A6E">
        <w:t xml:space="preserve">theoretical </w:t>
      </w:r>
      <w:proofErr w:type="spellStart"/>
      <w:r w:rsidR="00115813">
        <w:t>weibull</w:t>
      </w:r>
      <w:proofErr w:type="spellEnd"/>
      <w:r w:rsidR="00115813">
        <w:t xml:space="preserve"> (red), normal (green), gamma (dark blue), and log-normal (light blue) distributions are plotted alongside </w:t>
      </w:r>
      <w:r w:rsidR="00394A6E">
        <w:t xml:space="preserve">empirical dataset for </w:t>
      </w:r>
      <w:r w:rsidR="00394A6E">
        <w:lastRenderedPageBreak/>
        <w:t xml:space="preserve">probability densities, quantiles (Q-Q plot), cumulative distribution functions, and probabilities (P-P plot). The fitted Weibull distribution was selected based on minimization of the Bayesian Information Criterion, </w:t>
      </w:r>
      <w:r w:rsidR="00394A6E" w:rsidRPr="00394A6E">
        <w:t>Akaike information criterion</w:t>
      </w:r>
      <w:r w:rsidR="00394A6E">
        <w:t xml:space="preserve">, and </w:t>
      </w:r>
      <w:r w:rsidR="00394A6E" w:rsidRPr="00394A6E">
        <w:t>Kolmogorov–Smirnov statistic</w:t>
      </w:r>
      <w:r w:rsidR="00394A6E">
        <w:t>.</w:t>
      </w:r>
    </w:p>
    <w:p w14:paraId="3B81EDDC" w14:textId="77777777" w:rsidR="00394A6E" w:rsidRDefault="00394A6E" w:rsidP="00814D6B">
      <w:pPr>
        <w:spacing w:line="480" w:lineRule="auto"/>
      </w:pPr>
    </w:p>
    <w:p w14:paraId="3BF43E67" w14:textId="15C21EDF" w:rsidR="00C86E06" w:rsidRDefault="00C86E06" w:rsidP="00814D6B">
      <w:pPr>
        <w:spacing w:line="480" w:lineRule="auto"/>
      </w:pPr>
      <w:r w:rsidRPr="00DE700A">
        <w:rPr>
          <w:b/>
          <w:bCs/>
        </w:rPr>
        <w:t>Appendix Figure 5.</w:t>
      </w:r>
      <w:r>
        <w:t xml:space="preserve"> </w:t>
      </w:r>
      <w:r w:rsidR="00394A6E" w:rsidRPr="00394A6E">
        <w:t xml:space="preserve">Fitted probit regression (solid black line) with 95% confidence intervals (dashed black lines) derived from independent limit of detection </w:t>
      </w:r>
      <w:r w:rsidR="007E18A2">
        <w:t>(</w:t>
      </w:r>
      <w:proofErr w:type="spellStart"/>
      <w:r w:rsidR="007E18A2">
        <w:t>LoD</w:t>
      </w:r>
      <w:proofErr w:type="spellEnd"/>
      <w:r w:rsidR="007E18A2">
        <w:t xml:space="preserve">) </w:t>
      </w:r>
      <w:r w:rsidR="00394A6E" w:rsidRPr="00394A6E">
        <w:t xml:space="preserve">experiment. Probability of detection is plotted against nominal viral copies per milliliter (A, top) and </w:t>
      </w:r>
      <w:r w:rsidR="00394A6E">
        <w:t xml:space="preserve">corresponding </w:t>
      </w:r>
      <w:r w:rsidR="007E18A2">
        <w:t>cycle threshold (C</w:t>
      </w:r>
      <w:r w:rsidR="007E18A2" w:rsidRPr="007E18A2">
        <w:rPr>
          <w:vertAlign w:val="subscript"/>
        </w:rPr>
        <w:t>t</w:t>
      </w:r>
      <w:r w:rsidR="007E18A2">
        <w:t>)</w:t>
      </w:r>
      <w:r w:rsidR="00394A6E" w:rsidRPr="00394A6E">
        <w:t xml:space="preserve"> value (B, bottom). Solid red lines indicate 95% estimated probability of detection (horizontal) and corresponding 95% </w:t>
      </w:r>
      <w:proofErr w:type="spellStart"/>
      <w:r w:rsidR="00394A6E" w:rsidRPr="00394A6E">
        <w:t>LoD</w:t>
      </w:r>
      <w:proofErr w:type="spellEnd"/>
      <w:r w:rsidR="00394A6E" w:rsidRPr="00394A6E">
        <w:t xml:space="preserve"> (</w:t>
      </w:r>
      <w:r w:rsidR="00394A6E">
        <w:t xml:space="preserve">vertical, </w:t>
      </w:r>
      <w:r w:rsidR="00394A6E" w:rsidRPr="00394A6E">
        <w:t>685 cp/mL or C</w:t>
      </w:r>
      <w:r w:rsidR="00394A6E" w:rsidRPr="007E18A2">
        <w:rPr>
          <w:vertAlign w:val="subscript"/>
        </w:rPr>
        <w:t>t</w:t>
      </w:r>
      <w:r w:rsidR="00394A6E" w:rsidRPr="00394A6E">
        <w:t xml:space="preserve"> 35.9).</w:t>
      </w:r>
    </w:p>
    <w:p w14:paraId="724F45B3" w14:textId="77777777" w:rsidR="0008174F" w:rsidRDefault="0008174F" w:rsidP="00814D6B">
      <w:pPr>
        <w:spacing w:line="480" w:lineRule="auto"/>
      </w:pPr>
    </w:p>
    <w:p w14:paraId="75D16B51" w14:textId="764BE440" w:rsidR="006F1059" w:rsidRPr="007E18A2" w:rsidRDefault="00DF0907" w:rsidP="00814D6B">
      <w:pPr>
        <w:spacing w:line="480" w:lineRule="auto"/>
      </w:pPr>
      <w:r w:rsidRPr="00C1278A">
        <w:rPr>
          <w:b/>
          <w:bCs/>
        </w:rPr>
        <w:t xml:space="preserve">Appendix Figure </w:t>
      </w:r>
      <w:r w:rsidR="00C86E06" w:rsidRPr="00C1278A">
        <w:rPr>
          <w:b/>
          <w:bCs/>
        </w:rPr>
        <w:t>6</w:t>
      </w:r>
      <w:r w:rsidRPr="00C1278A">
        <w:rPr>
          <w:b/>
          <w:bCs/>
        </w:rPr>
        <w:t>.</w:t>
      </w:r>
      <w:r>
        <w:t xml:space="preserve"> </w:t>
      </w:r>
      <w:r w:rsidR="007E18A2">
        <w:t>Model-estimated positive percent agreement (PPA) and testing efficiency, by pool size, proportion of tests positive, assay sensitivity as represented by cycle threshold (</w:t>
      </w:r>
      <w:r w:rsidR="007E18A2" w:rsidRPr="00DB1421">
        <w:rPr>
          <w:rFonts w:cs="Arial"/>
          <w:bCs/>
        </w:rPr>
        <w:t>C</w:t>
      </w:r>
      <w:r w:rsidR="007E18A2" w:rsidRPr="00DB1421">
        <w:rPr>
          <w:rFonts w:cs="Arial"/>
          <w:bCs/>
          <w:vertAlign w:val="subscript"/>
        </w:rPr>
        <w:t>t</w:t>
      </w:r>
      <w:r w:rsidR="007E18A2">
        <w:t>) corresponding to the 95% limit of detection (</w:t>
      </w:r>
      <w:proofErr w:type="spellStart"/>
      <w:r w:rsidR="007E18A2">
        <w:t>LoD</w:t>
      </w:r>
      <w:proofErr w:type="spellEnd"/>
      <w:r w:rsidR="007E18A2">
        <w:t xml:space="preserve">), and proportion of samples with </w:t>
      </w:r>
      <w:r w:rsidR="007E18A2" w:rsidRPr="00DB1421">
        <w:rPr>
          <w:rFonts w:cs="Arial"/>
          <w:bCs/>
        </w:rPr>
        <w:t>C</w:t>
      </w:r>
      <w:r w:rsidR="007E18A2" w:rsidRPr="00DB1421">
        <w:rPr>
          <w:rFonts w:cs="Arial"/>
          <w:bCs/>
          <w:vertAlign w:val="subscript"/>
        </w:rPr>
        <w:t>t</w:t>
      </w:r>
      <w:r w:rsidR="007E18A2">
        <w:t xml:space="preserve"> above the </w:t>
      </w:r>
      <w:proofErr w:type="spellStart"/>
      <w:r w:rsidR="007E18A2">
        <w:t>LoD</w:t>
      </w:r>
      <w:proofErr w:type="spellEnd"/>
      <w:r w:rsidR="007E18A2">
        <w:t xml:space="preserve">. </w:t>
      </w:r>
      <w:r>
        <w:t>The relationship between PP</w:t>
      </w:r>
      <w:r w:rsidR="00501700">
        <w:t xml:space="preserve">A and pool size is independent of the </w:t>
      </w:r>
      <w:r w:rsidR="007E18A2">
        <w:t xml:space="preserve">actual </w:t>
      </w:r>
      <w:r w:rsidR="00501700" w:rsidRPr="00DB1421">
        <w:rPr>
          <w:rFonts w:cs="Arial"/>
          <w:bCs/>
        </w:rPr>
        <w:t>C</w:t>
      </w:r>
      <w:r w:rsidR="00501700" w:rsidRPr="00DB1421">
        <w:rPr>
          <w:rFonts w:cs="Arial"/>
          <w:bCs/>
          <w:vertAlign w:val="subscript"/>
        </w:rPr>
        <w:t>t</w:t>
      </w:r>
      <w:r w:rsidR="00501700">
        <w:rPr>
          <w:rFonts w:cs="Arial"/>
          <w:bCs/>
        </w:rPr>
        <w:t xml:space="preserve"> value corresponding to the 95% </w:t>
      </w:r>
      <w:proofErr w:type="spellStart"/>
      <w:r w:rsidR="00501700">
        <w:rPr>
          <w:rFonts w:cs="Arial"/>
          <w:bCs/>
        </w:rPr>
        <w:t>LoD</w:t>
      </w:r>
      <w:proofErr w:type="spellEnd"/>
      <w:r w:rsidR="007E18A2">
        <w:rPr>
          <w:rFonts w:cs="Arial"/>
          <w:bCs/>
        </w:rPr>
        <w:t xml:space="preserve"> </w:t>
      </w:r>
      <w:r w:rsidR="009E15F0">
        <w:rPr>
          <w:rFonts w:cs="Arial"/>
          <w:bCs/>
        </w:rPr>
        <w:t>due to a fixed proportion of C</w:t>
      </w:r>
      <w:r w:rsidR="00671E63" w:rsidRPr="00DB1421">
        <w:rPr>
          <w:rFonts w:cs="Arial"/>
          <w:bCs/>
          <w:vertAlign w:val="subscript"/>
        </w:rPr>
        <w:t>t</w:t>
      </w:r>
      <w:r w:rsidR="009E15F0">
        <w:rPr>
          <w:rFonts w:cs="Arial"/>
          <w:bCs/>
        </w:rPr>
        <w:t xml:space="preserve"> values above the </w:t>
      </w:r>
      <w:proofErr w:type="spellStart"/>
      <w:r w:rsidR="009E15F0">
        <w:rPr>
          <w:rFonts w:cs="Arial"/>
          <w:bCs/>
        </w:rPr>
        <w:t>LoD</w:t>
      </w:r>
      <w:proofErr w:type="spellEnd"/>
      <w:r w:rsidR="009E15F0">
        <w:rPr>
          <w:rFonts w:cs="Arial"/>
          <w:bCs/>
        </w:rPr>
        <w:t xml:space="preserve"> (5%, 15%, 25%)</w:t>
      </w:r>
      <w:r w:rsidR="00501700">
        <w:rPr>
          <w:rFonts w:cs="Arial"/>
          <w:bCs/>
        </w:rPr>
        <w:t>, as demonstrated by identical plots in each vertical panel.</w:t>
      </w:r>
    </w:p>
    <w:p w14:paraId="46700EE1" w14:textId="77777777" w:rsidR="007E18A2" w:rsidRDefault="007E18A2" w:rsidP="00814D6B">
      <w:pPr>
        <w:spacing w:line="480" w:lineRule="auto"/>
        <w:rPr>
          <w:rFonts w:cs="Arial"/>
          <w:bCs/>
        </w:rPr>
      </w:pPr>
    </w:p>
    <w:p w14:paraId="2D2E241D" w14:textId="528CD332" w:rsidR="00D11E2E" w:rsidRDefault="00C86E06" w:rsidP="00814D6B">
      <w:pPr>
        <w:spacing w:line="480" w:lineRule="auto"/>
        <w:rPr>
          <w:rFonts w:cs="Arial"/>
          <w:bCs/>
        </w:rPr>
      </w:pPr>
      <w:r w:rsidRPr="00DE700A">
        <w:rPr>
          <w:rFonts w:cs="Arial"/>
          <w:b/>
        </w:rPr>
        <w:t>Appendix Figure 7.</w:t>
      </w:r>
      <w:r>
        <w:rPr>
          <w:rFonts w:cs="Arial"/>
          <w:bCs/>
        </w:rPr>
        <w:t xml:space="preserve"> </w:t>
      </w:r>
      <w:r w:rsidR="00D11E2E">
        <w:rPr>
          <w:rFonts w:cs="Arial"/>
          <w:bCs/>
        </w:rPr>
        <w:t xml:space="preserve">One-way deterministic sensitivity analysis for </w:t>
      </w:r>
      <w:r w:rsidR="00D11E2E">
        <w:t>m</w:t>
      </w:r>
      <w:r w:rsidR="009E15F0">
        <w:t>odeled estimates of</w:t>
      </w:r>
      <w:r>
        <w:t xml:space="preserve"> positive percent agreement (PPA) between pooled and individual testing at pool sizes from 1-20</w:t>
      </w:r>
      <w:r w:rsidR="00D11E2E">
        <w:t xml:space="preserve"> for </w:t>
      </w:r>
      <w:r w:rsidR="007330F9">
        <w:t>variable</w:t>
      </w:r>
      <w:r w:rsidR="00D11E2E">
        <w:t xml:space="preserve"> prevalence</w:t>
      </w:r>
      <w:r>
        <w:t xml:space="preserve">. </w:t>
      </w:r>
      <w:r w:rsidR="00D11E2E">
        <w:t xml:space="preserve">Solid lines indicate </w:t>
      </w:r>
      <w:r w:rsidR="007330F9">
        <w:t xml:space="preserve">modeled </w:t>
      </w:r>
      <w:r w:rsidR="007874A3">
        <w:t xml:space="preserve">base case estimates (presented in </w:t>
      </w:r>
      <w:r w:rsidR="00671E63">
        <w:t>F</w:t>
      </w:r>
      <w:r w:rsidR="007874A3">
        <w:t>igure 4</w:t>
      </w:r>
      <w:r w:rsidR="007330F9">
        <w:t>A</w:t>
      </w:r>
      <w:r w:rsidR="007874A3">
        <w:t xml:space="preserve">), while dashed lines indicate </w:t>
      </w:r>
      <w:r w:rsidR="007330F9">
        <w:t xml:space="preserve">modeled estimates at </w:t>
      </w:r>
      <w:r w:rsidR="007874A3">
        <w:t xml:space="preserve">upper and lower bounds of </w:t>
      </w:r>
      <w:r w:rsidR="007330F9">
        <w:t>sensitivity analysis.</w:t>
      </w:r>
      <w:r w:rsidR="007874A3">
        <w:t xml:space="preserve"> </w:t>
      </w:r>
      <w:r>
        <w:rPr>
          <w:rFonts w:cs="Arial"/>
          <w:bCs/>
        </w:rPr>
        <w:t xml:space="preserve">A) </w:t>
      </w:r>
      <w:r w:rsidR="00D11E2E">
        <w:rPr>
          <w:rFonts w:cs="Arial"/>
          <w:bCs/>
        </w:rPr>
        <w:t>Deterministic sensitivity analysis for deviation from pooled testing dilution effect (</w:t>
      </w:r>
      <w:r w:rsidR="00D11E2E" w:rsidRPr="00D11E2E">
        <w:rPr>
          <w:rFonts w:cs="Arial"/>
          <w:bCs/>
        </w:rPr>
        <w:t>±</w:t>
      </w:r>
      <w:r w:rsidR="00D11E2E">
        <w:rPr>
          <w:rFonts w:cs="Arial"/>
          <w:bCs/>
        </w:rPr>
        <w:t>1 C</w:t>
      </w:r>
      <w:r w:rsidR="00D11E2E" w:rsidRPr="00F5368C">
        <w:rPr>
          <w:rFonts w:cs="Arial"/>
          <w:bCs/>
          <w:vertAlign w:val="subscript"/>
        </w:rPr>
        <w:t xml:space="preserve">t </w:t>
      </w:r>
      <w:r w:rsidR="00D11E2E">
        <w:rPr>
          <w:rFonts w:cs="Arial"/>
          <w:bCs/>
        </w:rPr>
        <w:t>value). B) Deterministic sensitivity analysis for deviation from fitted probit regression (</w:t>
      </w:r>
      <w:r w:rsidR="00D11E2E" w:rsidRPr="00D11E2E">
        <w:rPr>
          <w:rFonts w:cs="Arial"/>
          <w:bCs/>
        </w:rPr>
        <w:t>±</w:t>
      </w:r>
      <w:r w:rsidR="00D11E2E">
        <w:rPr>
          <w:rFonts w:cs="Arial"/>
          <w:bCs/>
        </w:rPr>
        <w:t>2 standard deviations).</w:t>
      </w:r>
    </w:p>
    <w:p w14:paraId="4E056C72" w14:textId="77777777" w:rsidR="00D11E2E" w:rsidRDefault="00D11E2E" w:rsidP="00814D6B">
      <w:pPr>
        <w:spacing w:line="480" w:lineRule="auto"/>
        <w:rPr>
          <w:rFonts w:cs="Arial"/>
          <w:bCs/>
        </w:rPr>
      </w:pPr>
    </w:p>
    <w:p w14:paraId="7BFFD8FC" w14:textId="07EDFD82" w:rsidR="007330F9" w:rsidRDefault="00C86E06" w:rsidP="007330F9">
      <w:pPr>
        <w:spacing w:line="480" w:lineRule="auto"/>
        <w:rPr>
          <w:rFonts w:cs="Arial"/>
          <w:bCs/>
        </w:rPr>
      </w:pPr>
      <w:r w:rsidRPr="00DE700A">
        <w:rPr>
          <w:rFonts w:cs="Arial"/>
          <w:b/>
        </w:rPr>
        <w:lastRenderedPageBreak/>
        <w:t>Appendix Figure 8.</w:t>
      </w:r>
      <w:r>
        <w:rPr>
          <w:rFonts w:cs="Arial"/>
          <w:bCs/>
        </w:rPr>
        <w:t xml:space="preserve"> </w:t>
      </w:r>
      <w:r w:rsidR="007330F9">
        <w:rPr>
          <w:rFonts w:cs="Arial"/>
          <w:bCs/>
        </w:rPr>
        <w:t xml:space="preserve">One-way deterministic sensitivity analysis for </w:t>
      </w:r>
      <w:r w:rsidR="007330F9">
        <w:t xml:space="preserve">modeled estimates of tests per sample between pooled and individual testing at pool sizes from 1-20 for variable prevalence. Solid lines indicate modeled base case estimates (presented in </w:t>
      </w:r>
      <w:r w:rsidR="00671E63">
        <w:t>F</w:t>
      </w:r>
      <w:r w:rsidR="007330F9">
        <w:t xml:space="preserve">igure 4B), while dashed lines indicate modeled estimates at upper and lower bounds of sensitivity analysis. </w:t>
      </w:r>
      <w:r w:rsidR="007330F9">
        <w:rPr>
          <w:rFonts w:cs="Arial"/>
          <w:bCs/>
        </w:rPr>
        <w:t>A) Deterministic sensitivity analysis for deviation from pooled testing dilution effect (</w:t>
      </w:r>
      <w:r w:rsidR="007330F9" w:rsidRPr="00D11E2E">
        <w:rPr>
          <w:rFonts w:cs="Arial"/>
          <w:bCs/>
        </w:rPr>
        <w:t>±</w:t>
      </w:r>
      <w:r w:rsidR="007330F9">
        <w:rPr>
          <w:rFonts w:cs="Arial"/>
          <w:bCs/>
        </w:rPr>
        <w:t>1 C</w:t>
      </w:r>
      <w:r w:rsidR="007330F9" w:rsidRPr="00F5368C">
        <w:rPr>
          <w:rFonts w:cs="Arial"/>
          <w:bCs/>
          <w:vertAlign w:val="subscript"/>
        </w:rPr>
        <w:t>t</w:t>
      </w:r>
      <w:r w:rsidR="007330F9">
        <w:rPr>
          <w:rFonts w:cs="Arial"/>
          <w:bCs/>
        </w:rPr>
        <w:t xml:space="preserve"> value). B) Deterministic sensitivity analysis for deviation from fitted probit regression (</w:t>
      </w:r>
      <w:r w:rsidR="007330F9" w:rsidRPr="00D11E2E">
        <w:rPr>
          <w:rFonts w:cs="Arial"/>
          <w:bCs/>
        </w:rPr>
        <w:t>±</w:t>
      </w:r>
      <w:r w:rsidR="007330F9">
        <w:rPr>
          <w:rFonts w:cs="Arial"/>
          <w:bCs/>
        </w:rPr>
        <w:t>2 standard deviations).</w:t>
      </w:r>
    </w:p>
    <w:p w14:paraId="57E60394" w14:textId="7BF54A66" w:rsidR="00C86E06" w:rsidRPr="00687C15" w:rsidRDefault="00C86E06" w:rsidP="00814D6B">
      <w:pPr>
        <w:spacing w:line="480" w:lineRule="auto"/>
        <w:rPr>
          <w:rFonts w:cs="Arial"/>
          <w:bCs/>
        </w:rPr>
      </w:pPr>
    </w:p>
    <w:sectPr w:rsidR="00C86E06" w:rsidRPr="00687C15" w:rsidSect="00814D6B">
      <w:pgSz w:w="12240" w:h="15840"/>
      <w:pgMar w:top="1152" w:right="1152" w:bottom="1152" w:left="1152"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skia Lynn DeRook Comess" w:date="2020-10-12T16:13:00Z" w:initials="SLDC">
    <w:p w14:paraId="746AEE5E" w14:textId="4128CC60" w:rsidR="0029750F" w:rsidRDefault="0029750F">
      <w:pPr>
        <w:pStyle w:val="CommentText"/>
      </w:pPr>
      <w:r>
        <w:rPr>
          <w:rStyle w:val="CommentReference"/>
        </w:rPr>
        <w:annotationRef/>
      </w:r>
      <w:r>
        <w:t>objective</w:t>
      </w:r>
    </w:p>
  </w:comment>
  <w:comment w:id="1" w:author="Saskia Lynn DeRook Comess" w:date="2020-10-12T16:13:00Z" w:initials="SLDC">
    <w:p w14:paraId="7C61D307" w14:textId="2DC0D2E1" w:rsidR="0029750F" w:rsidRDefault="0029750F">
      <w:pPr>
        <w:pStyle w:val="CommentText"/>
      </w:pPr>
      <w:r>
        <w:rPr>
          <w:rStyle w:val="CommentReference"/>
        </w:rPr>
        <w:annotationRef/>
      </w:r>
      <w:r>
        <w:t>main results</w:t>
      </w:r>
    </w:p>
  </w:comment>
  <w:comment w:id="2" w:author="Saskia Lynn DeRook Comess" w:date="2020-10-12T16:13:00Z" w:initials="SLDC">
    <w:p w14:paraId="1555EE00" w14:textId="77CF83BB" w:rsidR="0029750F" w:rsidRDefault="0029750F">
      <w:pPr>
        <w:pStyle w:val="CommentText"/>
      </w:pPr>
      <w:r>
        <w:rPr>
          <w:rStyle w:val="CommentReference"/>
        </w:rPr>
        <w:annotationRef/>
      </w:r>
      <w:r>
        <w:t>model</w:t>
      </w:r>
    </w:p>
  </w:comment>
  <w:comment w:id="3" w:author="Saskia Lynn DeRook Comess" w:date="2020-10-12T16:21:00Z" w:initials="SLDC">
    <w:p w14:paraId="7FD747BD" w14:textId="61D53468" w:rsidR="0029750F" w:rsidRDefault="0029750F">
      <w:pPr>
        <w:pStyle w:val="CommentText"/>
      </w:pPr>
      <w:r>
        <w:rPr>
          <w:rStyle w:val="CommentReference"/>
        </w:rPr>
        <w:annotationRef/>
      </w:r>
      <w:r>
        <w:t>model details- need to read technical appendix</w:t>
      </w:r>
    </w:p>
  </w:comment>
  <w:comment w:id="4" w:author="Saskia Lynn DeRook Comess" w:date="2020-10-12T16:25:00Z" w:initials="SLDC">
    <w:p w14:paraId="709F6996" w14:textId="6C9215FF" w:rsidR="0029750F" w:rsidRDefault="0029750F">
      <w:pPr>
        <w:pStyle w:val="CommentText"/>
      </w:pPr>
      <w:r>
        <w:rPr>
          <w:rStyle w:val="CommentReference"/>
        </w:rPr>
        <w:annotationRef/>
      </w:r>
      <w:r>
        <w:t>this surprises me – I thought false positives almost never happened?? (false negatives common however)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6AEE5E" w15:done="0"/>
  <w15:commentEx w15:paraId="7C61D307" w15:done="0"/>
  <w15:commentEx w15:paraId="1555EE00" w15:done="0"/>
  <w15:commentEx w15:paraId="7FD747BD" w15:done="0"/>
  <w15:commentEx w15:paraId="709F69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FF13" w16cex:dateUtc="2020-10-12T20:13:00Z"/>
  <w16cex:commentExtensible w16cex:durableId="232EFF26" w16cex:dateUtc="2020-10-12T20:13:00Z"/>
  <w16cex:commentExtensible w16cex:durableId="232EFF2F" w16cex:dateUtc="2020-10-12T20:13:00Z"/>
  <w16cex:commentExtensible w16cex:durableId="232F0119" w16cex:dateUtc="2020-10-12T20:21:00Z"/>
  <w16cex:commentExtensible w16cex:durableId="232F01F6" w16cex:dateUtc="2020-10-12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6AEE5E" w16cid:durableId="232EFF13"/>
  <w16cid:commentId w16cid:paraId="7C61D307" w16cid:durableId="232EFF26"/>
  <w16cid:commentId w16cid:paraId="1555EE00" w16cid:durableId="232EFF2F"/>
  <w16cid:commentId w16cid:paraId="7FD747BD" w16cid:durableId="232F0119"/>
  <w16cid:commentId w16cid:paraId="709F6996" w16cid:durableId="232F0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8CAC3" w14:textId="77777777" w:rsidR="00275B7E" w:rsidRDefault="00275B7E" w:rsidP="001A4045">
      <w:r>
        <w:separator/>
      </w:r>
    </w:p>
  </w:endnote>
  <w:endnote w:type="continuationSeparator" w:id="0">
    <w:p w14:paraId="7DAA849B" w14:textId="77777777" w:rsidR="00275B7E" w:rsidRDefault="00275B7E" w:rsidP="001A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E40BB" w14:textId="77777777" w:rsidR="00275B7E" w:rsidRDefault="00275B7E" w:rsidP="001A4045">
      <w:r>
        <w:separator/>
      </w:r>
    </w:p>
  </w:footnote>
  <w:footnote w:type="continuationSeparator" w:id="0">
    <w:p w14:paraId="02869621" w14:textId="77777777" w:rsidR="00275B7E" w:rsidRDefault="00275B7E" w:rsidP="001A4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E7ADD"/>
    <w:multiLevelType w:val="multilevel"/>
    <w:tmpl w:val="764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90415"/>
    <w:multiLevelType w:val="hybridMultilevel"/>
    <w:tmpl w:val="9C62F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F0ECA"/>
    <w:multiLevelType w:val="hybridMultilevel"/>
    <w:tmpl w:val="FE1E88B8"/>
    <w:lvl w:ilvl="0" w:tplc="8B3E6B24">
      <w:start w:val="1"/>
      <w:numFmt w:val="bullet"/>
      <w:lvlText w:val=""/>
      <w:lvlJc w:val="left"/>
      <w:pPr>
        <w:ind w:left="720" w:hanging="360"/>
      </w:pPr>
      <w:rPr>
        <w:rFonts w:ascii="Symbol" w:hAnsi="Symbol" w:hint="default"/>
      </w:rPr>
    </w:lvl>
    <w:lvl w:ilvl="1" w:tplc="AB4C2AA8">
      <w:start w:val="1"/>
      <w:numFmt w:val="bullet"/>
      <w:lvlText w:val="o"/>
      <w:lvlJc w:val="left"/>
      <w:pPr>
        <w:ind w:left="1440" w:hanging="360"/>
      </w:pPr>
      <w:rPr>
        <w:rFonts w:ascii="Courier New" w:hAnsi="Courier New" w:hint="default"/>
      </w:rPr>
    </w:lvl>
    <w:lvl w:ilvl="2" w:tplc="EF50607C">
      <w:start w:val="1"/>
      <w:numFmt w:val="bullet"/>
      <w:lvlText w:val=""/>
      <w:lvlJc w:val="left"/>
      <w:pPr>
        <w:ind w:left="2160" w:hanging="360"/>
      </w:pPr>
      <w:rPr>
        <w:rFonts w:ascii="Wingdings" w:hAnsi="Wingdings" w:hint="default"/>
      </w:rPr>
    </w:lvl>
    <w:lvl w:ilvl="3" w:tplc="0B762468">
      <w:start w:val="1"/>
      <w:numFmt w:val="bullet"/>
      <w:lvlText w:val=""/>
      <w:lvlJc w:val="left"/>
      <w:pPr>
        <w:ind w:left="2880" w:hanging="360"/>
      </w:pPr>
      <w:rPr>
        <w:rFonts w:ascii="Symbol" w:hAnsi="Symbol" w:hint="default"/>
      </w:rPr>
    </w:lvl>
    <w:lvl w:ilvl="4" w:tplc="0D608810">
      <w:start w:val="1"/>
      <w:numFmt w:val="bullet"/>
      <w:lvlText w:val="o"/>
      <w:lvlJc w:val="left"/>
      <w:pPr>
        <w:ind w:left="3600" w:hanging="360"/>
      </w:pPr>
      <w:rPr>
        <w:rFonts w:ascii="Courier New" w:hAnsi="Courier New" w:hint="default"/>
      </w:rPr>
    </w:lvl>
    <w:lvl w:ilvl="5" w:tplc="5E16C64C">
      <w:start w:val="1"/>
      <w:numFmt w:val="bullet"/>
      <w:lvlText w:val=""/>
      <w:lvlJc w:val="left"/>
      <w:pPr>
        <w:ind w:left="4320" w:hanging="360"/>
      </w:pPr>
      <w:rPr>
        <w:rFonts w:ascii="Wingdings" w:hAnsi="Wingdings" w:hint="default"/>
      </w:rPr>
    </w:lvl>
    <w:lvl w:ilvl="6" w:tplc="FA6CCDA6">
      <w:start w:val="1"/>
      <w:numFmt w:val="bullet"/>
      <w:lvlText w:val=""/>
      <w:lvlJc w:val="left"/>
      <w:pPr>
        <w:ind w:left="5040" w:hanging="360"/>
      </w:pPr>
      <w:rPr>
        <w:rFonts w:ascii="Symbol" w:hAnsi="Symbol" w:hint="default"/>
      </w:rPr>
    </w:lvl>
    <w:lvl w:ilvl="7" w:tplc="EADCB89E">
      <w:start w:val="1"/>
      <w:numFmt w:val="bullet"/>
      <w:lvlText w:val="o"/>
      <w:lvlJc w:val="left"/>
      <w:pPr>
        <w:ind w:left="5760" w:hanging="360"/>
      </w:pPr>
      <w:rPr>
        <w:rFonts w:ascii="Courier New" w:hAnsi="Courier New" w:hint="default"/>
      </w:rPr>
    </w:lvl>
    <w:lvl w:ilvl="8" w:tplc="318E8692">
      <w:start w:val="1"/>
      <w:numFmt w:val="bullet"/>
      <w:lvlText w:val=""/>
      <w:lvlJc w:val="left"/>
      <w:pPr>
        <w:ind w:left="6480" w:hanging="360"/>
      </w:pPr>
      <w:rPr>
        <w:rFonts w:ascii="Wingdings" w:hAnsi="Wingdings" w:hint="default"/>
      </w:rPr>
    </w:lvl>
  </w:abstractNum>
  <w:abstractNum w:abstractNumId="3" w15:restartNumberingAfterBreak="0">
    <w:nsid w:val="55B7155E"/>
    <w:multiLevelType w:val="hybridMultilevel"/>
    <w:tmpl w:val="7A4892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468B7"/>
    <w:multiLevelType w:val="hybridMultilevel"/>
    <w:tmpl w:val="5A40C8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kia Lynn DeRook Comess">
    <w15:presenceInfo w15:providerId="AD" w15:userId="S::saskiaco@stanford.edu::3a8cb929-5eae-4938-acab-650c67d0e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60"/>
    <w:rsid w:val="000033FF"/>
    <w:rsid w:val="0000625A"/>
    <w:rsid w:val="00013324"/>
    <w:rsid w:val="00013DC4"/>
    <w:rsid w:val="00014075"/>
    <w:rsid w:val="00015C62"/>
    <w:rsid w:val="00017C9D"/>
    <w:rsid w:val="00021CB0"/>
    <w:rsid w:val="00025A14"/>
    <w:rsid w:val="00026BBB"/>
    <w:rsid w:val="000351EF"/>
    <w:rsid w:val="00037F13"/>
    <w:rsid w:val="0004286A"/>
    <w:rsid w:val="000460A6"/>
    <w:rsid w:val="00046139"/>
    <w:rsid w:val="00046FC6"/>
    <w:rsid w:val="0005248C"/>
    <w:rsid w:val="000573D4"/>
    <w:rsid w:val="00057D01"/>
    <w:rsid w:val="00061276"/>
    <w:rsid w:val="0006353F"/>
    <w:rsid w:val="0006506F"/>
    <w:rsid w:val="0006546B"/>
    <w:rsid w:val="00065F4D"/>
    <w:rsid w:val="000701DF"/>
    <w:rsid w:val="00070FB5"/>
    <w:rsid w:val="00071C38"/>
    <w:rsid w:val="00072B16"/>
    <w:rsid w:val="00074285"/>
    <w:rsid w:val="00074C87"/>
    <w:rsid w:val="000778F3"/>
    <w:rsid w:val="0008174F"/>
    <w:rsid w:val="000823E5"/>
    <w:rsid w:val="00082E4F"/>
    <w:rsid w:val="00083DAF"/>
    <w:rsid w:val="00084FA1"/>
    <w:rsid w:val="00085010"/>
    <w:rsid w:val="0009080E"/>
    <w:rsid w:val="00090BC7"/>
    <w:rsid w:val="0009441E"/>
    <w:rsid w:val="00095541"/>
    <w:rsid w:val="000A4363"/>
    <w:rsid w:val="000B1945"/>
    <w:rsid w:val="000B3275"/>
    <w:rsid w:val="000B5DC3"/>
    <w:rsid w:val="000B6758"/>
    <w:rsid w:val="000B6A23"/>
    <w:rsid w:val="000B7BAC"/>
    <w:rsid w:val="000C3100"/>
    <w:rsid w:val="000D1C78"/>
    <w:rsid w:val="000D1F6F"/>
    <w:rsid w:val="000D20BD"/>
    <w:rsid w:val="000D40D6"/>
    <w:rsid w:val="000D63F3"/>
    <w:rsid w:val="000D6F57"/>
    <w:rsid w:val="000D708D"/>
    <w:rsid w:val="000E0FC0"/>
    <w:rsid w:val="000E107C"/>
    <w:rsid w:val="000E210E"/>
    <w:rsid w:val="000E4350"/>
    <w:rsid w:val="000E50D5"/>
    <w:rsid w:val="000E50F0"/>
    <w:rsid w:val="000F0C36"/>
    <w:rsid w:val="000F104F"/>
    <w:rsid w:val="000F1716"/>
    <w:rsid w:val="000F76D1"/>
    <w:rsid w:val="001022A6"/>
    <w:rsid w:val="00103206"/>
    <w:rsid w:val="0010575A"/>
    <w:rsid w:val="00112F95"/>
    <w:rsid w:val="00115813"/>
    <w:rsid w:val="0011656B"/>
    <w:rsid w:val="001214DA"/>
    <w:rsid w:val="001249DA"/>
    <w:rsid w:val="001278AB"/>
    <w:rsid w:val="00130DEA"/>
    <w:rsid w:val="00130F96"/>
    <w:rsid w:val="00134629"/>
    <w:rsid w:val="00135A0F"/>
    <w:rsid w:val="001458D6"/>
    <w:rsid w:val="00146D03"/>
    <w:rsid w:val="001509C4"/>
    <w:rsid w:val="0015144C"/>
    <w:rsid w:val="00157008"/>
    <w:rsid w:val="001643FA"/>
    <w:rsid w:val="001650BE"/>
    <w:rsid w:val="00173BC2"/>
    <w:rsid w:val="001769EE"/>
    <w:rsid w:val="00177039"/>
    <w:rsid w:val="00181C18"/>
    <w:rsid w:val="00183E85"/>
    <w:rsid w:val="00185055"/>
    <w:rsid w:val="001857ED"/>
    <w:rsid w:val="00193D20"/>
    <w:rsid w:val="00194D13"/>
    <w:rsid w:val="001976EC"/>
    <w:rsid w:val="001A278C"/>
    <w:rsid w:val="001A365F"/>
    <w:rsid w:val="001A4045"/>
    <w:rsid w:val="001A5146"/>
    <w:rsid w:val="001A673C"/>
    <w:rsid w:val="001A6F76"/>
    <w:rsid w:val="001A7482"/>
    <w:rsid w:val="001B2106"/>
    <w:rsid w:val="001C04C7"/>
    <w:rsid w:val="001C1088"/>
    <w:rsid w:val="001C3113"/>
    <w:rsid w:val="001D037C"/>
    <w:rsid w:val="001D1C60"/>
    <w:rsid w:val="001D2441"/>
    <w:rsid w:val="001D3371"/>
    <w:rsid w:val="001E6EA0"/>
    <w:rsid w:val="001E7B16"/>
    <w:rsid w:val="001F02E7"/>
    <w:rsid w:val="001F4B2C"/>
    <w:rsid w:val="00200B4D"/>
    <w:rsid w:val="00200BFB"/>
    <w:rsid w:val="00200D5D"/>
    <w:rsid w:val="00201B08"/>
    <w:rsid w:val="0020275E"/>
    <w:rsid w:val="002075E4"/>
    <w:rsid w:val="00207C5F"/>
    <w:rsid w:val="0021471E"/>
    <w:rsid w:val="00215413"/>
    <w:rsid w:val="0022464B"/>
    <w:rsid w:val="00224E1A"/>
    <w:rsid w:val="002254FF"/>
    <w:rsid w:val="002260B9"/>
    <w:rsid w:val="00226DB6"/>
    <w:rsid w:val="00237055"/>
    <w:rsid w:val="002372F4"/>
    <w:rsid w:val="00242C55"/>
    <w:rsid w:val="0024735C"/>
    <w:rsid w:val="00250024"/>
    <w:rsid w:val="0025422A"/>
    <w:rsid w:val="002549C6"/>
    <w:rsid w:val="0026079D"/>
    <w:rsid w:val="002607DA"/>
    <w:rsid w:val="002637B2"/>
    <w:rsid w:val="00263B4D"/>
    <w:rsid w:val="00263D80"/>
    <w:rsid w:val="00270A75"/>
    <w:rsid w:val="002729C1"/>
    <w:rsid w:val="00272BF5"/>
    <w:rsid w:val="00273DD2"/>
    <w:rsid w:val="00275B7E"/>
    <w:rsid w:val="00276D54"/>
    <w:rsid w:val="002776CC"/>
    <w:rsid w:val="00277EF0"/>
    <w:rsid w:val="00280DE9"/>
    <w:rsid w:val="002813E5"/>
    <w:rsid w:val="00281BC6"/>
    <w:rsid w:val="00285A93"/>
    <w:rsid w:val="0029207B"/>
    <w:rsid w:val="002925CB"/>
    <w:rsid w:val="002931C6"/>
    <w:rsid w:val="0029320C"/>
    <w:rsid w:val="00295882"/>
    <w:rsid w:val="00296758"/>
    <w:rsid w:val="0029750F"/>
    <w:rsid w:val="002A48A1"/>
    <w:rsid w:val="002A6BD8"/>
    <w:rsid w:val="002B0CFA"/>
    <w:rsid w:val="002B2655"/>
    <w:rsid w:val="002B2D30"/>
    <w:rsid w:val="002B3F0F"/>
    <w:rsid w:val="002B5E35"/>
    <w:rsid w:val="002C14D1"/>
    <w:rsid w:val="002D0CE5"/>
    <w:rsid w:val="002D47D9"/>
    <w:rsid w:val="002E1F81"/>
    <w:rsid w:val="002E6991"/>
    <w:rsid w:val="002E7D13"/>
    <w:rsid w:val="002F122C"/>
    <w:rsid w:val="002F6B07"/>
    <w:rsid w:val="002F7B56"/>
    <w:rsid w:val="00301BFC"/>
    <w:rsid w:val="003024BE"/>
    <w:rsid w:val="00302D3E"/>
    <w:rsid w:val="003055BC"/>
    <w:rsid w:val="00306D05"/>
    <w:rsid w:val="00307121"/>
    <w:rsid w:val="00311193"/>
    <w:rsid w:val="00314DDA"/>
    <w:rsid w:val="003155AD"/>
    <w:rsid w:val="00322014"/>
    <w:rsid w:val="0032219F"/>
    <w:rsid w:val="00324FC2"/>
    <w:rsid w:val="0033036B"/>
    <w:rsid w:val="00331984"/>
    <w:rsid w:val="00331F61"/>
    <w:rsid w:val="00337F8A"/>
    <w:rsid w:val="00346454"/>
    <w:rsid w:val="003504ED"/>
    <w:rsid w:val="00352810"/>
    <w:rsid w:val="00352C32"/>
    <w:rsid w:val="00356849"/>
    <w:rsid w:val="003571C0"/>
    <w:rsid w:val="00357390"/>
    <w:rsid w:val="00360299"/>
    <w:rsid w:val="003607B5"/>
    <w:rsid w:val="00362152"/>
    <w:rsid w:val="0036245F"/>
    <w:rsid w:val="00363C87"/>
    <w:rsid w:val="003647AB"/>
    <w:rsid w:val="00365107"/>
    <w:rsid w:val="003665EA"/>
    <w:rsid w:val="00367038"/>
    <w:rsid w:val="00367573"/>
    <w:rsid w:val="00367995"/>
    <w:rsid w:val="0037089D"/>
    <w:rsid w:val="003736D3"/>
    <w:rsid w:val="003772D8"/>
    <w:rsid w:val="00380808"/>
    <w:rsid w:val="00385D82"/>
    <w:rsid w:val="003875B0"/>
    <w:rsid w:val="00392584"/>
    <w:rsid w:val="00394A6E"/>
    <w:rsid w:val="003A07EB"/>
    <w:rsid w:val="003B077C"/>
    <w:rsid w:val="003B1E32"/>
    <w:rsid w:val="003B4ED7"/>
    <w:rsid w:val="003B6842"/>
    <w:rsid w:val="003B7550"/>
    <w:rsid w:val="003C1E65"/>
    <w:rsid w:val="003C24DC"/>
    <w:rsid w:val="003C4FA2"/>
    <w:rsid w:val="003C6BE8"/>
    <w:rsid w:val="003D1122"/>
    <w:rsid w:val="003D25D3"/>
    <w:rsid w:val="003D2BB3"/>
    <w:rsid w:val="003D55F9"/>
    <w:rsid w:val="003E39BA"/>
    <w:rsid w:val="003F7799"/>
    <w:rsid w:val="004036BA"/>
    <w:rsid w:val="00404106"/>
    <w:rsid w:val="00404504"/>
    <w:rsid w:val="00405D76"/>
    <w:rsid w:val="00407DA1"/>
    <w:rsid w:val="004160EA"/>
    <w:rsid w:val="00420059"/>
    <w:rsid w:val="00420D68"/>
    <w:rsid w:val="00421667"/>
    <w:rsid w:val="004230DF"/>
    <w:rsid w:val="00430D61"/>
    <w:rsid w:val="00431A83"/>
    <w:rsid w:val="00433396"/>
    <w:rsid w:val="00435AB9"/>
    <w:rsid w:val="00436468"/>
    <w:rsid w:val="00436C36"/>
    <w:rsid w:val="004424A5"/>
    <w:rsid w:val="00454162"/>
    <w:rsid w:val="004550AC"/>
    <w:rsid w:val="004558D9"/>
    <w:rsid w:val="004564A3"/>
    <w:rsid w:val="00456751"/>
    <w:rsid w:val="004576C6"/>
    <w:rsid w:val="00457AD6"/>
    <w:rsid w:val="0046274C"/>
    <w:rsid w:val="00467C59"/>
    <w:rsid w:val="0047120E"/>
    <w:rsid w:val="00471F50"/>
    <w:rsid w:val="00473300"/>
    <w:rsid w:val="004733B7"/>
    <w:rsid w:val="00473B80"/>
    <w:rsid w:val="00473E44"/>
    <w:rsid w:val="004747C3"/>
    <w:rsid w:val="00475F7D"/>
    <w:rsid w:val="00476ABC"/>
    <w:rsid w:val="00477430"/>
    <w:rsid w:val="00480254"/>
    <w:rsid w:val="00480E6D"/>
    <w:rsid w:val="00481268"/>
    <w:rsid w:val="004870D5"/>
    <w:rsid w:val="004903BA"/>
    <w:rsid w:val="00492F59"/>
    <w:rsid w:val="00494979"/>
    <w:rsid w:val="004963C2"/>
    <w:rsid w:val="0049771E"/>
    <w:rsid w:val="004A0E44"/>
    <w:rsid w:val="004A1C8D"/>
    <w:rsid w:val="004B1489"/>
    <w:rsid w:val="004B1946"/>
    <w:rsid w:val="004B56E8"/>
    <w:rsid w:val="004C5900"/>
    <w:rsid w:val="004C6D1C"/>
    <w:rsid w:val="004D44DA"/>
    <w:rsid w:val="004D6AC1"/>
    <w:rsid w:val="004D73D5"/>
    <w:rsid w:val="004E3DBE"/>
    <w:rsid w:val="004E7A3C"/>
    <w:rsid w:val="004E7C8E"/>
    <w:rsid w:val="004F11F9"/>
    <w:rsid w:val="004F1D1E"/>
    <w:rsid w:val="004F4CED"/>
    <w:rsid w:val="004F59C6"/>
    <w:rsid w:val="004F5C12"/>
    <w:rsid w:val="00501700"/>
    <w:rsid w:val="0050286A"/>
    <w:rsid w:val="005033A6"/>
    <w:rsid w:val="00513237"/>
    <w:rsid w:val="00514F84"/>
    <w:rsid w:val="00520063"/>
    <w:rsid w:val="00522EE0"/>
    <w:rsid w:val="00534ADC"/>
    <w:rsid w:val="005407E1"/>
    <w:rsid w:val="0054234F"/>
    <w:rsid w:val="00547F9E"/>
    <w:rsid w:val="00560BE9"/>
    <w:rsid w:val="00561411"/>
    <w:rsid w:val="00565828"/>
    <w:rsid w:val="005659C9"/>
    <w:rsid w:val="00572D3B"/>
    <w:rsid w:val="00575410"/>
    <w:rsid w:val="005756A0"/>
    <w:rsid w:val="00575CB5"/>
    <w:rsid w:val="00576DE8"/>
    <w:rsid w:val="00580EAD"/>
    <w:rsid w:val="00586B47"/>
    <w:rsid w:val="005927E8"/>
    <w:rsid w:val="00592BB1"/>
    <w:rsid w:val="00595976"/>
    <w:rsid w:val="00597F3E"/>
    <w:rsid w:val="005A104F"/>
    <w:rsid w:val="005A2F33"/>
    <w:rsid w:val="005A4468"/>
    <w:rsid w:val="005A626B"/>
    <w:rsid w:val="005B0EB4"/>
    <w:rsid w:val="005B1480"/>
    <w:rsid w:val="005B158A"/>
    <w:rsid w:val="005B1E1C"/>
    <w:rsid w:val="005B38E2"/>
    <w:rsid w:val="005B3C59"/>
    <w:rsid w:val="005B3D56"/>
    <w:rsid w:val="005B5EA0"/>
    <w:rsid w:val="005B7B9C"/>
    <w:rsid w:val="005C086D"/>
    <w:rsid w:val="005C203E"/>
    <w:rsid w:val="005C75ED"/>
    <w:rsid w:val="005D00A0"/>
    <w:rsid w:val="005D0988"/>
    <w:rsid w:val="005D1F56"/>
    <w:rsid w:val="005D5FEE"/>
    <w:rsid w:val="005D638E"/>
    <w:rsid w:val="005F0814"/>
    <w:rsid w:val="005F0F19"/>
    <w:rsid w:val="005F38EC"/>
    <w:rsid w:val="005F3DC0"/>
    <w:rsid w:val="005F486F"/>
    <w:rsid w:val="005F694F"/>
    <w:rsid w:val="00603087"/>
    <w:rsid w:val="0060558E"/>
    <w:rsid w:val="00606154"/>
    <w:rsid w:val="006127EE"/>
    <w:rsid w:val="006134E4"/>
    <w:rsid w:val="00614FEA"/>
    <w:rsid w:val="006210D7"/>
    <w:rsid w:val="0062189A"/>
    <w:rsid w:val="00622145"/>
    <w:rsid w:val="00624A91"/>
    <w:rsid w:val="00626B95"/>
    <w:rsid w:val="00626E65"/>
    <w:rsid w:val="0062700E"/>
    <w:rsid w:val="00627A0A"/>
    <w:rsid w:val="00630547"/>
    <w:rsid w:val="006332B7"/>
    <w:rsid w:val="0063556E"/>
    <w:rsid w:val="00643027"/>
    <w:rsid w:val="00660E2C"/>
    <w:rsid w:val="00661C1A"/>
    <w:rsid w:val="00662BF8"/>
    <w:rsid w:val="006674D7"/>
    <w:rsid w:val="00667A33"/>
    <w:rsid w:val="00670AAB"/>
    <w:rsid w:val="0067130F"/>
    <w:rsid w:val="00671E63"/>
    <w:rsid w:val="00672021"/>
    <w:rsid w:val="00672060"/>
    <w:rsid w:val="0067435E"/>
    <w:rsid w:val="00675D58"/>
    <w:rsid w:val="006760E7"/>
    <w:rsid w:val="00676AC6"/>
    <w:rsid w:val="006826EE"/>
    <w:rsid w:val="00687C15"/>
    <w:rsid w:val="00690235"/>
    <w:rsid w:val="006911F3"/>
    <w:rsid w:val="006920B9"/>
    <w:rsid w:val="00692D08"/>
    <w:rsid w:val="00692F9A"/>
    <w:rsid w:val="006936AA"/>
    <w:rsid w:val="00694562"/>
    <w:rsid w:val="006A46C4"/>
    <w:rsid w:val="006A6210"/>
    <w:rsid w:val="006C481B"/>
    <w:rsid w:val="006D0B14"/>
    <w:rsid w:val="006D5215"/>
    <w:rsid w:val="006D63FC"/>
    <w:rsid w:val="006D7153"/>
    <w:rsid w:val="006E11C0"/>
    <w:rsid w:val="006E4D90"/>
    <w:rsid w:val="006E5B5F"/>
    <w:rsid w:val="006E5FC6"/>
    <w:rsid w:val="006E7F30"/>
    <w:rsid w:val="006F1059"/>
    <w:rsid w:val="006F44F6"/>
    <w:rsid w:val="006F4D25"/>
    <w:rsid w:val="006F6179"/>
    <w:rsid w:val="006F6BA7"/>
    <w:rsid w:val="007005F8"/>
    <w:rsid w:val="007028D3"/>
    <w:rsid w:val="0070350F"/>
    <w:rsid w:val="0070476B"/>
    <w:rsid w:val="0070534C"/>
    <w:rsid w:val="007061E9"/>
    <w:rsid w:val="00707A3A"/>
    <w:rsid w:val="00716A4B"/>
    <w:rsid w:val="00716E38"/>
    <w:rsid w:val="00720B0E"/>
    <w:rsid w:val="007215FE"/>
    <w:rsid w:val="00721B5B"/>
    <w:rsid w:val="00723E55"/>
    <w:rsid w:val="007274C3"/>
    <w:rsid w:val="007303F8"/>
    <w:rsid w:val="007330F9"/>
    <w:rsid w:val="00736278"/>
    <w:rsid w:val="007401DE"/>
    <w:rsid w:val="00740388"/>
    <w:rsid w:val="00750B71"/>
    <w:rsid w:val="0076050C"/>
    <w:rsid w:val="007615F0"/>
    <w:rsid w:val="00762704"/>
    <w:rsid w:val="00767C5E"/>
    <w:rsid w:val="007711F1"/>
    <w:rsid w:val="007766FD"/>
    <w:rsid w:val="00776C09"/>
    <w:rsid w:val="00780683"/>
    <w:rsid w:val="007874A3"/>
    <w:rsid w:val="007904D7"/>
    <w:rsid w:val="00790C81"/>
    <w:rsid w:val="00792AFF"/>
    <w:rsid w:val="007A0DC5"/>
    <w:rsid w:val="007A487B"/>
    <w:rsid w:val="007A4A5B"/>
    <w:rsid w:val="007A4C77"/>
    <w:rsid w:val="007B3232"/>
    <w:rsid w:val="007B3FAE"/>
    <w:rsid w:val="007B62C4"/>
    <w:rsid w:val="007B6A6B"/>
    <w:rsid w:val="007C0567"/>
    <w:rsid w:val="007C46D3"/>
    <w:rsid w:val="007C5705"/>
    <w:rsid w:val="007D0AB6"/>
    <w:rsid w:val="007D53EE"/>
    <w:rsid w:val="007D666E"/>
    <w:rsid w:val="007D74C9"/>
    <w:rsid w:val="007D793A"/>
    <w:rsid w:val="007E0B63"/>
    <w:rsid w:val="007E0BC9"/>
    <w:rsid w:val="007E18A2"/>
    <w:rsid w:val="007E21FD"/>
    <w:rsid w:val="007E24CE"/>
    <w:rsid w:val="007E2793"/>
    <w:rsid w:val="007E4457"/>
    <w:rsid w:val="007E6B30"/>
    <w:rsid w:val="007F215F"/>
    <w:rsid w:val="007F2625"/>
    <w:rsid w:val="007F3E3D"/>
    <w:rsid w:val="007F3EE3"/>
    <w:rsid w:val="007F723D"/>
    <w:rsid w:val="008016E7"/>
    <w:rsid w:val="00806A89"/>
    <w:rsid w:val="0081022F"/>
    <w:rsid w:val="00813988"/>
    <w:rsid w:val="00814D6B"/>
    <w:rsid w:val="008159B3"/>
    <w:rsid w:val="00820E1A"/>
    <w:rsid w:val="00830AEC"/>
    <w:rsid w:val="0085481C"/>
    <w:rsid w:val="008570B4"/>
    <w:rsid w:val="00861E33"/>
    <w:rsid w:val="00861E87"/>
    <w:rsid w:val="00864AE9"/>
    <w:rsid w:val="00864CC6"/>
    <w:rsid w:val="008664BF"/>
    <w:rsid w:val="0087323D"/>
    <w:rsid w:val="0088033F"/>
    <w:rsid w:val="00880D7D"/>
    <w:rsid w:val="00883D85"/>
    <w:rsid w:val="00885AC9"/>
    <w:rsid w:val="00886DB7"/>
    <w:rsid w:val="008907AC"/>
    <w:rsid w:val="0089148A"/>
    <w:rsid w:val="008923C7"/>
    <w:rsid w:val="00892BAA"/>
    <w:rsid w:val="008942E3"/>
    <w:rsid w:val="00894605"/>
    <w:rsid w:val="00895FDB"/>
    <w:rsid w:val="00897CF7"/>
    <w:rsid w:val="008A3C5B"/>
    <w:rsid w:val="008A4BD0"/>
    <w:rsid w:val="008A68DC"/>
    <w:rsid w:val="008B14DE"/>
    <w:rsid w:val="008B3468"/>
    <w:rsid w:val="008B6F2D"/>
    <w:rsid w:val="008C5FDA"/>
    <w:rsid w:val="008D1E44"/>
    <w:rsid w:val="008D23D2"/>
    <w:rsid w:val="008D4B18"/>
    <w:rsid w:val="008D7D30"/>
    <w:rsid w:val="008F028E"/>
    <w:rsid w:val="008F1F13"/>
    <w:rsid w:val="008F2D69"/>
    <w:rsid w:val="008F4D34"/>
    <w:rsid w:val="008F5CE3"/>
    <w:rsid w:val="008F74BA"/>
    <w:rsid w:val="00900D82"/>
    <w:rsid w:val="00903096"/>
    <w:rsid w:val="0090592A"/>
    <w:rsid w:val="009071EB"/>
    <w:rsid w:val="0091105B"/>
    <w:rsid w:val="00913FD2"/>
    <w:rsid w:val="00916AC5"/>
    <w:rsid w:val="0092143F"/>
    <w:rsid w:val="00922DC9"/>
    <w:rsid w:val="0092476D"/>
    <w:rsid w:val="00927245"/>
    <w:rsid w:val="009325BA"/>
    <w:rsid w:val="00932801"/>
    <w:rsid w:val="00933CC4"/>
    <w:rsid w:val="00934D34"/>
    <w:rsid w:val="00935060"/>
    <w:rsid w:val="009372E8"/>
    <w:rsid w:val="00941523"/>
    <w:rsid w:val="00943ED9"/>
    <w:rsid w:val="0094600C"/>
    <w:rsid w:val="00950760"/>
    <w:rsid w:val="009521FC"/>
    <w:rsid w:val="009567C4"/>
    <w:rsid w:val="00966988"/>
    <w:rsid w:val="00967309"/>
    <w:rsid w:val="00972701"/>
    <w:rsid w:val="00977F3B"/>
    <w:rsid w:val="00984F9D"/>
    <w:rsid w:val="009855E8"/>
    <w:rsid w:val="00985734"/>
    <w:rsid w:val="00986683"/>
    <w:rsid w:val="00990E7D"/>
    <w:rsid w:val="00993CE3"/>
    <w:rsid w:val="0099541A"/>
    <w:rsid w:val="009968F2"/>
    <w:rsid w:val="009A0B94"/>
    <w:rsid w:val="009A194E"/>
    <w:rsid w:val="009A1CED"/>
    <w:rsid w:val="009A4680"/>
    <w:rsid w:val="009A5508"/>
    <w:rsid w:val="009A6AC3"/>
    <w:rsid w:val="009B02CA"/>
    <w:rsid w:val="009B36F3"/>
    <w:rsid w:val="009B50B1"/>
    <w:rsid w:val="009B521C"/>
    <w:rsid w:val="009B704E"/>
    <w:rsid w:val="009B7AF4"/>
    <w:rsid w:val="009C08B7"/>
    <w:rsid w:val="009C198C"/>
    <w:rsid w:val="009D167C"/>
    <w:rsid w:val="009D1FB8"/>
    <w:rsid w:val="009D41AA"/>
    <w:rsid w:val="009E1520"/>
    <w:rsid w:val="009E15F0"/>
    <w:rsid w:val="009E6A4A"/>
    <w:rsid w:val="009F06D7"/>
    <w:rsid w:val="009F2DAA"/>
    <w:rsid w:val="009F50B1"/>
    <w:rsid w:val="009F6B9E"/>
    <w:rsid w:val="009F7AFD"/>
    <w:rsid w:val="00A009C7"/>
    <w:rsid w:val="00A05692"/>
    <w:rsid w:val="00A07A9D"/>
    <w:rsid w:val="00A108C9"/>
    <w:rsid w:val="00A13197"/>
    <w:rsid w:val="00A16518"/>
    <w:rsid w:val="00A17E36"/>
    <w:rsid w:val="00A21F3C"/>
    <w:rsid w:val="00A2679D"/>
    <w:rsid w:val="00A32EE0"/>
    <w:rsid w:val="00A33452"/>
    <w:rsid w:val="00A35252"/>
    <w:rsid w:val="00A407AA"/>
    <w:rsid w:val="00A4084B"/>
    <w:rsid w:val="00A44FDB"/>
    <w:rsid w:val="00A463D7"/>
    <w:rsid w:val="00A475FC"/>
    <w:rsid w:val="00A54268"/>
    <w:rsid w:val="00A54EF9"/>
    <w:rsid w:val="00A6476A"/>
    <w:rsid w:val="00A70749"/>
    <w:rsid w:val="00A70C4E"/>
    <w:rsid w:val="00A71EF6"/>
    <w:rsid w:val="00A72A9C"/>
    <w:rsid w:val="00A74920"/>
    <w:rsid w:val="00A74FB8"/>
    <w:rsid w:val="00A7546B"/>
    <w:rsid w:val="00A76304"/>
    <w:rsid w:val="00A76852"/>
    <w:rsid w:val="00A8050A"/>
    <w:rsid w:val="00A830D0"/>
    <w:rsid w:val="00A90F56"/>
    <w:rsid w:val="00A95716"/>
    <w:rsid w:val="00A962B8"/>
    <w:rsid w:val="00A9734F"/>
    <w:rsid w:val="00AA19E6"/>
    <w:rsid w:val="00AA2EE9"/>
    <w:rsid w:val="00AA3300"/>
    <w:rsid w:val="00AA3A5B"/>
    <w:rsid w:val="00AA6876"/>
    <w:rsid w:val="00AB46AD"/>
    <w:rsid w:val="00AB4AC6"/>
    <w:rsid w:val="00AB5C42"/>
    <w:rsid w:val="00AC07A7"/>
    <w:rsid w:val="00AC135C"/>
    <w:rsid w:val="00AC29D1"/>
    <w:rsid w:val="00AC4712"/>
    <w:rsid w:val="00AC72B5"/>
    <w:rsid w:val="00AD0B5B"/>
    <w:rsid w:val="00AD2F04"/>
    <w:rsid w:val="00AD609B"/>
    <w:rsid w:val="00AE58FD"/>
    <w:rsid w:val="00AF0EE3"/>
    <w:rsid w:val="00AF1EBE"/>
    <w:rsid w:val="00AF25D7"/>
    <w:rsid w:val="00AF33F9"/>
    <w:rsid w:val="00AF5EB1"/>
    <w:rsid w:val="00B02706"/>
    <w:rsid w:val="00B115BF"/>
    <w:rsid w:val="00B122DC"/>
    <w:rsid w:val="00B14D71"/>
    <w:rsid w:val="00B17537"/>
    <w:rsid w:val="00B1770D"/>
    <w:rsid w:val="00B2043D"/>
    <w:rsid w:val="00B23FD0"/>
    <w:rsid w:val="00B25D95"/>
    <w:rsid w:val="00B32030"/>
    <w:rsid w:val="00B32E64"/>
    <w:rsid w:val="00B45586"/>
    <w:rsid w:val="00B47640"/>
    <w:rsid w:val="00B476F7"/>
    <w:rsid w:val="00B47A81"/>
    <w:rsid w:val="00B53FDF"/>
    <w:rsid w:val="00B6587A"/>
    <w:rsid w:val="00B71F26"/>
    <w:rsid w:val="00B720CC"/>
    <w:rsid w:val="00B72EFF"/>
    <w:rsid w:val="00B736FC"/>
    <w:rsid w:val="00B75C89"/>
    <w:rsid w:val="00B75E60"/>
    <w:rsid w:val="00B76678"/>
    <w:rsid w:val="00B76E27"/>
    <w:rsid w:val="00B828DE"/>
    <w:rsid w:val="00B918BA"/>
    <w:rsid w:val="00B91E1B"/>
    <w:rsid w:val="00B941C5"/>
    <w:rsid w:val="00B96833"/>
    <w:rsid w:val="00BA2821"/>
    <w:rsid w:val="00BA65D6"/>
    <w:rsid w:val="00BB09E9"/>
    <w:rsid w:val="00BB1658"/>
    <w:rsid w:val="00BB3F1E"/>
    <w:rsid w:val="00BB5B87"/>
    <w:rsid w:val="00BB6224"/>
    <w:rsid w:val="00BC02A5"/>
    <w:rsid w:val="00BC0410"/>
    <w:rsid w:val="00BC1B51"/>
    <w:rsid w:val="00BC381A"/>
    <w:rsid w:val="00BD0580"/>
    <w:rsid w:val="00BD05EF"/>
    <w:rsid w:val="00BD2970"/>
    <w:rsid w:val="00BE223E"/>
    <w:rsid w:val="00BE2820"/>
    <w:rsid w:val="00BE36B9"/>
    <w:rsid w:val="00BE535D"/>
    <w:rsid w:val="00BE5EC8"/>
    <w:rsid w:val="00BE722A"/>
    <w:rsid w:val="00BF50B1"/>
    <w:rsid w:val="00C0311C"/>
    <w:rsid w:val="00C04B63"/>
    <w:rsid w:val="00C0594A"/>
    <w:rsid w:val="00C1278A"/>
    <w:rsid w:val="00C14A24"/>
    <w:rsid w:val="00C14F98"/>
    <w:rsid w:val="00C16D0E"/>
    <w:rsid w:val="00C1719A"/>
    <w:rsid w:val="00C2108F"/>
    <w:rsid w:val="00C2244F"/>
    <w:rsid w:val="00C26C1A"/>
    <w:rsid w:val="00C329D0"/>
    <w:rsid w:val="00C34C93"/>
    <w:rsid w:val="00C353B4"/>
    <w:rsid w:val="00C36BCC"/>
    <w:rsid w:val="00C4317F"/>
    <w:rsid w:val="00C43C79"/>
    <w:rsid w:val="00C461DD"/>
    <w:rsid w:val="00C47EF1"/>
    <w:rsid w:val="00C52830"/>
    <w:rsid w:val="00C55F63"/>
    <w:rsid w:val="00C6158A"/>
    <w:rsid w:val="00C61C5D"/>
    <w:rsid w:val="00C6257E"/>
    <w:rsid w:val="00C7104A"/>
    <w:rsid w:val="00C71AAF"/>
    <w:rsid w:val="00C71BF3"/>
    <w:rsid w:val="00C80444"/>
    <w:rsid w:val="00C80494"/>
    <w:rsid w:val="00C83E71"/>
    <w:rsid w:val="00C851EB"/>
    <w:rsid w:val="00C86E06"/>
    <w:rsid w:val="00C94CD4"/>
    <w:rsid w:val="00C977D8"/>
    <w:rsid w:val="00CA0330"/>
    <w:rsid w:val="00CA1BD4"/>
    <w:rsid w:val="00CA4660"/>
    <w:rsid w:val="00CA771C"/>
    <w:rsid w:val="00CB2098"/>
    <w:rsid w:val="00CB337B"/>
    <w:rsid w:val="00CB6FFC"/>
    <w:rsid w:val="00CC00DA"/>
    <w:rsid w:val="00CC0CEC"/>
    <w:rsid w:val="00CC1209"/>
    <w:rsid w:val="00CC2D10"/>
    <w:rsid w:val="00CC3A8B"/>
    <w:rsid w:val="00CC6041"/>
    <w:rsid w:val="00CD094C"/>
    <w:rsid w:val="00CD1B6A"/>
    <w:rsid w:val="00CD510E"/>
    <w:rsid w:val="00CD55F8"/>
    <w:rsid w:val="00CD6578"/>
    <w:rsid w:val="00CE3A17"/>
    <w:rsid w:val="00CE47C8"/>
    <w:rsid w:val="00CE7018"/>
    <w:rsid w:val="00CF0A85"/>
    <w:rsid w:val="00CF2159"/>
    <w:rsid w:val="00D005ED"/>
    <w:rsid w:val="00D019D9"/>
    <w:rsid w:val="00D021A0"/>
    <w:rsid w:val="00D02AF8"/>
    <w:rsid w:val="00D0572C"/>
    <w:rsid w:val="00D05C92"/>
    <w:rsid w:val="00D0624C"/>
    <w:rsid w:val="00D1113D"/>
    <w:rsid w:val="00D11E2E"/>
    <w:rsid w:val="00D12161"/>
    <w:rsid w:val="00D140DC"/>
    <w:rsid w:val="00D162C1"/>
    <w:rsid w:val="00D16FE1"/>
    <w:rsid w:val="00D2435D"/>
    <w:rsid w:val="00D24DCB"/>
    <w:rsid w:val="00D3036A"/>
    <w:rsid w:val="00D30FE3"/>
    <w:rsid w:val="00D3521D"/>
    <w:rsid w:val="00D41357"/>
    <w:rsid w:val="00D450C7"/>
    <w:rsid w:val="00D45642"/>
    <w:rsid w:val="00D524DD"/>
    <w:rsid w:val="00D563ED"/>
    <w:rsid w:val="00D65927"/>
    <w:rsid w:val="00D66AED"/>
    <w:rsid w:val="00D67350"/>
    <w:rsid w:val="00D7128B"/>
    <w:rsid w:val="00D72461"/>
    <w:rsid w:val="00D733CE"/>
    <w:rsid w:val="00D8379A"/>
    <w:rsid w:val="00D94B94"/>
    <w:rsid w:val="00DA25DC"/>
    <w:rsid w:val="00DA2BFF"/>
    <w:rsid w:val="00DA6BD2"/>
    <w:rsid w:val="00DA7461"/>
    <w:rsid w:val="00DA76C3"/>
    <w:rsid w:val="00DB11A1"/>
    <w:rsid w:val="00DB1421"/>
    <w:rsid w:val="00DB1C57"/>
    <w:rsid w:val="00DB2EB2"/>
    <w:rsid w:val="00DB3288"/>
    <w:rsid w:val="00DB6131"/>
    <w:rsid w:val="00DB7137"/>
    <w:rsid w:val="00DC15FD"/>
    <w:rsid w:val="00DC48CE"/>
    <w:rsid w:val="00DC4CA7"/>
    <w:rsid w:val="00DC554E"/>
    <w:rsid w:val="00DC60B1"/>
    <w:rsid w:val="00DC661D"/>
    <w:rsid w:val="00DD1054"/>
    <w:rsid w:val="00DD171D"/>
    <w:rsid w:val="00DD2D3F"/>
    <w:rsid w:val="00DD419D"/>
    <w:rsid w:val="00DD6040"/>
    <w:rsid w:val="00DE700A"/>
    <w:rsid w:val="00DE7440"/>
    <w:rsid w:val="00DF0907"/>
    <w:rsid w:val="00DF1539"/>
    <w:rsid w:val="00DF24D1"/>
    <w:rsid w:val="00DF4098"/>
    <w:rsid w:val="00DF6F6F"/>
    <w:rsid w:val="00E00F9C"/>
    <w:rsid w:val="00E04616"/>
    <w:rsid w:val="00E079A6"/>
    <w:rsid w:val="00E17427"/>
    <w:rsid w:val="00E178F2"/>
    <w:rsid w:val="00E21D0E"/>
    <w:rsid w:val="00E21FCE"/>
    <w:rsid w:val="00E249AC"/>
    <w:rsid w:val="00E26D21"/>
    <w:rsid w:val="00E30C16"/>
    <w:rsid w:val="00E32768"/>
    <w:rsid w:val="00E33066"/>
    <w:rsid w:val="00E40732"/>
    <w:rsid w:val="00E40C86"/>
    <w:rsid w:val="00E43BD6"/>
    <w:rsid w:val="00E47865"/>
    <w:rsid w:val="00E503E0"/>
    <w:rsid w:val="00E60F93"/>
    <w:rsid w:val="00E6407D"/>
    <w:rsid w:val="00E674C6"/>
    <w:rsid w:val="00E7062D"/>
    <w:rsid w:val="00E749CE"/>
    <w:rsid w:val="00E80F7D"/>
    <w:rsid w:val="00E81D00"/>
    <w:rsid w:val="00E8308D"/>
    <w:rsid w:val="00E84B10"/>
    <w:rsid w:val="00E85F79"/>
    <w:rsid w:val="00E87C78"/>
    <w:rsid w:val="00E90813"/>
    <w:rsid w:val="00E94E09"/>
    <w:rsid w:val="00E95199"/>
    <w:rsid w:val="00E95D59"/>
    <w:rsid w:val="00EA0C02"/>
    <w:rsid w:val="00EA2D7C"/>
    <w:rsid w:val="00EA3C05"/>
    <w:rsid w:val="00EA5440"/>
    <w:rsid w:val="00EB30AA"/>
    <w:rsid w:val="00EB4145"/>
    <w:rsid w:val="00EB6385"/>
    <w:rsid w:val="00EB6B54"/>
    <w:rsid w:val="00EC0E34"/>
    <w:rsid w:val="00EC29DF"/>
    <w:rsid w:val="00EC3F37"/>
    <w:rsid w:val="00EC4652"/>
    <w:rsid w:val="00EC46A2"/>
    <w:rsid w:val="00ED05DF"/>
    <w:rsid w:val="00ED0FF3"/>
    <w:rsid w:val="00EE44F6"/>
    <w:rsid w:val="00EE5D9F"/>
    <w:rsid w:val="00EF1604"/>
    <w:rsid w:val="00EF5AD6"/>
    <w:rsid w:val="00F00EC8"/>
    <w:rsid w:val="00F018D5"/>
    <w:rsid w:val="00F059D8"/>
    <w:rsid w:val="00F06DA3"/>
    <w:rsid w:val="00F079F2"/>
    <w:rsid w:val="00F1159C"/>
    <w:rsid w:val="00F11666"/>
    <w:rsid w:val="00F125BD"/>
    <w:rsid w:val="00F140F3"/>
    <w:rsid w:val="00F20B0F"/>
    <w:rsid w:val="00F22A9F"/>
    <w:rsid w:val="00F24C8A"/>
    <w:rsid w:val="00F36067"/>
    <w:rsid w:val="00F3722F"/>
    <w:rsid w:val="00F41D13"/>
    <w:rsid w:val="00F4276C"/>
    <w:rsid w:val="00F44ED8"/>
    <w:rsid w:val="00F478C8"/>
    <w:rsid w:val="00F50635"/>
    <w:rsid w:val="00F5368C"/>
    <w:rsid w:val="00F6637D"/>
    <w:rsid w:val="00F6646E"/>
    <w:rsid w:val="00F719AE"/>
    <w:rsid w:val="00F72C8F"/>
    <w:rsid w:val="00F7475E"/>
    <w:rsid w:val="00F765D1"/>
    <w:rsid w:val="00F82FAE"/>
    <w:rsid w:val="00F862D2"/>
    <w:rsid w:val="00F90294"/>
    <w:rsid w:val="00F9089A"/>
    <w:rsid w:val="00F929FF"/>
    <w:rsid w:val="00F95362"/>
    <w:rsid w:val="00F97C59"/>
    <w:rsid w:val="00FA1B8C"/>
    <w:rsid w:val="00FA3A6F"/>
    <w:rsid w:val="00FA4C4F"/>
    <w:rsid w:val="00FB05E1"/>
    <w:rsid w:val="00FB1A5D"/>
    <w:rsid w:val="00FB1F88"/>
    <w:rsid w:val="00FC28CB"/>
    <w:rsid w:val="00FC6607"/>
    <w:rsid w:val="00FD5935"/>
    <w:rsid w:val="00FE26B8"/>
    <w:rsid w:val="00FE272C"/>
    <w:rsid w:val="00FE4132"/>
    <w:rsid w:val="00FF014E"/>
    <w:rsid w:val="00FF0539"/>
    <w:rsid w:val="00FF22FD"/>
    <w:rsid w:val="00FF54D0"/>
    <w:rsid w:val="00FF791B"/>
    <w:rsid w:val="00FF7BDC"/>
    <w:rsid w:val="29E81229"/>
    <w:rsid w:val="5885873D"/>
    <w:rsid w:val="6412F46A"/>
    <w:rsid w:val="7897BC07"/>
    <w:rsid w:val="7970C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94B2E"/>
  <w15:docId w15:val="{05A45E71-385B-4041-94A7-57B747CB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0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0908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711F1"/>
    <w:pPr>
      <w:ind w:left="720"/>
      <w:contextualSpacing/>
    </w:pPr>
  </w:style>
  <w:style w:type="paragraph" w:styleId="Header">
    <w:name w:val="header"/>
    <w:basedOn w:val="Normal"/>
    <w:link w:val="HeaderChar"/>
    <w:uiPriority w:val="99"/>
    <w:unhideWhenUsed/>
    <w:rsid w:val="001A4045"/>
    <w:pPr>
      <w:tabs>
        <w:tab w:val="center" w:pos="4320"/>
        <w:tab w:val="right" w:pos="8640"/>
      </w:tabs>
    </w:pPr>
  </w:style>
  <w:style w:type="character" w:customStyle="1" w:styleId="HeaderChar">
    <w:name w:val="Header Char"/>
    <w:basedOn w:val="DefaultParagraphFont"/>
    <w:link w:val="Header"/>
    <w:uiPriority w:val="99"/>
    <w:rsid w:val="001A4045"/>
    <w:rPr>
      <w:rFonts w:ascii="Times New Roman" w:eastAsia="Times New Roman" w:hAnsi="Times New Roman" w:cs="Times New Roman"/>
    </w:rPr>
  </w:style>
  <w:style w:type="paragraph" w:styleId="Footer">
    <w:name w:val="footer"/>
    <w:basedOn w:val="Normal"/>
    <w:link w:val="FooterChar"/>
    <w:uiPriority w:val="99"/>
    <w:unhideWhenUsed/>
    <w:rsid w:val="001A4045"/>
    <w:pPr>
      <w:tabs>
        <w:tab w:val="center" w:pos="4320"/>
        <w:tab w:val="right" w:pos="8640"/>
      </w:tabs>
    </w:pPr>
  </w:style>
  <w:style w:type="character" w:customStyle="1" w:styleId="FooterChar">
    <w:name w:val="Footer Char"/>
    <w:basedOn w:val="DefaultParagraphFont"/>
    <w:link w:val="Footer"/>
    <w:uiPriority w:val="99"/>
    <w:rsid w:val="001A404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A2821"/>
    <w:rPr>
      <w:sz w:val="18"/>
      <w:szCs w:val="18"/>
    </w:rPr>
  </w:style>
  <w:style w:type="paragraph" w:styleId="CommentText">
    <w:name w:val="annotation text"/>
    <w:basedOn w:val="Normal"/>
    <w:link w:val="CommentTextChar"/>
    <w:uiPriority w:val="99"/>
    <w:semiHidden/>
    <w:unhideWhenUsed/>
    <w:rsid w:val="00BA2821"/>
  </w:style>
  <w:style w:type="character" w:customStyle="1" w:styleId="CommentTextChar">
    <w:name w:val="Comment Text Char"/>
    <w:basedOn w:val="DefaultParagraphFont"/>
    <w:link w:val="CommentText"/>
    <w:uiPriority w:val="99"/>
    <w:semiHidden/>
    <w:rsid w:val="00BA282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A2821"/>
    <w:rPr>
      <w:b/>
      <w:bCs/>
      <w:sz w:val="20"/>
      <w:szCs w:val="20"/>
    </w:rPr>
  </w:style>
  <w:style w:type="character" w:customStyle="1" w:styleId="CommentSubjectChar">
    <w:name w:val="Comment Subject Char"/>
    <w:basedOn w:val="CommentTextChar"/>
    <w:link w:val="CommentSubject"/>
    <w:uiPriority w:val="99"/>
    <w:semiHidden/>
    <w:rsid w:val="00BA28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28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821"/>
    <w:rPr>
      <w:rFonts w:ascii="Lucida Grande" w:eastAsia="Times New Roman" w:hAnsi="Lucida Grande" w:cs="Lucida Grande"/>
      <w:sz w:val="18"/>
      <w:szCs w:val="18"/>
    </w:rPr>
  </w:style>
  <w:style w:type="character" w:styleId="Emphasis">
    <w:name w:val="Emphasis"/>
    <w:basedOn w:val="DefaultParagraphFont"/>
    <w:uiPriority w:val="20"/>
    <w:qFormat/>
    <w:rsid w:val="00E079A6"/>
    <w:rPr>
      <w:i/>
      <w:iCs/>
    </w:rPr>
  </w:style>
  <w:style w:type="character" w:styleId="LineNumber">
    <w:name w:val="line number"/>
    <w:basedOn w:val="DefaultParagraphFont"/>
    <w:uiPriority w:val="99"/>
    <w:semiHidden/>
    <w:unhideWhenUsed/>
    <w:rsid w:val="001D037C"/>
  </w:style>
  <w:style w:type="character" w:styleId="Hyperlink">
    <w:name w:val="Hyperlink"/>
    <w:basedOn w:val="DefaultParagraphFont"/>
    <w:uiPriority w:val="99"/>
    <w:unhideWhenUsed/>
    <w:rsid w:val="007E2793"/>
    <w:rPr>
      <w:color w:val="0563C1" w:themeColor="hyperlink"/>
      <w:u w:val="single"/>
    </w:rPr>
  </w:style>
  <w:style w:type="table" w:styleId="LightShading">
    <w:name w:val="Light Shading"/>
    <w:basedOn w:val="TableNormal"/>
    <w:uiPriority w:val="60"/>
    <w:rsid w:val="004A0E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E7F30"/>
    <w:rPr>
      <w:rFonts w:ascii="Times New Roman" w:eastAsia="Times New Roman" w:hAnsi="Times New Roman" w:cs="Times New Roman"/>
    </w:rPr>
  </w:style>
  <w:style w:type="table" w:customStyle="1" w:styleId="PlainTable211">
    <w:name w:val="Plain Table 211"/>
    <w:basedOn w:val="TableNormal"/>
    <w:uiPriority w:val="42"/>
    <w:rsid w:val="00937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8008">
      <w:bodyDiv w:val="1"/>
      <w:marLeft w:val="0"/>
      <w:marRight w:val="0"/>
      <w:marTop w:val="0"/>
      <w:marBottom w:val="0"/>
      <w:divBdr>
        <w:top w:val="none" w:sz="0" w:space="0" w:color="auto"/>
        <w:left w:val="none" w:sz="0" w:space="0" w:color="auto"/>
        <w:bottom w:val="none" w:sz="0" w:space="0" w:color="auto"/>
        <w:right w:val="none" w:sz="0" w:space="0" w:color="auto"/>
      </w:divBdr>
    </w:div>
    <w:div w:id="67920276">
      <w:bodyDiv w:val="1"/>
      <w:marLeft w:val="0"/>
      <w:marRight w:val="0"/>
      <w:marTop w:val="0"/>
      <w:marBottom w:val="0"/>
      <w:divBdr>
        <w:top w:val="none" w:sz="0" w:space="0" w:color="auto"/>
        <w:left w:val="none" w:sz="0" w:space="0" w:color="auto"/>
        <w:bottom w:val="none" w:sz="0" w:space="0" w:color="auto"/>
        <w:right w:val="none" w:sz="0" w:space="0" w:color="auto"/>
      </w:divBdr>
    </w:div>
    <w:div w:id="95714038">
      <w:bodyDiv w:val="1"/>
      <w:marLeft w:val="0"/>
      <w:marRight w:val="0"/>
      <w:marTop w:val="0"/>
      <w:marBottom w:val="0"/>
      <w:divBdr>
        <w:top w:val="none" w:sz="0" w:space="0" w:color="auto"/>
        <w:left w:val="none" w:sz="0" w:space="0" w:color="auto"/>
        <w:bottom w:val="none" w:sz="0" w:space="0" w:color="auto"/>
        <w:right w:val="none" w:sz="0" w:space="0" w:color="auto"/>
      </w:divBdr>
    </w:div>
    <w:div w:id="221327333">
      <w:bodyDiv w:val="1"/>
      <w:marLeft w:val="0"/>
      <w:marRight w:val="0"/>
      <w:marTop w:val="0"/>
      <w:marBottom w:val="0"/>
      <w:divBdr>
        <w:top w:val="none" w:sz="0" w:space="0" w:color="auto"/>
        <w:left w:val="none" w:sz="0" w:space="0" w:color="auto"/>
        <w:bottom w:val="none" w:sz="0" w:space="0" w:color="auto"/>
        <w:right w:val="none" w:sz="0" w:space="0" w:color="auto"/>
      </w:divBdr>
    </w:div>
    <w:div w:id="258178629">
      <w:bodyDiv w:val="1"/>
      <w:marLeft w:val="0"/>
      <w:marRight w:val="0"/>
      <w:marTop w:val="0"/>
      <w:marBottom w:val="0"/>
      <w:divBdr>
        <w:top w:val="none" w:sz="0" w:space="0" w:color="auto"/>
        <w:left w:val="none" w:sz="0" w:space="0" w:color="auto"/>
        <w:bottom w:val="none" w:sz="0" w:space="0" w:color="auto"/>
        <w:right w:val="none" w:sz="0" w:space="0" w:color="auto"/>
      </w:divBdr>
    </w:div>
    <w:div w:id="274338100">
      <w:bodyDiv w:val="1"/>
      <w:marLeft w:val="0"/>
      <w:marRight w:val="0"/>
      <w:marTop w:val="0"/>
      <w:marBottom w:val="0"/>
      <w:divBdr>
        <w:top w:val="none" w:sz="0" w:space="0" w:color="auto"/>
        <w:left w:val="none" w:sz="0" w:space="0" w:color="auto"/>
        <w:bottom w:val="none" w:sz="0" w:space="0" w:color="auto"/>
        <w:right w:val="none" w:sz="0" w:space="0" w:color="auto"/>
      </w:divBdr>
      <w:divsChild>
        <w:div w:id="121122726">
          <w:marLeft w:val="446"/>
          <w:marRight w:val="0"/>
          <w:marTop w:val="0"/>
          <w:marBottom w:val="0"/>
          <w:divBdr>
            <w:top w:val="none" w:sz="0" w:space="0" w:color="auto"/>
            <w:left w:val="none" w:sz="0" w:space="0" w:color="auto"/>
            <w:bottom w:val="none" w:sz="0" w:space="0" w:color="auto"/>
            <w:right w:val="none" w:sz="0" w:space="0" w:color="auto"/>
          </w:divBdr>
        </w:div>
        <w:div w:id="626399644">
          <w:marLeft w:val="446"/>
          <w:marRight w:val="0"/>
          <w:marTop w:val="0"/>
          <w:marBottom w:val="0"/>
          <w:divBdr>
            <w:top w:val="none" w:sz="0" w:space="0" w:color="auto"/>
            <w:left w:val="none" w:sz="0" w:space="0" w:color="auto"/>
            <w:bottom w:val="none" w:sz="0" w:space="0" w:color="auto"/>
            <w:right w:val="none" w:sz="0" w:space="0" w:color="auto"/>
          </w:divBdr>
        </w:div>
        <w:div w:id="944920078">
          <w:marLeft w:val="446"/>
          <w:marRight w:val="0"/>
          <w:marTop w:val="0"/>
          <w:marBottom w:val="0"/>
          <w:divBdr>
            <w:top w:val="none" w:sz="0" w:space="0" w:color="auto"/>
            <w:left w:val="none" w:sz="0" w:space="0" w:color="auto"/>
            <w:bottom w:val="none" w:sz="0" w:space="0" w:color="auto"/>
            <w:right w:val="none" w:sz="0" w:space="0" w:color="auto"/>
          </w:divBdr>
        </w:div>
        <w:div w:id="970940958">
          <w:marLeft w:val="446"/>
          <w:marRight w:val="0"/>
          <w:marTop w:val="0"/>
          <w:marBottom w:val="0"/>
          <w:divBdr>
            <w:top w:val="none" w:sz="0" w:space="0" w:color="auto"/>
            <w:left w:val="none" w:sz="0" w:space="0" w:color="auto"/>
            <w:bottom w:val="none" w:sz="0" w:space="0" w:color="auto"/>
            <w:right w:val="none" w:sz="0" w:space="0" w:color="auto"/>
          </w:divBdr>
        </w:div>
      </w:divsChild>
    </w:div>
    <w:div w:id="303586209">
      <w:bodyDiv w:val="1"/>
      <w:marLeft w:val="0"/>
      <w:marRight w:val="0"/>
      <w:marTop w:val="0"/>
      <w:marBottom w:val="0"/>
      <w:divBdr>
        <w:top w:val="none" w:sz="0" w:space="0" w:color="auto"/>
        <w:left w:val="none" w:sz="0" w:space="0" w:color="auto"/>
        <w:bottom w:val="none" w:sz="0" w:space="0" w:color="auto"/>
        <w:right w:val="none" w:sz="0" w:space="0" w:color="auto"/>
      </w:divBdr>
      <w:divsChild>
        <w:div w:id="908884910">
          <w:marLeft w:val="0"/>
          <w:marRight w:val="0"/>
          <w:marTop w:val="0"/>
          <w:marBottom w:val="0"/>
          <w:divBdr>
            <w:top w:val="none" w:sz="0" w:space="0" w:color="auto"/>
            <w:left w:val="none" w:sz="0" w:space="0" w:color="auto"/>
            <w:bottom w:val="none" w:sz="0" w:space="0" w:color="auto"/>
            <w:right w:val="none" w:sz="0" w:space="0" w:color="auto"/>
          </w:divBdr>
        </w:div>
      </w:divsChild>
    </w:div>
    <w:div w:id="373236145">
      <w:bodyDiv w:val="1"/>
      <w:marLeft w:val="0"/>
      <w:marRight w:val="0"/>
      <w:marTop w:val="0"/>
      <w:marBottom w:val="0"/>
      <w:divBdr>
        <w:top w:val="none" w:sz="0" w:space="0" w:color="auto"/>
        <w:left w:val="none" w:sz="0" w:space="0" w:color="auto"/>
        <w:bottom w:val="none" w:sz="0" w:space="0" w:color="auto"/>
        <w:right w:val="none" w:sz="0" w:space="0" w:color="auto"/>
      </w:divBdr>
    </w:div>
    <w:div w:id="490364527">
      <w:bodyDiv w:val="1"/>
      <w:marLeft w:val="0"/>
      <w:marRight w:val="0"/>
      <w:marTop w:val="0"/>
      <w:marBottom w:val="0"/>
      <w:divBdr>
        <w:top w:val="none" w:sz="0" w:space="0" w:color="auto"/>
        <w:left w:val="none" w:sz="0" w:space="0" w:color="auto"/>
        <w:bottom w:val="none" w:sz="0" w:space="0" w:color="auto"/>
        <w:right w:val="none" w:sz="0" w:space="0" w:color="auto"/>
      </w:divBdr>
    </w:div>
    <w:div w:id="507718561">
      <w:bodyDiv w:val="1"/>
      <w:marLeft w:val="0"/>
      <w:marRight w:val="0"/>
      <w:marTop w:val="0"/>
      <w:marBottom w:val="0"/>
      <w:divBdr>
        <w:top w:val="none" w:sz="0" w:space="0" w:color="auto"/>
        <w:left w:val="none" w:sz="0" w:space="0" w:color="auto"/>
        <w:bottom w:val="none" w:sz="0" w:space="0" w:color="auto"/>
        <w:right w:val="none" w:sz="0" w:space="0" w:color="auto"/>
      </w:divBdr>
    </w:div>
    <w:div w:id="558637306">
      <w:bodyDiv w:val="1"/>
      <w:marLeft w:val="0"/>
      <w:marRight w:val="0"/>
      <w:marTop w:val="0"/>
      <w:marBottom w:val="0"/>
      <w:divBdr>
        <w:top w:val="none" w:sz="0" w:space="0" w:color="auto"/>
        <w:left w:val="none" w:sz="0" w:space="0" w:color="auto"/>
        <w:bottom w:val="none" w:sz="0" w:space="0" w:color="auto"/>
        <w:right w:val="none" w:sz="0" w:space="0" w:color="auto"/>
      </w:divBdr>
    </w:div>
    <w:div w:id="614017435">
      <w:bodyDiv w:val="1"/>
      <w:marLeft w:val="0"/>
      <w:marRight w:val="0"/>
      <w:marTop w:val="0"/>
      <w:marBottom w:val="0"/>
      <w:divBdr>
        <w:top w:val="none" w:sz="0" w:space="0" w:color="auto"/>
        <w:left w:val="none" w:sz="0" w:space="0" w:color="auto"/>
        <w:bottom w:val="none" w:sz="0" w:space="0" w:color="auto"/>
        <w:right w:val="none" w:sz="0" w:space="0" w:color="auto"/>
      </w:divBdr>
    </w:div>
    <w:div w:id="630207637">
      <w:bodyDiv w:val="1"/>
      <w:marLeft w:val="0"/>
      <w:marRight w:val="0"/>
      <w:marTop w:val="0"/>
      <w:marBottom w:val="0"/>
      <w:divBdr>
        <w:top w:val="none" w:sz="0" w:space="0" w:color="auto"/>
        <w:left w:val="none" w:sz="0" w:space="0" w:color="auto"/>
        <w:bottom w:val="none" w:sz="0" w:space="0" w:color="auto"/>
        <w:right w:val="none" w:sz="0" w:space="0" w:color="auto"/>
      </w:divBdr>
    </w:div>
    <w:div w:id="687487632">
      <w:bodyDiv w:val="1"/>
      <w:marLeft w:val="0"/>
      <w:marRight w:val="0"/>
      <w:marTop w:val="0"/>
      <w:marBottom w:val="0"/>
      <w:divBdr>
        <w:top w:val="none" w:sz="0" w:space="0" w:color="auto"/>
        <w:left w:val="none" w:sz="0" w:space="0" w:color="auto"/>
        <w:bottom w:val="none" w:sz="0" w:space="0" w:color="auto"/>
        <w:right w:val="none" w:sz="0" w:space="0" w:color="auto"/>
      </w:divBdr>
      <w:divsChild>
        <w:div w:id="51198704">
          <w:marLeft w:val="0"/>
          <w:marRight w:val="0"/>
          <w:marTop w:val="0"/>
          <w:marBottom w:val="0"/>
          <w:divBdr>
            <w:top w:val="none" w:sz="0" w:space="0" w:color="auto"/>
            <w:left w:val="none" w:sz="0" w:space="0" w:color="auto"/>
            <w:bottom w:val="none" w:sz="0" w:space="0" w:color="auto"/>
            <w:right w:val="none" w:sz="0" w:space="0" w:color="auto"/>
          </w:divBdr>
          <w:divsChild>
            <w:div w:id="1596935710">
              <w:marLeft w:val="0"/>
              <w:marRight w:val="0"/>
              <w:marTop w:val="0"/>
              <w:marBottom w:val="0"/>
              <w:divBdr>
                <w:top w:val="none" w:sz="0" w:space="0" w:color="auto"/>
                <w:left w:val="none" w:sz="0" w:space="0" w:color="auto"/>
                <w:bottom w:val="none" w:sz="0" w:space="0" w:color="auto"/>
                <w:right w:val="none" w:sz="0" w:space="0" w:color="auto"/>
              </w:divBdr>
              <w:divsChild>
                <w:div w:id="12543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788">
      <w:bodyDiv w:val="1"/>
      <w:marLeft w:val="0"/>
      <w:marRight w:val="0"/>
      <w:marTop w:val="0"/>
      <w:marBottom w:val="0"/>
      <w:divBdr>
        <w:top w:val="none" w:sz="0" w:space="0" w:color="auto"/>
        <w:left w:val="none" w:sz="0" w:space="0" w:color="auto"/>
        <w:bottom w:val="none" w:sz="0" w:space="0" w:color="auto"/>
        <w:right w:val="none" w:sz="0" w:space="0" w:color="auto"/>
      </w:divBdr>
    </w:div>
    <w:div w:id="726297884">
      <w:bodyDiv w:val="1"/>
      <w:marLeft w:val="0"/>
      <w:marRight w:val="0"/>
      <w:marTop w:val="0"/>
      <w:marBottom w:val="0"/>
      <w:divBdr>
        <w:top w:val="none" w:sz="0" w:space="0" w:color="auto"/>
        <w:left w:val="none" w:sz="0" w:space="0" w:color="auto"/>
        <w:bottom w:val="none" w:sz="0" w:space="0" w:color="auto"/>
        <w:right w:val="none" w:sz="0" w:space="0" w:color="auto"/>
      </w:divBdr>
    </w:div>
    <w:div w:id="766658468">
      <w:bodyDiv w:val="1"/>
      <w:marLeft w:val="0"/>
      <w:marRight w:val="0"/>
      <w:marTop w:val="0"/>
      <w:marBottom w:val="0"/>
      <w:divBdr>
        <w:top w:val="none" w:sz="0" w:space="0" w:color="auto"/>
        <w:left w:val="none" w:sz="0" w:space="0" w:color="auto"/>
        <w:bottom w:val="none" w:sz="0" w:space="0" w:color="auto"/>
        <w:right w:val="none" w:sz="0" w:space="0" w:color="auto"/>
      </w:divBdr>
    </w:div>
    <w:div w:id="806049520">
      <w:bodyDiv w:val="1"/>
      <w:marLeft w:val="0"/>
      <w:marRight w:val="0"/>
      <w:marTop w:val="0"/>
      <w:marBottom w:val="0"/>
      <w:divBdr>
        <w:top w:val="none" w:sz="0" w:space="0" w:color="auto"/>
        <w:left w:val="none" w:sz="0" w:space="0" w:color="auto"/>
        <w:bottom w:val="none" w:sz="0" w:space="0" w:color="auto"/>
        <w:right w:val="none" w:sz="0" w:space="0" w:color="auto"/>
      </w:divBdr>
    </w:div>
    <w:div w:id="853154232">
      <w:bodyDiv w:val="1"/>
      <w:marLeft w:val="0"/>
      <w:marRight w:val="0"/>
      <w:marTop w:val="0"/>
      <w:marBottom w:val="0"/>
      <w:divBdr>
        <w:top w:val="none" w:sz="0" w:space="0" w:color="auto"/>
        <w:left w:val="none" w:sz="0" w:space="0" w:color="auto"/>
        <w:bottom w:val="none" w:sz="0" w:space="0" w:color="auto"/>
        <w:right w:val="none" w:sz="0" w:space="0" w:color="auto"/>
      </w:divBdr>
    </w:div>
    <w:div w:id="901519624">
      <w:bodyDiv w:val="1"/>
      <w:marLeft w:val="0"/>
      <w:marRight w:val="0"/>
      <w:marTop w:val="0"/>
      <w:marBottom w:val="0"/>
      <w:divBdr>
        <w:top w:val="none" w:sz="0" w:space="0" w:color="auto"/>
        <w:left w:val="none" w:sz="0" w:space="0" w:color="auto"/>
        <w:bottom w:val="none" w:sz="0" w:space="0" w:color="auto"/>
        <w:right w:val="none" w:sz="0" w:space="0" w:color="auto"/>
      </w:divBdr>
    </w:div>
    <w:div w:id="919409717">
      <w:bodyDiv w:val="1"/>
      <w:marLeft w:val="0"/>
      <w:marRight w:val="0"/>
      <w:marTop w:val="0"/>
      <w:marBottom w:val="0"/>
      <w:divBdr>
        <w:top w:val="none" w:sz="0" w:space="0" w:color="auto"/>
        <w:left w:val="none" w:sz="0" w:space="0" w:color="auto"/>
        <w:bottom w:val="none" w:sz="0" w:space="0" w:color="auto"/>
        <w:right w:val="none" w:sz="0" w:space="0" w:color="auto"/>
      </w:divBdr>
    </w:div>
    <w:div w:id="923953935">
      <w:bodyDiv w:val="1"/>
      <w:marLeft w:val="0"/>
      <w:marRight w:val="0"/>
      <w:marTop w:val="0"/>
      <w:marBottom w:val="0"/>
      <w:divBdr>
        <w:top w:val="none" w:sz="0" w:space="0" w:color="auto"/>
        <w:left w:val="none" w:sz="0" w:space="0" w:color="auto"/>
        <w:bottom w:val="none" w:sz="0" w:space="0" w:color="auto"/>
        <w:right w:val="none" w:sz="0" w:space="0" w:color="auto"/>
      </w:divBdr>
    </w:div>
    <w:div w:id="1023022128">
      <w:bodyDiv w:val="1"/>
      <w:marLeft w:val="0"/>
      <w:marRight w:val="0"/>
      <w:marTop w:val="0"/>
      <w:marBottom w:val="0"/>
      <w:divBdr>
        <w:top w:val="none" w:sz="0" w:space="0" w:color="auto"/>
        <w:left w:val="none" w:sz="0" w:space="0" w:color="auto"/>
        <w:bottom w:val="none" w:sz="0" w:space="0" w:color="auto"/>
        <w:right w:val="none" w:sz="0" w:space="0" w:color="auto"/>
      </w:divBdr>
    </w:div>
    <w:div w:id="1054506376">
      <w:bodyDiv w:val="1"/>
      <w:marLeft w:val="0"/>
      <w:marRight w:val="0"/>
      <w:marTop w:val="0"/>
      <w:marBottom w:val="0"/>
      <w:divBdr>
        <w:top w:val="none" w:sz="0" w:space="0" w:color="auto"/>
        <w:left w:val="none" w:sz="0" w:space="0" w:color="auto"/>
        <w:bottom w:val="none" w:sz="0" w:space="0" w:color="auto"/>
        <w:right w:val="none" w:sz="0" w:space="0" w:color="auto"/>
      </w:divBdr>
    </w:div>
    <w:div w:id="1169902930">
      <w:bodyDiv w:val="1"/>
      <w:marLeft w:val="0"/>
      <w:marRight w:val="0"/>
      <w:marTop w:val="0"/>
      <w:marBottom w:val="0"/>
      <w:divBdr>
        <w:top w:val="none" w:sz="0" w:space="0" w:color="auto"/>
        <w:left w:val="none" w:sz="0" w:space="0" w:color="auto"/>
        <w:bottom w:val="none" w:sz="0" w:space="0" w:color="auto"/>
        <w:right w:val="none" w:sz="0" w:space="0" w:color="auto"/>
      </w:divBdr>
    </w:div>
    <w:div w:id="1172523162">
      <w:bodyDiv w:val="1"/>
      <w:marLeft w:val="0"/>
      <w:marRight w:val="0"/>
      <w:marTop w:val="0"/>
      <w:marBottom w:val="0"/>
      <w:divBdr>
        <w:top w:val="none" w:sz="0" w:space="0" w:color="auto"/>
        <w:left w:val="none" w:sz="0" w:space="0" w:color="auto"/>
        <w:bottom w:val="none" w:sz="0" w:space="0" w:color="auto"/>
        <w:right w:val="none" w:sz="0" w:space="0" w:color="auto"/>
      </w:divBdr>
    </w:div>
    <w:div w:id="1196120677">
      <w:bodyDiv w:val="1"/>
      <w:marLeft w:val="0"/>
      <w:marRight w:val="0"/>
      <w:marTop w:val="0"/>
      <w:marBottom w:val="0"/>
      <w:divBdr>
        <w:top w:val="none" w:sz="0" w:space="0" w:color="auto"/>
        <w:left w:val="none" w:sz="0" w:space="0" w:color="auto"/>
        <w:bottom w:val="none" w:sz="0" w:space="0" w:color="auto"/>
        <w:right w:val="none" w:sz="0" w:space="0" w:color="auto"/>
      </w:divBdr>
    </w:div>
    <w:div w:id="1309437713">
      <w:bodyDiv w:val="1"/>
      <w:marLeft w:val="0"/>
      <w:marRight w:val="0"/>
      <w:marTop w:val="0"/>
      <w:marBottom w:val="0"/>
      <w:divBdr>
        <w:top w:val="none" w:sz="0" w:space="0" w:color="auto"/>
        <w:left w:val="none" w:sz="0" w:space="0" w:color="auto"/>
        <w:bottom w:val="none" w:sz="0" w:space="0" w:color="auto"/>
        <w:right w:val="none" w:sz="0" w:space="0" w:color="auto"/>
      </w:divBdr>
      <w:divsChild>
        <w:div w:id="1208950595">
          <w:marLeft w:val="0"/>
          <w:marRight w:val="0"/>
          <w:marTop w:val="0"/>
          <w:marBottom w:val="0"/>
          <w:divBdr>
            <w:top w:val="none" w:sz="0" w:space="0" w:color="auto"/>
            <w:left w:val="none" w:sz="0" w:space="0" w:color="auto"/>
            <w:bottom w:val="none" w:sz="0" w:space="0" w:color="auto"/>
            <w:right w:val="none" w:sz="0" w:space="0" w:color="auto"/>
          </w:divBdr>
          <w:divsChild>
            <w:div w:id="1455641137">
              <w:marLeft w:val="0"/>
              <w:marRight w:val="0"/>
              <w:marTop w:val="0"/>
              <w:marBottom w:val="0"/>
              <w:divBdr>
                <w:top w:val="none" w:sz="0" w:space="0" w:color="auto"/>
                <w:left w:val="none" w:sz="0" w:space="0" w:color="auto"/>
                <w:bottom w:val="none" w:sz="0" w:space="0" w:color="auto"/>
                <w:right w:val="none" w:sz="0" w:space="0" w:color="auto"/>
              </w:divBdr>
              <w:divsChild>
                <w:div w:id="1765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4981">
      <w:bodyDiv w:val="1"/>
      <w:marLeft w:val="0"/>
      <w:marRight w:val="0"/>
      <w:marTop w:val="0"/>
      <w:marBottom w:val="0"/>
      <w:divBdr>
        <w:top w:val="none" w:sz="0" w:space="0" w:color="auto"/>
        <w:left w:val="none" w:sz="0" w:space="0" w:color="auto"/>
        <w:bottom w:val="none" w:sz="0" w:space="0" w:color="auto"/>
        <w:right w:val="none" w:sz="0" w:space="0" w:color="auto"/>
      </w:divBdr>
    </w:div>
    <w:div w:id="1385326002">
      <w:bodyDiv w:val="1"/>
      <w:marLeft w:val="0"/>
      <w:marRight w:val="0"/>
      <w:marTop w:val="0"/>
      <w:marBottom w:val="0"/>
      <w:divBdr>
        <w:top w:val="none" w:sz="0" w:space="0" w:color="auto"/>
        <w:left w:val="none" w:sz="0" w:space="0" w:color="auto"/>
        <w:bottom w:val="none" w:sz="0" w:space="0" w:color="auto"/>
        <w:right w:val="none" w:sz="0" w:space="0" w:color="auto"/>
      </w:divBdr>
    </w:div>
    <w:div w:id="1396851411">
      <w:bodyDiv w:val="1"/>
      <w:marLeft w:val="0"/>
      <w:marRight w:val="0"/>
      <w:marTop w:val="0"/>
      <w:marBottom w:val="0"/>
      <w:divBdr>
        <w:top w:val="none" w:sz="0" w:space="0" w:color="auto"/>
        <w:left w:val="none" w:sz="0" w:space="0" w:color="auto"/>
        <w:bottom w:val="none" w:sz="0" w:space="0" w:color="auto"/>
        <w:right w:val="none" w:sz="0" w:space="0" w:color="auto"/>
      </w:divBdr>
    </w:div>
    <w:div w:id="1419593831">
      <w:bodyDiv w:val="1"/>
      <w:marLeft w:val="0"/>
      <w:marRight w:val="0"/>
      <w:marTop w:val="0"/>
      <w:marBottom w:val="0"/>
      <w:divBdr>
        <w:top w:val="none" w:sz="0" w:space="0" w:color="auto"/>
        <w:left w:val="none" w:sz="0" w:space="0" w:color="auto"/>
        <w:bottom w:val="none" w:sz="0" w:space="0" w:color="auto"/>
        <w:right w:val="none" w:sz="0" w:space="0" w:color="auto"/>
      </w:divBdr>
    </w:div>
    <w:div w:id="1454862148">
      <w:bodyDiv w:val="1"/>
      <w:marLeft w:val="0"/>
      <w:marRight w:val="0"/>
      <w:marTop w:val="0"/>
      <w:marBottom w:val="0"/>
      <w:divBdr>
        <w:top w:val="none" w:sz="0" w:space="0" w:color="auto"/>
        <w:left w:val="none" w:sz="0" w:space="0" w:color="auto"/>
        <w:bottom w:val="none" w:sz="0" w:space="0" w:color="auto"/>
        <w:right w:val="none" w:sz="0" w:space="0" w:color="auto"/>
      </w:divBdr>
    </w:div>
    <w:div w:id="1498498987">
      <w:bodyDiv w:val="1"/>
      <w:marLeft w:val="0"/>
      <w:marRight w:val="0"/>
      <w:marTop w:val="0"/>
      <w:marBottom w:val="0"/>
      <w:divBdr>
        <w:top w:val="none" w:sz="0" w:space="0" w:color="auto"/>
        <w:left w:val="none" w:sz="0" w:space="0" w:color="auto"/>
        <w:bottom w:val="none" w:sz="0" w:space="0" w:color="auto"/>
        <w:right w:val="none" w:sz="0" w:space="0" w:color="auto"/>
      </w:divBdr>
    </w:div>
    <w:div w:id="1551648891">
      <w:bodyDiv w:val="1"/>
      <w:marLeft w:val="0"/>
      <w:marRight w:val="0"/>
      <w:marTop w:val="0"/>
      <w:marBottom w:val="0"/>
      <w:divBdr>
        <w:top w:val="none" w:sz="0" w:space="0" w:color="auto"/>
        <w:left w:val="none" w:sz="0" w:space="0" w:color="auto"/>
        <w:bottom w:val="none" w:sz="0" w:space="0" w:color="auto"/>
        <w:right w:val="none" w:sz="0" w:space="0" w:color="auto"/>
      </w:divBdr>
    </w:div>
    <w:div w:id="1597058799">
      <w:bodyDiv w:val="1"/>
      <w:marLeft w:val="0"/>
      <w:marRight w:val="0"/>
      <w:marTop w:val="0"/>
      <w:marBottom w:val="0"/>
      <w:divBdr>
        <w:top w:val="none" w:sz="0" w:space="0" w:color="auto"/>
        <w:left w:val="none" w:sz="0" w:space="0" w:color="auto"/>
        <w:bottom w:val="none" w:sz="0" w:space="0" w:color="auto"/>
        <w:right w:val="none" w:sz="0" w:space="0" w:color="auto"/>
      </w:divBdr>
    </w:div>
    <w:div w:id="1609317567">
      <w:bodyDiv w:val="1"/>
      <w:marLeft w:val="0"/>
      <w:marRight w:val="0"/>
      <w:marTop w:val="0"/>
      <w:marBottom w:val="0"/>
      <w:divBdr>
        <w:top w:val="none" w:sz="0" w:space="0" w:color="auto"/>
        <w:left w:val="none" w:sz="0" w:space="0" w:color="auto"/>
        <w:bottom w:val="none" w:sz="0" w:space="0" w:color="auto"/>
        <w:right w:val="none" w:sz="0" w:space="0" w:color="auto"/>
      </w:divBdr>
      <w:divsChild>
        <w:div w:id="457992635">
          <w:marLeft w:val="0"/>
          <w:marRight w:val="0"/>
          <w:marTop w:val="0"/>
          <w:marBottom w:val="0"/>
          <w:divBdr>
            <w:top w:val="none" w:sz="0" w:space="0" w:color="auto"/>
            <w:left w:val="none" w:sz="0" w:space="0" w:color="auto"/>
            <w:bottom w:val="none" w:sz="0" w:space="0" w:color="auto"/>
            <w:right w:val="none" w:sz="0" w:space="0" w:color="auto"/>
          </w:divBdr>
          <w:divsChild>
            <w:div w:id="743843219">
              <w:marLeft w:val="0"/>
              <w:marRight w:val="0"/>
              <w:marTop w:val="0"/>
              <w:marBottom w:val="0"/>
              <w:divBdr>
                <w:top w:val="none" w:sz="0" w:space="0" w:color="auto"/>
                <w:left w:val="none" w:sz="0" w:space="0" w:color="auto"/>
                <w:bottom w:val="none" w:sz="0" w:space="0" w:color="auto"/>
                <w:right w:val="none" w:sz="0" w:space="0" w:color="auto"/>
              </w:divBdr>
              <w:divsChild>
                <w:div w:id="16898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7801">
      <w:bodyDiv w:val="1"/>
      <w:marLeft w:val="0"/>
      <w:marRight w:val="0"/>
      <w:marTop w:val="0"/>
      <w:marBottom w:val="0"/>
      <w:divBdr>
        <w:top w:val="none" w:sz="0" w:space="0" w:color="auto"/>
        <w:left w:val="none" w:sz="0" w:space="0" w:color="auto"/>
        <w:bottom w:val="none" w:sz="0" w:space="0" w:color="auto"/>
        <w:right w:val="none" w:sz="0" w:space="0" w:color="auto"/>
      </w:divBdr>
      <w:divsChild>
        <w:div w:id="433401518">
          <w:marLeft w:val="0"/>
          <w:marRight w:val="0"/>
          <w:marTop w:val="0"/>
          <w:marBottom w:val="0"/>
          <w:divBdr>
            <w:top w:val="none" w:sz="0" w:space="0" w:color="auto"/>
            <w:left w:val="none" w:sz="0" w:space="0" w:color="auto"/>
            <w:bottom w:val="none" w:sz="0" w:space="0" w:color="auto"/>
            <w:right w:val="none" w:sz="0" w:space="0" w:color="auto"/>
          </w:divBdr>
          <w:divsChild>
            <w:div w:id="1714379703">
              <w:marLeft w:val="0"/>
              <w:marRight w:val="0"/>
              <w:marTop w:val="0"/>
              <w:marBottom w:val="0"/>
              <w:divBdr>
                <w:top w:val="none" w:sz="0" w:space="0" w:color="auto"/>
                <w:left w:val="none" w:sz="0" w:space="0" w:color="auto"/>
                <w:bottom w:val="none" w:sz="0" w:space="0" w:color="auto"/>
                <w:right w:val="none" w:sz="0" w:space="0" w:color="auto"/>
              </w:divBdr>
              <w:divsChild>
                <w:div w:id="6605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6986">
      <w:bodyDiv w:val="1"/>
      <w:marLeft w:val="0"/>
      <w:marRight w:val="0"/>
      <w:marTop w:val="0"/>
      <w:marBottom w:val="0"/>
      <w:divBdr>
        <w:top w:val="none" w:sz="0" w:space="0" w:color="auto"/>
        <w:left w:val="none" w:sz="0" w:space="0" w:color="auto"/>
        <w:bottom w:val="none" w:sz="0" w:space="0" w:color="auto"/>
        <w:right w:val="none" w:sz="0" w:space="0" w:color="auto"/>
      </w:divBdr>
    </w:div>
    <w:div w:id="1693650565">
      <w:bodyDiv w:val="1"/>
      <w:marLeft w:val="0"/>
      <w:marRight w:val="0"/>
      <w:marTop w:val="0"/>
      <w:marBottom w:val="0"/>
      <w:divBdr>
        <w:top w:val="none" w:sz="0" w:space="0" w:color="auto"/>
        <w:left w:val="none" w:sz="0" w:space="0" w:color="auto"/>
        <w:bottom w:val="none" w:sz="0" w:space="0" w:color="auto"/>
        <w:right w:val="none" w:sz="0" w:space="0" w:color="auto"/>
      </w:divBdr>
    </w:div>
    <w:div w:id="1793090214">
      <w:bodyDiv w:val="1"/>
      <w:marLeft w:val="0"/>
      <w:marRight w:val="0"/>
      <w:marTop w:val="0"/>
      <w:marBottom w:val="0"/>
      <w:divBdr>
        <w:top w:val="none" w:sz="0" w:space="0" w:color="auto"/>
        <w:left w:val="none" w:sz="0" w:space="0" w:color="auto"/>
        <w:bottom w:val="none" w:sz="0" w:space="0" w:color="auto"/>
        <w:right w:val="none" w:sz="0" w:space="0" w:color="auto"/>
      </w:divBdr>
    </w:div>
    <w:div w:id="1862281474">
      <w:bodyDiv w:val="1"/>
      <w:marLeft w:val="0"/>
      <w:marRight w:val="0"/>
      <w:marTop w:val="0"/>
      <w:marBottom w:val="0"/>
      <w:divBdr>
        <w:top w:val="none" w:sz="0" w:space="0" w:color="auto"/>
        <w:left w:val="none" w:sz="0" w:space="0" w:color="auto"/>
        <w:bottom w:val="none" w:sz="0" w:space="0" w:color="auto"/>
        <w:right w:val="none" w:sz="0" w:space="0" w:color="auto"/>
      </w:divBdr>
    </w:div>
    <w:div w:id="1887061194">
      <w:bodyDiv w:val="1"/>
      <w:marLeft w:val="0"/>
      <w:marRight w:val="0"/>
      <w:marTop w:val="0"/>
      <w:marBottom w:val="0"/>
      <w:divBdr>
        <w:top w:val="none" w:sz="0" w:space="0" w:color="auto"/>
        <w:left w:val="none" w:sz="0" w:space="0" w:color="auto"/>
        <w:bottom w:val="none" w:sz="0" w:space="0" w:color="auto"/>
        <w:right w:val="none" w:sz="0" w:space="0" w:color="auto"/>
      </w:divBdr>
      <w:divsChild>
        <w:div w:id="1849326371">
          <w:marLeft w:val="0"/>
          <w:marRight w:val="0"/>
          <w:marTop w:val="0"/>
          <w:marBottom w:val="0"/>
          <w:divBdr>
            <w:top w:val="none" w:sz="0" w:space="0" w:color="auto"/>
            <w:left w:val="none" w:sz="0" w:space="0" w:color="auto"/>
            <w:bottom w:val="none" w:sz="0" w:space="0" w:color="auto"/>
            <w:right w:val="none" w:sz="0" w:space="0" w:color="auto"/>
          </w:divBdr>
        </w:div>
      </w:divsChild>
    </w:div>
    <w:div w:id="1940330505">
      <w:bodyDiv w:val="1"/>
      <w:marLeft w:val="0"/>
      <w:marRight w:val="0"/>
      <w:marTop w:val="0"/>
      <w:marBottom w:val="0"/>
      <w:divBdr>
        <w:top w:val="none" w:sz="0" w:space="0" w:color="auto"/>
        <w:left w:val="none" w:sz="0" w:space="0" w:color="auto"/>
        <w:bottom w:val="none" w:sz="0" w:space="0" w:color="auto"/>
        <w:right w:val="none" w:sz="0" w:space="0" w:color="auto"/>
      </w:divBdr>
    </w:div>
    <w:div w:id="1968657637">
      <w:bodyDiv w:val="1"/>
      <w:marLeft w:val="0"/>
      <w:marRight w:val="0"/>
      <w:marTop w:val="0"/>
      <w:marBottom w:val="0"/>
      <w:divBdr>
        <w:top w:val="none" w:sz="0" w:space="0" w:color="auto"/>
        <w:left w:val="none" w:sz="0" w:space="0" w:color="auto"/>
        <w:bottom w:val="none" w:sz="0" w:space="0" w:color="auto"/>
        <w:right w:val="none" w:sz="0" w:space="0" w:color="auto"/>
      </w:divBdr>
    </w:div>
    <w:div w:id="1996639836">
      <w:bodyDiv w:val="1"/>
      <w:marLeft w:val="0"/>
      <w:marRight w:val="0"/>
      <w:marTop w:val="0"/>
      <w:marBottom w:val="0"/>
      <w:divBdr>
        <w:top w:val="none" w:sz="0" w:space="0" w:color="auto"/>
        <w:left w:val="none" w:sz="0" w:space="0" w:color="auto"/>
        <w:bottom w:val="none" w:sz="0" w:space="0" w:color="auto"/>
        <w:right w:val="none" w:sz="0" w:space="0" w:color="auto"/>
      </w:divBdr>
    </w:div>
    <w:div w:id="2020308151">
      <w:bodyDiv w:val="1"/>
      <w:marLeft w:val="0"/>
      <w:marRight w:val="0"/>
      <w:marTop w:val="0"/>
      <w:marBottom w:val="0"/>
      <w:divBdr>
        <w:top w:val="none" w:sz="0" w:space="0" w:color="auto"/>
        <w:left w:val="none" w:sz="0" w:space="0" w:color="auto"/>
        <w:bottom w:val="none" w:sz="0" w:space="0" w:color="auto"/>
        <w:right w:val="none" w:sz="0" w:space="0" w:color="auto"/>
      </w:divBdr>
    </w:div>
    <w:div w:id="2070037239">
      <w:bodyDiv w:val="1"/>
      <w:marLeft w:val="0"/>
      <w:marRight w:val="0"/>
      <w:marTop w:val="0"/>
      <w:marBottom w:val="0"/>
      <w:divBdr>
        <w:top w:val="none" w:sz="0" w:space="0" w:color="auto"/>
        <w:left w:val="none" w:sz="0" w:space="0" w:color="auto"/>
        <w:bottom w:val="none" w:sz="0" w:space="0" w:color="auto"/>
        <w:right w:val="none" w:sz="0" w:space="0" w:color="auto"/>
      </w:divBdr>
    </w:div>
    <w:div w:id="2101871194">
      <w:bodyDiv w:val="1"/>
      <w:marLeft w:val="0"/>
      <w:marRight w:val="0"/>
      <w:marTop w:val="0"/>
      <w:marBottom w:val="0"/>
      <w:divBdr>
        <w:top w:val="none" w:sz="0" w:space="0" w:color="auto"/>
        <w:left w:val="none" w:sz="0" w:space="0" w:color="auto"/>
        <w:bottom w:val="none" w:sz="0" w:space="0" w:color="auto"/>
        <w:right w:val="none" w:sz="0" w:space="0" w:color="auto"/>
      </w:divBdr>
    </w:div>
    <w:div w:id="21222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insky@stanfo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0C9806-93D4-B448-BAF3-DF8DE39C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35</Pages>
  <Words>25338</Words>
  <Characters>144429</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Wang</dc:creator>
  <cp:keywords/>
  <dc:description/>
  <cp:lastModifiedBy>Saskia Lynn DeRook Comess</cp:lastModifiedBy>
  <cp:revision>11</cp:revision>
  <dcterms:created xsi:type="dcterms:W3CDTF">2020-09-20T23:31:00Z</dcterms:created>
  <dcterms:modified xsi:type="dcterms:W3CDTF">2020-11-16T23:36:00Z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http://www.zotero.org/styles/biomed-central</vt:lpwstr>
  </property>
  <property fmtid="{D5CDD505-2E9C-101B-9397-08002B2CF9AE}" pid="6" name="Mendeley Recent Style Name 1_1">
    <vt:lpwstr>BioMed Central</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http://www.zotero.org/styles/chicago-note-bibliography</vt:lpwstr>
  </property>
  <property fmtid="{D5CDD505-2E9C-101B-9397-08002B2CF9AE}" pid="10" name="Mendeley Recent Style Name 3_1">
    <vt:lpwstr>Chicago Manual of Style 17th edition (note)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http://www.zotero.org/styles/journal-of-clinical-microbiology</vt:lpwstr>
  </property>
  <property fmtid="{D5CDD505-2E9C-101B-9397-08002B2CF9AE}" pid="16" name="Mendeley Recent Style Name 6_1">
    <vt:lpwstr>Journal of Clinical Microbiology</vt:lpwstr>
  </property>
  <property fmtid="{D5CDD505-2E9C-101B-9397-08002B2CF9AE}" pid="17" name="Mendeley Recent Style Id 7_1">
    <vt:lpwstr>http://www.zotero.org/styles/microbiome</vt:lpwstr>
  </property>
  <property fmtid="{D5CDD505-2E9C-101B-9397-08002B2CF9AE}" pid="18" name="Mendeley Recent Style Name 7_1">
    <vt:lpwstr>Microbiome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https://csl.mendeley.com/styles/229594371/vancouver-hwang</vt:lpwstr>
  </property>
  <property fmtid="{D5CDD505-2E9C-101B-9397-08002B2CF9AE}" pid="22" name="Mendeley Recent Style Name 9_1">
    <vt:lpwstr>Vancouver - Hannah Wang</vt:lpwstr>
  </property>
  <property fmtid="{D5CDD505-2E9C-101B-9397-08002B2CF9AE}" pid="23" name="Mendeley Citation Style_1">
    <vt:lpwstr>https://csl.mendeley.com/styles/229594371/vancouver-hwang</vt:lpwstr>
  </property>
  <property fmtid="{D5CDD505-2E9C-101B-9397-08002B2CF9AE}" pid="24" name="Mendeley Unique User Id_1">
    <vt:lpwstr>8af13941-4aa8-3bcf-bc21-1f26fe4fc8ea</vt:lpwstr>
  </property>
</Properties>
</file>