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C076E2" w14:textId="0C2B4A7E" w:rsidR="004230DF" w:rsidRDefault="006F1059" w:rsidP="00814D6B">
      <w:pPr>
        <w:spacing w:line="480" w:lineRule="auto"/>
        <w:rPr>
          <w:bCs/>
        </w:rPr>
      </w:pPr>
      <w:r>
        <w:rPr>
          <w:b/>
          <w:bCs/>
        </w:rPr>
        <w:t xml:space="preserve">Article Summary Line: </w:t>
      </w:r>
      <w:r w:rsidR="004230DF">
        <w:rPr>
          <w:bCs/>
        </w:rPr>
        <w:t>Pooled testing for</w:t>
      </w:r>
      <w:r w:rsidR="00346454">
        <w:rPr>
          <w:bCs/>
        </w:rPr>
        <w:t xml:space="preserve"> SARS-CoV-2 is feasible on three different nucleic acid amplification test</w:t>
      </w:r>
      <w:r w:rsidR="00C61C5D">
        <w:rPr>
          <w:bCs/>
        </w:rPr>
        <w:t xml:space="preserve">ing platforms, but </w:t>
      </w:r>
      <w:r w:rsidR="004230DF">
        <w:rPr>
          <w:bCs/>
        </w:rPr>
        <w:t xml:space="preserve">is </w:t>
      </w:r>
      <w:r w:rsidR="004230DF" w:rsidRPr="00AF25D7">
        <w:rPr>
          <w:bCs/>
          <w:highlight w:val="yellow"/>
        </w:rPr>
        <w:t>accompanied by</w:t>
      </w:r>
      <w:r w:rsidR="00C61C5D" w:rsidRPr="00AF25D7">
        <w:rPr>
          <w:bCs/>
          <w:highlight w:val="yellow"/>
        </w:rPr>
        <w:t xml:space="preserve"> </w:t>
      </w:r>
      <w:r w:rsidR="00DB6131" w:rsidRPr="00AF25D7">
        <w:rPr>
          <w:bCs/>
          <w:highlight w:val="yellow"/>
        </w:rPr>
        <w:t xml:space="preserve">significant </w:t>
      </w:r>
      <w:r w:rsidR="00346454" w:rsidRPr="00AF25D7">
        <w:rPr>
          <w:bCs/>
          <w:highlight w:val="yellow"/>
        </w:rPr>
        <w:t>dilution-related</w:t>
      </w:r>
      <w:r w:rsidR="003736D3" w:rsidRPr="00AF25D7">
        <w:rPr>
          <w:bCs/>
          <w:highlight w:val="yellow"/>
        </w:rPr>
        <w:t>, assay-specific, and population-dependent</w:t>
      </w:r>
      <w:r w:rsidR="00346454" w:rsidRPr="00AF25D7">
        <w:rPr>
          <w:bCs/>
          <w:highlight w:val="yellow"/>
        </w:rPr>
        <w:t xml:space="preserve"> </w:t>
      </w:r>
      <w:r w:rsidR="00DB1421" w:rsidRPr="00AF25D7">
        <w:rPr>
          <w:bCs/>
          <w:highlight w:val="yellow"/>
        </w:rPr>
        <w:t>changes</w:t>
      </w:r>
      <w:r w:rsidR="00346454" w:rsidRPr="00AF25D7">
        <w:rPr>
          <w:bCs/>
          <w:highlight w:val="yellow"/>
        </w:rPr>
        <w:t xml:space="preserve"> in </w:t>
      </w:r>
      <w:r w:rsidR="00DB1421" w:rsidRPr="00AF25D7">
        <w:rPr>
          <w:bCs/>
          <w:highlight w:val="yellow"/>
        </w:rPr>
        <w:t>analytical sensitivity</w:t>
      </w:r>
      <w:r w:rsidR="003736D3" w:rsidRPr="00AF25D7">
        <w:rPr>
          <w:bCs/>
          <w:highlight w:val="yellow"/>
        </w:rPr>
        <w:t xml:space="preserve"> and efficiency</w:t>
      </w:r>
      <w:r w:rsidR="00DB1421">
        <w:rPr>
          <w:bCs/>
        </w:rPr>
        <w:t>,</w:t>
      </w:r>
      <w:r w:rsidR="00346454">
        <w:rPr>
          <w:bCs/>
        </w:rPr>
        <w:t xml:space="preserve"> which </w:t>
      </w:r>
      <w:r w:rsidR="00DB6131">
        <w:rPr>
          <w:bCs/>
        </w:rPr>
        <w:t>have</w:t>
      </w:r>
      <w:r w:rsidR="00346454">
        <w:rPr>
          <w:bCs/>
        </w:rPr>
        <w:t xml:space="preserve"> implications for </w:t>
      </w:r>
      <w:r w:rsidR="003736D3">
        <w:rPr>
          <w:bCs/>
        </w:rPr>
        <w:t>large-scale</w:t>
      </w:r>
      <w:r w:rsidR="00346454">
        <w:rPr>
          <w:bCs/>
        </w:rPr>
        <w:t xml:space="preserve"> screening e</w:t>
      </w:r>
      <w:r w:rsidR="00F765D1">
        <w:rPr>
          <w:bCs/>
        </w:rPr>
        <w:t>fforts.</w:t>
      </w:r>
    </w:p>
    <w:p w14:paraId="73D57C0B" w14:textId="77777777" w:rsidR="00B25D95" w:rsidRPr="00814D6B" w:rsidRDefault="00B25D95" w:rsidP="00814D6B">
      <w:pPr>
        <w:spacing w:line="480" w:lineRule="auto"/>
        <w:rPr>
          <w:bCs/>
        </w:rPr>
      </w:pPr>
    </w:p>
    <w:p w14:paraId="50BB3615" w14:textId="2A9B3B8A" w:rsidR="004230DF" w:rsidRPr="00814D6B" w:rsidRDefault="006F1059" w:rsidP="00814D6B">
      <w:pPr>
        <w:spacing w:line="480" w:lineRule="auto"/>
        <w:rPr>
          <w:bCs/>
        </w:rPr>
      </w:pPr>
      <w:r>
        <w:rPr>
          <w:b/>
          <w:bCs/>
        </w:rPr>
        <w:t>Running Title:</w:t>
      </w:r>
      <w:r w:rsidR="00B25D95">
        <w:rPr>
          <w:bCs/>
        </w:rPr>
        <w:t xml:space="preserve">  </w:t>
      </w:r>
      <w:r w:rsidR="003C24DC">
        <w:rPr>
          <w:bCs/>
        </w:rPr>
        <w:t>SARS-CoV-2 Pooled Test Performance</w:t>
      </w:r>
    </w:p>
    <w:p w14:paraId="28CAD371" w14:textId="2EC0F86D" w:rsidR="004230DF" w:rsidRPr="00814D6B" w:rsidRDefault="006F1059" w:rsidP="00814D6B">
      <w:pPr>
        <w:spacing w:line="480" w:lineRule="auto"/>
        <w:rPr>
          <w:bCs/>
        </w:rPr>
      </w:pPr>
      <w:r>
        <w:rPr>
          <w:b/>
          <w:bCs/>
        </w:rPr>
        <w:t>Keywords:</w:t>
      </w:r>
      <w:r w:rsidR="00346454">
        <w:rPr>
          <w:b/>
          <w:bCs/>
        </w:rPr>
        <w:t xml:space="preserve"> </w:t>
      </w:r>
      <w:r w:rsidR="00720B0E">
        <w:rPr>
          <w:bCs/>
        </w:rPr>
        <w:t xml:space="preserve">SARS-CoV-2 Testing, Diagnostic Screening Programs, </w:t>
      </w:r>
      <w:r w:rsidR="00C16D0E">
        <w:rPr>
          <w:bCs/>
        </w:rPr>
        <w:t>COVID-19</w:t>
      </w:r>
    </w:p>
    <w:p w14:paraId="116B94F3" w14:textId="3DB0F82E" w:rsidR="003C24DC" w:rsidRPr="00814D6B" w:rsidRDefault="006F1059" w:rsidP="00814D6B">
      <w:pPr>
        <w:spacing w:line="480" w:lineRule="auto"/>
        <w:rPr>
          <w:bCs/>
        </w:rPr>
      </w:pPr>
      <w:r>
        <w:rPr>
          <w:b/>
          <w:bCs/>
        </w:rPr>
        <w:t>Title:</w:t>
      </w:r>
      <w:r w:rsidR="00C16D0E">
        <w:rPr>
          <w:b/>
          <w:bCs/>
        </w:rPr>
        <w:t xml:space="preserve"> </w:t>
      </w:r>
      <w:r w:rsidR="003C24DC">
        <w:t>Performance of Nucleic Acid Amplification Tests for Detection of SARS-CoV-2 in Prospectively Pooled Specimens</w:t>
      </w:r>
    </w:p>
    <w:p w14:paraId="1E8AEC1E" w14:textId="46B9032C" w:rsidR="007E2793" w:rsidRDefault="006F1059" w:rsidP="00814D6B">
      <w:pPr>
        <w:spacing w:line="480" w:lineRule="auto"/>
        <w:jc w:val="both"/>
      </w:pPr>
      <w:r>
        <w:rPr>
          <w:b/>
          <w:bCs/>
        </w:rPr>
        <w:t>Authors:</w:t>
      </w:r>
      <w:r w:rsidR="00C16D0E">
        <w:rPr>
          <w:b/>
          <w:bCs/>
        </w:rPr>
        <w:t xml:space="preserve"> </w:t>
      </w:r>
      <w:r w:rsidR="00DD419D">
        <w:t>Hannah Wang, MD;</w:t>
      </w:r>
      <w:r w:rsidR="001D037C">
        <w:t xml:space="preserve"> </w:t>
      </w:r>
      <w:r w:rsidR="001D037C" w:rsidRPr="00570D33">
        <w:t>Catherine A. Hogan, MD</w:t>
      </w:r>
      <w:r w:rsidR="001D037C">
        <w:t>, MSc</w:t>
      </w:r>
      <w:r w:rsidR="00DD419D">
        <w:t>;</w:t>
      </w:r>
      <w:r w:rsidR="001D037C" w:rsidRPr="00570D33">
        <w:t xml:space="preserve"> </w:t>
      </w:r>
      <w:r w:rsidR="00C7104A">
        <w:t xml:space="preserve">Jacob A. Miller, MD; </w:t>
      </w:r>
      <w:r w:rsidR="001D037C" w:rsidRPr="00570D33">
        <w:t>Malaya K. Sahoo, PhD</w:t>
      </w:r>
      <w:r w:rsidR="00DD419D">
        <w:t>;</w:t>
      </w:r>
      <w:r w:rsidR="001D037C" w:rsidRPr="00570D33">
        <w:t xml:space="preserve"> </w:t>
      </w:r>
      <w:proofErr w:type="spellStart"/>
      <w:r w:rsidR="001D037C" w:rsidRPr="00570D33">
        <w:rPr>
          <w:color w:val="000000"/>
          <w:shd w:val="clear" w:color="auto" w:fill="FFFFFF"/>
        </w:rPr>
        <w:t>ChunHong</w:t>
      </w:r>
      <w:proofErr w:type="spellEnd"/>
      <w:r w:rsidR="001D037C" w:rsidRPr="00570D33">
        <w:rPr>
          <w:color w:val="000000"/>
          <w:shd w:val="clear" w:color="auto" w:fill="FFFFFF"/>
        </w:rPr>
        <w:t xml:space="preserve"> </w:t>
      </w:r>
      <w:r w:rsidR="001D037C" w:rsidRPr="00570D33">
        <w:t>Huang, MD</w:t>
      </w:r>
      <w:r w:rsidR="00DD419D">
        <w:t>;</w:t>
      </w:r>
      <w:r w:rsidR="001D037C">
        <w:t xml:space="preserve"> </w:t>
      </w:r>
      <w:r w:rsidR="00736278">
        <w:t xml:space="preserve">Kenji O. </w:t>
      </w:r>
      <w:proofErr w:type="spellStart"/>
      <w:r w:rsidR="00736278">
        <w:t>Mfuh</w:t>
      </w:r>
      <w:proofErr w:type="spellEnd"/>
      <w:r w:rsidR="00736278">
        <w:t>, PhD</w:t>
      </w:r>
      <w:r w:rsidR="00DD419D">
        <w:t>;</w:t>
      </w:r>
      <w:r w:rsidR="00736278">
        <w:t xml:space="preserve"> Mamdouh </w:t>
      </w:r>
      <w:proofErr w:type="spellStart"/>
      <w:r w:rsidR="00736278">
        <w:t>Sibai</w:t>
      </w:r>
      <w:proofErr w:type="spellEnd"/>
      <w:r w:rsidR="00736278">
        <w:t>, BS</w:t>
      </w:r>
      <w:r w:rsidR="00DD419D">
        <w:t>;</w:t>
      </w:r>
      <w:r w:rsidR="00736278">
        <w:t xml:space="preserve"> </w:t>
      </w:r>
      <w:r w:rsidR="001D037C" w:rsidRPr="00570D33">
        <w:t>James Zehnder, MD</w:t>
      </w:r>
      <w:r w:rsidR="00DD419D">
        <w:t>;</w:t>
      </w:r>
      <w:r w:rsidR="001D037C" w:rsidRPr="00570D33">
        <w:t xml:space="preserve"> </w:t>
      </w:r>
      <w:r w:rsidR="00FC28CB">
        <w:t xml:space="preserve">Brendan Hickey, </w:t>
      </w:r>
      <w:proofErr w:type="spellStart"/>
      <w:r w:rsidR="00FC28CB">
        <w:t>ScM</w:t>
      </w:r>
      <w:proofErr w:type="spellEnd"/>
      <w:r w:rsidR="00DD419D">
        <w:t>;</w:t>
      </w:r>
      <w:r w:rsidR="00FC28CB">
        <w:t xml:space="preserve"> </w:t>
      </w:r>
      <w:r w:rsidR="001D037C">
        <w:t xml:space="preserve">Nasa </w:t>
      </w:r>
      <w:r w:rsidR="001D037C" w:rsidRPr="001D037C">
        <w:t>Sinnott-Armstrong</w:t>
      </w:r>
      <w:r w:rsidR="001D037C">
        <w:t xml:space="preserve">, </w:t>
      </w:r>
      <w:proofErr w:type="spellStart"/>
      <w:r w:rsidR="001D037C">
        <w:t>ScM</w:t>
      </w:r>
      <w:proofErr w:type="spellEnd"/>
      <w:r w:rsidR="00DD419D">
        <w:t>;</w:t>
      </w:r>
      <w:r w:rsidR="001D037C">
        <w:t xml:space="preserve"> </w:t>
      </w:r>
      <w:r w:rsidR="001D037C" w:rsidRPr="00570D33">
        <w:t>Benjamin A. Pinsky, MD</w:t>
      </w:r>
      <w:r w:rsidR="001D037C">
        <w:t>, PhD</w:t>
      </w:r>
    </w:p>
    <w:p w14:paraId="7A692D07" w14:textId="0C9E3E44" w:rsidR="007E2793" w:rsidRDefault="7970C872" w:rsidP="00814D6B">
      <w:pPr>
        <w:spacing w:line="480" w:lineRule="auto"/>
        <w:jc w:val="both"/>
      </w:pPr>
      <w:r w:rsidRPr="7970C872">
        <w:rPr>
          <w:b/>
          <w:bCs/>
        </w:rPr>
        <w:t xml:space="preserve">Author Affiliations: </w:t>
      </w:r>
      <w:r>
        <w:t xml:space="preserve">Stanford University School of Medicine, Stanford, CA, USA (H. Wang, C.A. Hogan, </w:t>
      </w:r>
      <w:r w:rsidR="00A17E36">
        <w:t xml:space="preserve">J.A. Miller, </w:t>
      </w:r>
      <w:r>
        <w:t xml:space="preserve">M.K. Sahoo, C. Huang, J. Zehnder, N. Sinnott-Armstrong, B.A. Pinsky); Stanford University, Stanford (N. Sinnott-Armstrong); Stanford Health Care, Stanford (K.O. </w:t>
      </w:r>
      <w:proofErr w:type="spellStart"/>
      <w:r>
        <w:t>Mfuh</w:t>
      </w:r>
      <w:proofErr w:type="spellEnd"/>
      <w:r>
        <w:t xml:space="preserve">, M. </w:t>
      </w:r>
      <w:proofErr w:type="spellStart"/>
      <w:r>
        <w:t>Sibai</w:t>
      </w:r>
      <w:proofErr w:type="spellEnd"/>
      <w:r>
        <w:t>, B.A. Pinsky)</w:t>
      </w:r>
    </w:p>
    <w:p w14:paraId="1754D5A0" w14:textId="4728AB2A" w:rsidR="001D037C" w:rsidRPr="00570D33" w:rsidRDefault="001D037C" w:rsidP="00814D6B">
      <w:pPr>
        <w:spacing w:line="480" w:lineRule="auto"/>
        <w:jc w:val="both"/>
        <w:rPr>
          <w:b/>
        </w:rPr>
      </w:pPr>
      <w:r w:rsidRPr="00570D33">
        <w:rPr>
          <w:b/>
        </w:rPr>
        <w:t xml:space="preserve">Corresponding </w:t>
      </w:r>
      <w:r w:rsidR="00F765D1">
        <w:rPr>
          <w:b/>
        </w:rPr>
        <w:t>A</w:t>
      </w:r>
      <w:r w:rsidRPr="00570D33">
        <w:rPr>
          <w:b/>
        </w:rPr>
        <w:t>uthor:</w:t>
      </w:r>
    </w:p>
    <w:p w14:paraId="2C942AB3" w14:textId="77777777" w:rsidR="001D037C" w:rsidRPr="00570D33" w:rsidRDefault="001D037C" w:rsidP="00814D6B">
      <w:pPr>
        <w:spacing w:line="480" w:lineRule="auto"/>
        <w:jc w:val="both"/>
        <w:rPr>
          <w:bCs/>
        </w:rPr>
      </w:pPr>
      <w:r w:rsidRPr="00570D33">
        <w:rPr>
          <w:bCs/>
        </w:rPr>
        <w:t>Benjamin A. Pinsky</w:t>
      </w:r>
      <w:r>
        <w:rPr>
          <w:bCs/>
        </w:rPr>
        <w:t>, MD, PhD</w:t>
      </w:r>
    </w:p>
    <w:p w14:paraId="4B36EB1F" w14:textId="77777777" w:rsidR="001D037C" w:rsidRPr="00570D33" w:rsidRDefault="001D037C" w:rsidP="00814D6B">
      <w:pPr>
        <w:spacing w:line="480" w:lineRule="auto"/>
        <w:jc w:val="both"/>
        <w:rPr>
          <w:bCs/>
        </w:rPr>
      </w:pPr>
      <w:r w:rsidRPr="00570D33">
        <w:rPr>
          <w:bCs/>
        </w:rPr>
        <w:t>3375 Hillview, Room 2913</w:t>
      </w:r>
    </w:p>
    <w:p w14:paraId="14E6D2CA" w14:textId="77777777" w:rsidR="001D037C" w:rsidRPr="00570D33" w:rsidRDefault="001D037C" w:rsidP="00814D6B">
      <w:pPr>
        <w:spacing w:line="480" w:lineRule="auto"/>
        <w:jc w:val="both"/>
        <w:rPr>
          <w:bCs/>
        </w:rPr>
      </w:pPr>
      <w:r w:rsidRPr="00570D33">
        <w:rPr>
          <w:bCs/>
        </w:rPr>
        <w:t>Palo Alto, CA 94304</w:t>
      </w:r>
    </w:p>
    <w:p w14:paraId="763150A4" w14:textId="77777777" w:rsidR="001D037C" w:rsidRPr="00570D33" w:rsidRDefault="001D037C" w:rsidP="00814D6B">
      <w:pPr>
        <w:spacing w:line="480" w:lineRule="auto"/>
        <w:jc w:val="both"/>
        <w:rPr>
          <w:bCs/>
        </w:rPr>
      </w:pPr>
      <w:r w:rsidRPr="00570D33">
        <w:rPr>
          <w:bCs/>
        </w:rPr>
        <w:t>Phone (650) 498-5575</w:t>
      </w:r>
    </w:p>
    <w:p w14:paraId="5CEFABCC" w14:textId="77777777" w:rsidR="001D037C" w:rsidRPr="00570D33" w:rsidRDefault="001D037C" w:rsidP="00814D6B">
      <w:pPr>
        <w:spacing w:line="480" w:lineRule="auto"/>
        <w:jc w:val="both"/>
        <w:rPr>
          <w:bCs/>
        </w:rPr>
      </w:pPr>
      <w:r w:rsidRPr="00570D33">
        <w:rPr>
          <w:bCs/>
        </w:rPr>
        <w:t>Fax (650) 736-1964</w:t>
      </w:r>
    </w:p>
    <w:p w14:paraId="34DF58A1" w14:textId="1C39D4C6" w:rsidR="007E2793" w:rsidRDefault="00F929FF" w:rsidP="00814D6B">
      <w:pPr>
        <w:spacing w:line="480" w:lineRule="auto"/>
      </w:pPr>
      <w:hyperlink r:id="rId8" w:history="1">
        <w:r w:rsidR="007E2793" w:rsidRPr="001B0953">
          <w:rPr>
            <w:rStyle w:val="Hyperlink"/>
          </w:rPr>
          <w:t>bpinsky@stanford.edu</w:t>
        </w:r>
      </w:hyperlink>
      <w:r w:rsidR="001D037C" w:rsidRPr="00570D33">
        <w:t xml:space="preserve"> </w:t>
      </w:r>
    </w:p>
    <w:p w14:paraId="3D43646E" w14:textId="70D35001" w:rsidR="00CD1B6A" w:rsidRDefault="00F765D1" w:rsidP="00814D6B">
      <w:pPr>
        <w:spacing w:line="480" w:lineRule="auto"/>
      </w:pPr>
      <w:r w:rsidRPr="00F765D1">
        <w:rPr>
          <w:b/>
        </w:rPr>
        <w:t>Abstract Word Count:</w:t>
      </w:r>
      <w:r>
        <w:t xml:space="preserve"> </w:t>
      </w:r>
      <w:r w:rsidR="00CD1B6A">
        <w:t>147</w:t>
      </w:r>
    </w:p>
    <w:p w14:paraId="215752BB" w14:textId="24890D22" w:rsidR="00CD1B6A" w:rsidRDefault="00F765D1" w:rsidP="00814D6B">
      <w:pPr>
        <w:spacing w:line="480" w:lineRule="auto"/>
        <w:rPr>
          <w:b/>
          <w:bCs/>
        </w:rPr>
      </w:pPr>
      <w:r w:rsidRPr="00F765D1">
        <w:rPr>
          <w:b/>
        </w:rPr>
        <w:t>Text Word Count:</w:t>
      </w:r>
      <w:r>
        <w:t xml:space="preserve"> </w:t>
      </w:r>
      <w:r w:rsidR="00780683">
        <w:t>3495</w:t>
      </w:r>
    </w:p>
    <w:p w14:paraId="0AA2F56A" w14:textId="521189A2" w:rsidR="00074C87" w:rsidRPr="00F765D1" w:rsidRDefault="00074C87" w:rsidP="00814D6B">
      <w:pPr>
        <w:spacing w:line="480" w:lineRule="auto"/>
      </w:pPr>
      <w:r w:rsidRPr="006F1059">
        <w:rPr>
          <w:b/>
          <w:bCs/>
        </w:rPr>
        <w:lastRenderedPageBreak/>
        <w:t>Abstract</w:t>
      </w:r>
    </w:p>
    <w:p w14:paraId="340BB9E6" w14:textId="2CC5DCBD" w:rsidR="00337F8A" w:rsidRDefault="00181C18" w:rsidP="00707A3A">
      <w:pPr>
        <w:spacing w:line="480" w:lineRule="auto"/>
        <w:ind w:firstLine="720"/>
        <w:rPr>
          <w:b/>
          <w:bCs/>
        </w:rPr>
      </w:pPr>
      <w:r>
        <w:rPr>
          <w:bCs/>
        </w:rPr>
        <w:t>Pooled nucleic acid amplification testing</w:t>
      </w:r>
      <w:r w:rsidR="005B5EA0">
        <w:rPr>
          <w:bCs/>
        </w:rPr>
        <w:t xml:space="preserve"> (NAAT)</w:t>
      </w:r>
      <w:r>
        <w:rPr>
          <w:bCs/>
        </w:rPr>
        <w:t xml:space="preserve"> for </w:t>
      </w:r>
      <w:r w:rsidR="0087323D">
        <w:rPr>
          <w:bCs/>
        </w:rPr>
        <w:t>severe acute respiratory syndrome coronavirus 2 (</w:t>
      </w:r>
      <w:r w:rsidR="005B5EA0">
        <w:rPr>
          <w:bCs/>
        </w:rPr>
        <w:t>SARS-CoV-2</w:t>
      </w:r>
      <w:r w:rsidR="0087323D">
        <w:rPr>
          <w:bCs/>
        </w:rPr>
        <w:t>)</w:t>
      </w:r>
      <w:r w:rsidR="005B5EA0">
        <w:rPr>
          <w:bCs/>
        </w:rPr>
        <w:t xml:space="preserve"> has the potential to increase availability of testing at decreased cost. However, </w:t>
      </w:r>
      <w:commentRangeStart w:id="0"/>
      <w:r w:rsidR="005B5EA0">
        <w:rPr>
          <w:bCs/>
        </w:rPr>
        <w:t xml:space="preserve">the effect of dilution on </w:t>
      </w:r>
      <w:r w:rsidR="002931C6">
        <w:rPr>
          <w:bCs/>
        </w:rPr>
        <w:t xml:space="preserve">analytical </w:t>
      </w:r>
      <w:r w:rsidR="005B5EA0">
        <w:rPr>
          <w:bCs/>
        </w:rPr>
        <w:t xml:space="preserve">sensitivity through sample pooling has not been well characterized. We tested </w:t>
      </w:r>
      <w:r w:rsidR="00B75E60">
        <w:rPr>
          <w:bCs/>
        </w:rPr>
        <w:t>1</w:t>
      </w:r>
      <w:r w:rsidR="00790C81">
        <w:rPr>
          <w:bCs/>
        </w:rPr>
        <w:t>,</w:t>
      </w:r>
      <w:r w:rsidR="00B75E60">
        <w:rPr>
          <w:bCs/>
        </w:rPr>
        <w:t xml:space="preserve">648 </w:t>
      </w:r>
      <w:r w:rsidR="00CE3A17">
        <w:rPr>
          <w:bCs/>
        </w:rPr>
        <w:t>prospectively-pooled specimens using</w:t>
      </w:r>
      <w:r w:rsidR="005B5EA0">
        <w:rPr>
          <w:bCs/>
        </w:rPr>
        <w:t xml:space="preserve"> three different NAATs for SARS-CoV-2</w:t>
      </w:r>
      <w:commentRangeEnd w:id="0"/>
      <w:r w:rsidR="00AF25D7">
        <w:rPr>
          <w:rStyle w:val="CommentReference"/>
        </w:rPr>
        <w:commentReference w:id="0"/>
      </w:r>
      <w:r w:rsidR="005B5EA0">
        <w:rPr>
          <w:bCs/>
        </w:rPr>
        <w:t>: a lab</w:t>
      </w:r>
      <w:r w:rsidR="00990E7D">
        <w:rPr>
          <w:bCs/>
        </w:rPr>
        <w:t>oratory</w:t>
      </w:r>
      <w:r w:rsidR="005B5EA0">
        <w:rPr>
          <w:bCs/>
        </w:rPr>
        <w:t xml:space="preserve">-developed </w:t>
      </w:r>
      <w:r w:rsidR="00990E7D">
        <w:rPr>
          <w:bCs/>
        </w:rPr>
        <w:t xml:space="preserve">real-time </w:t>
      </w:r>
      <w:r w:rsidR="005B5EA0">
        <w:rPr>
          <w:bCs/>
        </w:rPr>
        <w:t xml:space="preserve">reverse transcription </w:t>
      </w:r>
      <w:r w:rsidR="000D6F57">
        <w:rPr>
          <w:bCs/>
        </w:rPr>
        <w:t>PCR</w:t>
      </w:r>
      <w:r w:rsidR="005B5EA0">
        <w:rPr>
          <w:bCs/>
        </w:rPr>
        <w:t xml:space="preserve"> (</w:t>
      </w:r>
      <w:proofErr w:type="spellStart"/>
      <w:r w:rsidR="005B5EA0">
        <w:rPr>
          <w:bCs/>
        </w:rPr>
        <w:t>rRT</w:t>
      </w:r>
      <w:proofErr w:type="spellEnd"/>
      <w:r w:rsidR="005B5EA0">
        <w:rPr>
          <w:bCs/>
        </w:rPr>
        <w:t>-PCR)</w:t>
      </w:r>
      <w:r w:rsidR="009D41AA">
        <w:rPr>
          <w:bCs/>
        </w:rPr>
        <w:t xml:space="preserve"> assay targeting the </w:t>
      </w:r>
      <w:r w:rsidR="009D41AA">
        <w:rPr>
          <w:bCs/>
          <w:i/>
        </w:rPr>
        <w:t>E</w:t>
      </w:r>
      <w:r w:rsidR="009D41AA">
        <w:rPr>
          <w:bCs/>
        </w:rPr>
        <w:t xml:space="preserve"> gene</w:t>
      </w:r>
      <w:r w:rsidR="005B5EA0">
        <w:rPr>
          <w:bCs/>
        </w:rPr>
        <w:t xml:space="preserve">, and </w:t>
      </w:r>
      <w:r w:rsidR="002D47D9">
        <w:rPr>
          <w:bCs/>
        </w:rPr>
        <w:t>two commercially-</w:t>
      </w:r>
      <w:r w:rsidR="005B5EA0">
        <w:rPr>
          <w:bCs/>
        </w:rPr>
        <w:t xml:space="preserve">available </w:t>
      </w:r>
      <w:r w:rsidR="005D1F56">
        <w:rPr>
          <w:bCs/>
        </w:rPr>
        <w:t>Panther System assays</w:t>
      </w:r>
      <w:r w:rsidR="009D41AA">
        <w:rPr>
          <w:bCs/>
        </w:rPr>
        <w:t xml:space="preserve"> targeting ORF1ab</w:t>
      </w:r>
      <w:r w:rsidR="002D47D9">
        <w:rPr>
          <w:bCs/>
        </w:rPr>
        <w:t xml:space="preserve">. </w:t>
      </w:r>
      <w:commentRangeStart w:id="1"/>
      <w:r w:rsidR="002D47D9">
        <w:rPr>
          <w:bCs/>
        </w:rPr>
        <w:t xml:space="preserve">Positive percent agreement (PPA) of pooled versus individual testing ranged from </w:t>
      </w:r>
      <w:r w:rsidR="002D47D9">
        <w:t>7</w:t>
      </w:r>
      <w:r w:rsidR="00DF1539">
        <w:t>1</w:t>
      </w:r>
      <w:r w:rsidR="002D47D9">
        <w:t>.</w:t>
      </w:r>
      <w:r w:rsidR="00DF1539">
        <w:t>7</w:t>
      </w:r>
      <w:r w:rsidR="002D47D9">
        <w:t>%</w:t>
      </w:r>
      <w:r w:rsidR="00BC0410">
        <w:t>-</w:t>
      </w:r>
      <w:r w:rsidR="002D47D9">
        <w:t>8</w:t>
      </w:r>
      <w:r w:rsidR="00DF1539">
        <w:t>2</w:t>
      </w:r>
      <w:r w:rsidR="002D47D9">
        <w:t>.</w:t>
      </w:r>
      <w:r w:rsidR="00DF1539">
        <w:t>6</w:t>
      </w:r>
      <w:r w:rsidR="002D47D9">
        <w:t>%</w:t>
      </w:r>
      <w:r w:rsidR="005D1F56">
        <w:t xml:space="preserve"> for pools of </w:t>
      </w:r>
      <w:r w:rsidR="001214DA">
        <w:t>8</w:t>
      </w:r>
      <w:r w:rsidR="005D1F56">
        <w:t xml:space="preserve">, and from 82.9%-100.0% for pools of </w:t>
      </w:r>
      <w:r w:rsidR="001214DA">
        <w:t>4</w:t>
      </w:r>
      <w:r w:rsidR="002D47D9">
        <w:t>.</w:t>
      </w:r>
      <w:commentRangeEnd w:id="1"/>
      <w:r w:rsidR="00263D80">
        <w:rPr>
          <w:rStyle w:val="CommentReference"/>
        </w:rPr>
        <w:commentReference w:id="1"/>
      </w:r>
      <w:r w:rsidR="002D47D9">
        <w:t xml:space="preserve"> </w:t>
      </w:r>
      <w:r w:rsidR="00990E7D">
        <w:t>W</w:t>
      </w:r>
      <w:r w:rsidR="002D47D9">
        <w:t>e developed a</w:t>
      </w:r>
      <w:r w:rsidR="00790C81">
        <w:t xml:space="preserve">n </w:t>
      </w:r>
      <w:commentRangeStart w:id="2"/>
      <w:r w:rsidR="00790C81">
        <w:t>independent</w:t>
      </w:r>
      <w:r w:rsidR="002D47D9">
        <w:t xml:space="preserve"> stochastic simulation model</w:t>
      </w:r>
      <w:commentRangeEnd w:id="2"/>
      <w:r w:rsidR="000B6A23">
        <w:rPr>
          <w:rStyle w:val="CommentReference"/>
        </w:rPr>
        <w:commentReference w:id="2"/>
      </w:r>
      <w:r w:rsidR="002D47D9">
        <w:t xml:space="preserve"> to estimate the effects of dilution on PPA and efficiency of a two-stage pooled </w:t>
      </w:r>
      <w:proofErr w:type="spellStart"/>
      <w:r w:rsidR="002D47D9">
        <w:t>rRT</w:t>
      </w:r>
      <w:proofErr w:type="spellEnd"/>
      <w:r w:rsidR="002D47D9">
        <w:t>-PCR testing algorithm</w:t>
      </w:r>
      <w:r w:rsidR="005D1F56">
        <w:t xml:space="preserve">, and validated it using these </w:t>
      </w:r>
      <w:r w:rsidR="00861E33">
        <w:t xml:space="preserve">empiric </w:t>
      </w:r>
      <w:r w:rsidR="005D1F56">
        <w:t>data</w:t>
      </w:r>
      <w:r w:rsidR="002D47D9">
        <w:t xml:space="preserve">. </w:t>
      </w:r>
      <w:r w:rsidR="009D41AA">
        <w:t xml:space="preserve">Our model demonstrated that </w:t>
      </w:r>
      <w:r w:rsidR="002D47D9">
        <w:t xml:space="preserve">PPA was dependent on </w:t>
      </w:r>
      <w:r w:rsidR="00707A3A">
        <w:t xml:space="preserve">the </w:t>
      </w:r>
      <w:r w:rsidR="002D47D9">
        <w:t xml:space="preserve">proportion of </w:t>
      </w:r>
      <w:r w:rsidR="00707A3A">
        <w:t xml:space="preserve">positive </w:t>
      </w:r>
      <w:r w:rsidR="002D47D9">
        <w:t>test</w:t>
      </w:r>
      <w:r w:rsidR="00707A3A">
        <w:t>s</w:t>
      </w:r>
      <w:r w:rsidR="002D47D9">
        <w:t>, cycle threshold distribution</w:t>
      </w:r>
      <w:r w:rsidR="00337F8A">
        <w:t>, and assay limit of detection</w:t>
      </w:r>
      <w:r w:rsidR="00707A3A">
        <w:rPr>
          <w:b/>
          <w:bCs/>
        </w:rPr>
        <w:t>.</w:t>
      </w:r>
      <w:r w:rsidR="00337F8A">
        <w:rPr>
          <w:b/>
          <w:bCs/>
        </w:rPr>
        <w:br w:type="page"/>
      </w:r>
    </w:p>
    <w:p w14:paraId="7199897A" w14:textId="4A016EFD" w:rsidR="001A4045" w:rsidRPr="006F1059" w:rsidRDefault="001A4045" w:rsidP="00814D6B">
      <w:pPr>
        <w:spacing w:line="480" w:lineRule="auto"/>
        <w:rPr>
          <w:b/>
          <w:bCs/>
        </w:rPr>
      </w:pPr>
      <w:r w:rsidRPr="006F1059">
        <w:rPr>
          <w:b/>
          <w:bCs/>
        </w:rPr>
        <w:lastRenderedPageBreak/>
        <w:t>Introduction</w:t>
      </w:r>
    </w:p>
    <w:p w14:paraId="321957EE" w14:textId="181CBA7A" w:rsidR="001F4B2C" w:rsidRPr="006F1059" w:rsidRDefault="00090BC7" w:rsidP="00814D6B">
      <w:pPr>
        <w:spacing w:line="480" w:lineRule="auto"/>
        <w:ind w:firstLine="720"/>
        <w:rPr>
          <w:bCs/>
        </w:rPr>
      </w:pPr>
      <w:r w:rsidRPr="006F1059">
        <w:rPr>
          <w:bCs/>
        </w:rPr>
        <w:t xml:space="preserve">The ability of clinical laboratories to meet the demand for severe acute respiratory syndrome coronavirus 2 (SARS-CoV-2) testing </w:t>
      </w:r>
      <w:r w:rsidR="00085010">
        <w:rPr>
          <w:bCs/>
        </w:rPr>
        <w:t>is</w:t>
      </w:r>
      <w:r w:rsidR="00922DC9" w:rsidRPr="006F1059">
        <w:rPr>
          <w:bCs/>
        </w:rPr>
        <w:t xml:space="preserve"> critical </w:t>
      </w:r>
      <w:r w:rsidR="00085010">
        <w:rPr>
          <w:bCs/>
        </w:rPr>
        <w:t xml:space="preserve">to reduce </w:t>
      </w:r>
      <w:r w:rsidR="00C851EB" w:rsidRPr="006F1059">
        <w:rPr>
          <w:bCs/>
        </w:rPr>
        <w:t>coronavirus disease 2019 (COVID-19)-related morbidity, mortality, and economic impact</w:t>
      </w:r>
      <w:r w:rsidR="00357390" w:rsidRPr="006F1059">
        <w:rPr>
          <w:bCs/>
        </w:rPr>
        <w:t xml:space="preserve">. Pooled testing </w:t>
      </w:r>
      <w:r w:rsidR="009B7AF4" w:rsidRPr="006F1059">
        <w:rPr>
          <w:bCs/>
        </w:rPr>
        <w:t>has the potential to decre</w:t>
      </w:r>
      <w:r w:rsidR="00C353B4" w:rsidRPr="006F1059">
        <w:rPr>
          <w:bCs/>
        </w:rPr>
        <w:t>ase the resource</w:t>
      </w:r>
      <w:r w:rsidR="00357390" w:rsidRPr="006F1059">
        <w:rPr>
          <w:bCs/>
        </w:rPr>
        <w:t xml:space="preserve">s required for population-level </w:t>
      </w:r>
      <w:r w:rsidR="007F215F" w:rsidRPr="006F1059">
        <w:rPr>
          <w:bCs/>
        </w:rPr>
        <w:t>screening</w:t>
      </w:r>
      <w:r w:rsidR="002F122C" w:rsidRPr="006F1059">
        <w:rPr>
          <w:bCs/>
        </w:rPr>
        <w:t>, and can provide valuable data to inform public health policies</w:t>
      </w:r>
      <w:r w:rsidR="007E2793">
        <w:rPr>
          <w:bCs/>
        </w:rPr>
        <w:t xml:space="preserve"> </w:t>
      </w:r>
      <w:r w:rsidR="007E2793">
        <w:rPr>
          <w:bCs/>
        </w:rPr>
        <w:fldChar w:fldCharType="begin" w:fldLock="1"/>
      </w:r>
      <w:r w:rsidR="005927E8">
        <w:rPr>
          <w:bCs/>
        </w:rPr>
        <w:instrText>ADDIN CSL_CITATION {"citationItems":[{"id":"ITEM-1","itemData":{"DOI":"10.1001/jama.2020.5445","PMID":"32250394","author":[{"dropping-particle":"","family":"Hogan","given":"CA","non-dropping-particle":"","parse-names":false,"suffix":""},{"dropping-particle":"","family":"Sahoo","given":"MK","non-dropping-particle":"","parse-names":false,"suffix":""},{"dropping-particle":"","family":"Pinsky","given":"BA","non-dropping-particle":"","parse-names":false,"suffix":""}],"container-title":"JAMA","id":"ITEM-1","issue":"19","issued":{"date-parts":[["2020"]]},"page":"1967-9","title":"Sample Pooling as a Strategy to Detect Community Transmission of SARS-CoV-2","type":"article-journal","volume":"323"},"uris":["http://www.mendeley.com/documents/?uuid=8332f2c8-641d-4299-8996-537ba2179235"]},{"id":"ITEM-2","itemData":{"DOI":"10.1002/jmv.26005","ISSN":"10969071","PMID":"32401343","abstract":"In the age of a pandemic, such as the ongoing one caused by SARS-CoV-2, the world faces a limited supply of tests, personal protective equipment, and factories and supply chains are struggling to meet the growing demands. This study aimed to evaluate the efficacy of specimen pooling for testing of SARS-CoV-2 virus, to determine whether costs and resource savings could be achieved without impacting the sensitivity of the testing. Ten previously tested nasopharyngeal and throat swab specimens by real-time PCR, were pooled for testing, containing either one or two known positive specimens of varying viral concentrations. Specimen pooling did not affect the sensitivity of detecting SARS-CoV-2 when the PCR cycle threshold (Ct) of original specimen was lower than 35. In specimens with low viral load (Ct&gt;35), 2 out of 15 pools (13.3%) were false negative. Pooling specimens to test for COVID-19 infection in low prevalence (≤1%) areas or in low risk populations can dramatically decrease the resource burden on laboratory operations by up to 80%. This paves the way for large-scale population screening, allowing for assured policy decisions by governmental bodies to ease lockdown restrictions in areas with a low incidence of infection, or with lower risk populations. This article is protected by copyright. All rights reserved.","author":[{"dropping-particle":"","family":"Wacharapluesadee","given":"Supaporn","non-dropping-particle":"","parse-names":false,"suffix":""},{"dropping-particle":"","family":"Kaewpom","given":"Thongchai","non-dropping-particle":"","parse-names":false,"suffix":""},{"dropping-particle":"","family":"Ampoot","given":"Weenassarin","non-dropping-particle":"","parse-names":false,"suffix":""},{"dropping-particle":"","family":"Ghai","given":"Siriporn","non-dropping-particle":"","parse-names":false,"suffix":""},{"dropping-particle":"","family":"Khamhang","given":"Worrawat","non-dropping-particle":"","parse-names":false,"suffix":""},{"dropping-particle":"","family":"Worachotsueptrakun","given":"Kanthita","non-dropping-particle":"","parse-names":false,"suffix":""},{"dropping-particle":"","family":"Wanthong","given":"Phanni","non-dropping-particle":"","parse-names":false,"suffix":""},{"dropping-particle":"","family":"Nopvichai","given":"Chatchai","non-dropping-particle":"","parse-names":false,"suffix":""},{"dropping-particle":"","family":"Supharatpariyakorn","given":"Thirawat","non-dropping-particle":"","parse-names":false,"suffix":""},{"dropping-particle":"","family":"Putcharoen","given":"Opass","non-dropping-particle":"","parse-names":false,"suffix":""},{"dropping-particle":"","family":"Paitoonpong","given":"Leilani","non-dropping-particle":"","parse-names":false,"suffix":""},{"dropping-particle":"","family":"Suwanpimolkul","given":"Gompol","non-dropping-particle":"","parse-names":false,"suffix":""},{"dropping-particle":"","family":"Jantarabenjakul","given":"Watsamon","non-dropping-particle":"","parse-names":false,"suffix":""},{"dropping-particle":"","family":"Hemachudha","given":"Pasin","non-dropping-particle":"","parse-names":false,"suffix":""},{"dropping-particle":"","family":"Krichphiphat","given":"Artit","non-dropping-particle":"","parse-names":false,"suffix":""},{"dropping-particle":"","family":"Buathong","given":"Rome","non-dropping-particle":"","parse-names":false,"suffix":""},{"dropping-particle":"","family":"Plipat","given":"Tanarak","non-dropping-particle":"","parse-names":false,"suffix":""},{"dropping-particle":"","family":"Hemachudha","given":"Thiravat","non-dropping-particle":"","parse-names":false,"suffix":""}],"container-title":"Journal of Medical Virology.. 2020 Jul 1 [date cited].. Epub 2020 May 13.","id":"ITEM-2","issued":{"date-parts":[["0"]]},"title":"Evaluating the efficiency of specimen pooling for PCR-based detection of COVID-19","type":"article-journal"},"uris":["http://www.mendeley.com/documents/?uuid=6178a88c-7b2e-43a5-a136-29edadcfdb4c"]}],"mendeley":{"formattedCitation":"(&lt;i&gt;1&lt;/i&gt;,&lt;i&gt;2&lt;/i&gt;)","plainTextFormattedCitation":"(1,2)","previouslyFormattedCitation":"(&lt;i&gt;1&lt;/i&gt;,&lt;i&gt;2&lt;/i&gt;)"},"properties":{"noteIndex":0},"schema":"https://github.com/citation-style-language/schema/raw/master/csl-citation.json"}</w:instrText>
      </w:r>
      <w:r w:rsidR="007E2793">
        <w:rPr>
          <w:bCs/>
        </w:rPr>
        <w:fldChar w:fldCharType="separate"/>
      </w:r>
      <w:r w:rsidR="007C46D3" w:rsidRPr="007C46D3">
        <w:rPr>
          <w:bCs/>
          <w:noProof/>
        </w:rPr>
        <w:t>(</w:t>
      </w:r>
      <w:r w:rsidR="007C46D3" w:rsidRPr="007C46D3">
        <w:rPr>
          <w:bCs/>
          <w:i/>
          <w:noProof/>
        </w:rPr>
        <w:t>1</w:t>
      </w:r>
      <w:r w:rsidR="007C46D3" w:rsidRPr="007C46D3">
        <w:rPr>
          <w:bCs/>
          <w:noProof/>
        </w:rPr>
        <w:t>,</w:t>
      </w:r>
      <w:r w:rsidR="007C46D3" w:rsidRPr="007C46D3">
        <w:rPr>
          <w:bCs/>
          <w:i/>
          <w:noProof/>
        </w:rPr>
        <w:t>2</w:t>
      </w:r>
      <w:r w:rsidR="007C46D3" w:rsidRPr="007C46D3">
        <w:rPr>
          <w:bCs/>
          <w:noProof/>
        </w:rPr>
        <w:t>)</w:t>
      </w:r>
      <w:r w:rsidR="007E2793">
        <w:rPr>
          <w:bCs/>
        </w:rPr>
        <w:fldChar w:fldCharType="end"/>
      </w:r>
      <w:r w:rsidR="002F122C" w:rsidRPr="006F1059">
        <w:rPr>
          <w:bCs/>
        </w:rPr>
        <w:t xml:space="preserve">. </w:t>
      </w:r>
      <w:r w:rsidR="000C3100" w:rsidRPr="006F1059">
        <w:rPr>
          <w:bCs/>
        </w:rPr>
        <w:t xml:space="preserve">Several prior experimental and modeling studies have demonstrated the feasibility of pooled SARS-CoV-2 </w:t>
      </w:r>
      <w:r w:rsidR="001F4B2C" w:rsidRPr="006F1059">
        <w:rPr>
          <w:bCs/>
        </w:rPr>
        <w:t xml:space="preserve">nucleic acid amplification </w:t>
      </w:r>
      <w:r w:rsidR="000C3100" w:rsidRPr="006F1059">
        <w:rPr>
          <w:bCs/>
        </w:rPr>
        <w:t>testing</w:t>
      </w:r>
      <w:r w:rsidR="001F4B2C" w:rsidRPr="006F1059">
        <w:rPr>
          <w:bCs/>
        </w:rPr>
        <w:t xml:space="preserve"> (NAAT)</w:t>
      </w:r>
      <w:r w:rsidR="000C3100" w:rsidRPr="006F1059">
        <w:rPr>
          <w:bCs/>
        </w:rPr>
        <w:t>, in pools of up to 32 individual samples</w:t>
      </w:r>
      <w:r w:rsidR="002F122C" w:rsidRPr="006F1059">
        <w:rPr>
          <w:bCs/>
        </w:rPr>
        <w:t xml:space="preserve"> </w:t>
      </w:r>
      <w:r w:rsidR="002F122C" w:rsidRPr="006F1059">
        <w:rPr>
          <w:bCs/>
        </w:rPr>
        <w:fldChar w:fldCharType="begin" w:fldLock="1"/>
      </w:r>
      <w:r w:rsidR="00A76304">
        <w:rPr>
          <w:bCs/>
        </w:rPr>
        <w:instrText>ADDIN CSL_CITATION {"citationItems":[{"id":"ITEM-1","itemData":{"PMID":"32358960","author":[{"dropping-particle":"","family":"Yelin","given":"Idan","non-dropping-particle":"","parse-names":false,"suffix":""},{"dropping-particle":"","family":"Aharony","given":"Noga","non-dropping-particle":"","parse-names":false,"suffix":""},{"dropping-particle":"","family":"Tamar","given":"Einat Shaer","non-dropping-particle":"","parse-names":false,"suffix":""},{"dropping-particle":"","family":"Argoetti","given":"Amir","non-dropping-particle":"","parse-names":false,"suffix":""},{"dropping-particle":"","family":"Messer","given":"Esther","non-dropping-particle":"","parse-names":false,"suffix":""},{"dropping-particle":"","family":"Berenbaum","given":"Dina","non-dropping-particle":"","parse-names":false,"suffix":""},{"dropping-particle":"","family":"Shafran","given":"Einat","non-dropping-particle":"","parse-names":false,"suffix":""},{"dropping-particle":"","family":"Kuzli","given":"Areen","non-dropping-particle":"","parse-names":false,"suffix":""},{"dropping-particle":"","family":"Gandali","given":"Nagham","non-dropping-particle":"","parse-names":false,"suffix":""},{"dropping-particle":"","family":"Shkedi","given":"Omer","non-dropping-particle":"","parse-names":false,"suffix":""},{"dropping-particle":"","family":"Hashimshony","given":"Tamar","non-dropping-particle":"","parse-names":false,"suffix":""},{"dropping-particle":"","family":"Mandel-Gutfreund","given":"Yael","non-dropping-particle":"","parse-names":false,"suffix":""},{"dropping-particle":"","family":"Halberthal","given":"Michael","non-dropping-particle":"","parse-names":false,"suffix":""},{"dropping-particle":"","family":"Geffen","given":"Yuval","non-dropping-particle":"","parse-names":false,"suffix":""},{"dropping-particle":"","family":"Szwarcwort-Cohen","given":"Moran","non-dropping-particle":"","parse-names":false,"suffix":""},{"dropping-particle":"","family":"Kishon","given":"Roy","non-dropping-particle":"","parse-names":false,"suffix":""}],"container-title":"Clinical Infectious Dis.. 2020 Jul 10 [date cited].. Epub 2020 May 2.","id":"ITEM-1","issued":{"date-parts":[["0"]]},"title":"Evaluation of COVID-19 RT-qPCR test in multi-sample pools","type":"article-journal"},"uris":["http://www.mendeley.com/documents/?uuid=ddc38fd2-5a83-4d0c-8541-be4176341774"]},{"id":"ITEM-2","itemData":{"DOI":"10.1093/ajcp/aqaa064","ISSN":"0002-9173","PMID":"32511649","abstract":"Objectives To establish the optimal parameters for group testing of pooled specimens for the detection of SARS-CoV-2. Methods The most efficient pool size was determined to be 5 specimens using a web-based application. From this analysis, 25 experimental pools were created using 50 microliter from one SARS-CoV-2 positive nasopharyngeal specimen mixed with 4 negative patient specimens (50 microliter each) for a total volume of 250 microliter l. Viral RNA was subsequently extracted from each pool and tested using the CDC SARS-CoV-2 RT-PCR assay. Positive pools were consequently split into individual specimens and tested by extraction and PCR. This method was also tested on an unselected group of 60 nasopharyngeal specimens grouped into 12-pools. Results All 25 pools were positive with Cycle threshold (Ct) values within 0 and 5.03 Ct of the original individual specimens. The analysis of 60 specimens determined that two pools were positive followed by identification of two individual specimens among the 60 tested. This testing was accomplished while using 22 extractions/PCR tests, a savings of 38 reactions. Conclusions When the incidence rate of SARS-CoV-2 infection is 10% or less, group testing will result in the saving of reagents and personnel time with an overall increase in testing capability of at least 69%.","author":[{"dropping-particle":"","family":"Abdalhamid","given":"Baha","non-dropping-particle":"","parse-names":false,"suffix":""},{"dropping-particle":"","family":"Bilder","given":"Christopher R","non-dropping-particle":"","parse-names":false,"suffix":""},{"dropping-particle":"","family":"McCutchen","given":"Emily L","non-dropping-particle":"","parse-names":false,"suffix":""},{"dropping-particle":"","family":"Hinrichs","given":"Steven H","non-dropping-particle":"","parse-names":false,"suffix":""},{"dropping-particle":"","family":"Koepsell","given":"Scott A","non-dropping-particle":"","parse-names":false,"suffix":""},{"dropping-particle":"","family":"Iwen","given":"Peter C","non-dropping-particle":"","parse-names":false,"suffix":""}],"container-title":"American Journal of Clinical Pathology","id":"ITEM-2","issue":"6","issued":{"date-parts":[["2020"]]},"page":"715-718","title":"Assessment of Specimen Pooling to Conserve SARS CoV-2 Testing Resources","type":"article-journal","volume":"153"},"uris":["http://www.mendeley.com/documents/?uuid=e150c347-ae11-4f6f-acff-dbfcd714f6b0"]},{"id":"ITEM-3","itemData":{"DOI":"10.1016/j.cmi.2020.06.009","ISSN":"1469-0691","PMID":"32585353","abstract":"OBJECTIVES Testing for active SARS-CoV-2 infection is a fundamental tool in the public health measures taken to control the COVID-19 pandemic. Due to the overwhelming use of SARS-CoV-2 RT-PCR tests worldwide, availability of test kits has become a major bottleneck, while the need to increase testing throughput only rises. We aim to overcome these challenges by pooling samples together, performing RNA extraction and RT-PCR in pools. METHODS We tested the efficiency and sensitivity of pooling strategies for RNA extraction and RT-PCR detection of SARS-CoV-2. We tested 184 samples both individually and in pools to estimate the effects of pooling. We further implemented Dorfman pooling with a pool size of 8 samples in large-scale clinical tests. RESULTS We demonstrated pooling strategies that increase testing throughput while maintaining high sensitivity. A comparison of 184 samples tested individually and in pools of 8 samples, showed that test results were not significantly affected. Implementing the 8-sample Dorfman pooling to test 26,576 samples from asymptomatic individuals, we identified 31 (0.12%) SARS-CoV-2 positive samples, achieving a 7.3-fold increase in throughput. CONCLUSIONS Pooling approaches for SARS-CoV-2 testing allow a drastic increase in throughput while maintaining clinical sensitivity. We report the successful large-scale pooled screening of asymptomatic populations.","author":[{"dropping-particle":"","family":"Ben-Ami","given":"Roni","non-dropping-particle":"","parse-names":false,"suffix":""},{"dropping-particle":"","family":"Klochendler","given":"Agnes","non-dropping-particle":"","parse-names":false,"suffix":""},{"dropping-particle":"","family":"Seidel","given":"Matan","non-dropping-particle":"","parse-names":false,"suffix":""},{"dropping-particle":"","family":"Sido","given":"Tal","non-dropping-particle":"","parse-names":false,"suffix":""},{"dropping-particle":"","family":"Gurel-Gurevich","given":"Ori","non-dropping-particle":"","parse-names":false,"suffix":""},{"dropping-particle":"","family":"Yassour","given":"Moran","non-dropping-particle":"","parse-names":false,"suffix":""},{"dropping-particle":"","family":"Meshorer","given":"Eran","non-dropping-particle":"","parse-names":false,"suffix":""},{"dropping-particle":"","family":"Benedek","given":"Gil","non-dropping-particle":"","parse-names":false,"suffix":""},{"dropping-particle":"","family":"Fogel","given":"Irit","non-dropping-particle":"","parse-names":false,"suffix":""},{"dropping-particle":"","family":"Oiknine-Djian","given":"Esther","non-dropping-particle":"","parse-names":false,"suffix":""},{"dropping-particle":"","family":"Gertler","given":"Asaf","non-dropping-particle":"","parse-names":false,"suffix":""},{"dropping-particle":"","family":"Rotstein","given":"Zeev","non-dropping-particle":"","parse-names":false,"suffix":""},{"dropping-particle":"","family":"Lavi","given":"Bruno","non-dropping-particle":"","parse-names":false,"suffix":""},{"dropping-particle":"","family":"Dor","given":"Yuval","non-dropping-particle":"","parse-names":false,"suffix":""},{"dropping-particle":"","family":"Wolf","given":"Dana G","non-dropping-particle":"","parse-names":false,"suffix":""},{"dropping-particle":"","family":"Salton","given":"Maayan","non-dropping-particle":"","parse-names":false,"suffix":""},{"dropping-particle":"","family":"Drier","given":"Yotam","non-dropping-particle":"","parse-names":false,"suffix":""},{"dropping-particle":"","family":"Hebrew University-Hadassah COVID-19 diagnosis team","given":"","non-dropping-particle":"","parse-names":false,"suffix":""}],"container-title":"Clinical microbiology and Infect.. 2020 Jul 13 [date cited].. Epub 2020 Jun 8.","id":"ITEM-3","issued":{"date-parts":[["0"]]},"title":"Large-scale implementation of pooled RNA extraction and RT-PCR for SARS-CoV-2 detection.","type":"article-journal"},"uris":["http://www.mendeley.com/documents/?uuid=2017cf29-debc-42f5-97c3-234581c3f4b5"]},{"id":"ITEM-4","itemData":{"PMID":"32388468","author":[{"dropping-particle":"","family":"Eberhardt","given":"J N","non-dropping-particle":"","parse-names":false,"suffix":""},{"dropping-particle":"","family":"Breuckmann","given":"N P","non-dropping-particle":"","parse-names":false,"suffix":""},{"dropping-particle":"","family":"Eberhardt","given":"C S","non-dropping-particle":"","parse-names":false,"suffix":""}],"container-title":"Journal of Clinical Virology","id":"ITEM-4","issue":"104382","issued":{"date-parts":[["2020"]]},"title":"Multi-Stage Group Testing Improves Efficiency of Large-Scale COVID-19 Screening","type":"article-journal","volume":"128"},"uris":["http://www.mendeley.com/documents/?uuid=a9c58d08-e014-448d-a194-d2a155e034c3"]},{"id":"ITEM-5","itemData":{"DOI":"10.1016/S1473-3099(20)30362-5","ISSN":"14744457","author":[{"dropping-particle":"","family":"Lohse","given":"Stefan","non-dropping-particle":"","parse-names":false,"suffix":""},{"dropping-particle":"","family":"Pfuhl","given":"Thorsten","non-dropping-particle":"","parse-names":false,"suffix":""},{"dropping-particle":"","family":"Berkó-Göttel","given":"Barbara","non-dropping-particle":"","parse-names":false,"suffix":""},{"dropping-particle":"","family":"Rissland","given":"Jürgen","non-dropping-particle":"","parse-names":false,"suffix":""},{"dropping-particle":"","family":"Geibler","given":"Tobias","non-dropping-particle":"","parse-names":false,"suffix":""},{"dropping-particle":"","family":"Gärtner","given":"Barbara","non-dropping-particle":"","parse-names":false,"suffix":""},{"dropping-particle":"","family":"Becker","given":"Sören L.","non-dropping-particle":"","parse-names":false,"suffix":""},{"dropping-particle":"","family":"Schneitler","given":"Sophie","non-dropping-particle":"","parse-names":false,"suffix":""},{"dropping-particle":"","family":"Smola","given":"Sigrun","non-dropping-particle":"","parse-names":false,"suffix":""}],"container-title":"The Lancet Infectious Diseases","id":"ITEM-5","issue":"20","issued":{"date-parts":[["2020"]]},"page":"2019-2020","title":"Pooling of samples for testing for SARS-CoV-2 in asymptomatic people","type":"article-journal","volume":"3099"},"uris":["http://www.mendeley.com/documents/?uuid=211598b5-be9d-4c4b-a90f-5bace958b446"]},{"id":"ITEM-6","itemData":{"DOI":"https://doi.org/10.1093/infdis/jiaa378","ISBN":"4085513540","abstract":"Most informal finance comes from family and friends. Existing informal finance theories cannot match two characteristics of family finance: family investors may accept below-market or even negative returns, yet borrowers often prefer formal finance. We argue that social preferences make family finance cheap but create shadow costs that nonetheless discourage its use: Committing family funds to risky investment displaces intrafamily insurance and undermines limited liability. The same characteristics that sustain familial insurance thus render family finance a poor source of risk capital. Even when overcoming capital constraints requires social ties, intermediation and semiformalization may therefore be crucial for promoting risk taking.","author":[{"dropping-particle":"","family":"Pilcher","given":"Christopher D","non-dropping-particle":"","parse-names":false,"suffix":""},{"dropping-particle":"","family":"Westreich","given":"Daniel","non-dropping-particle":"","parse-names":false,"suffix":""},{"dropping-particle":"","family":"Hudgens","given":"Michael G","non-dropping-particle":"","parse-names":false,"suffix":""}],"container-title":"The Journal of Infectious Dis.. 2020 Jul 16 [date cited].. Epub 2020 Jun 27.","id":"ITEM-6","issued":{"date-parts":[["0"]]},"title":"Group Testing for SARS-CoV-2 to Enable Rapid Scale-Up of Testing and Real-Time Surveillance of Incidence","type":"article-journal"},"uris":["http://www.mendeley.com/documents/?uuid=2e604870-b5d5-4012-92cf-1435e245c000"]},{"id":"ITEM-7","itemData":{"DOI":"10.1016/j.jcv.2020.104381","ISSN":"18735967","PMID":"32344319","abstract":"Background: A novel coronavirus, severe acute respiratory syndrome coronavirus 2 (SARS-CoV-2), emerged in China in late 2019 and subsequently caused a pandemic. Surveillance is important to better appreciate this evolving pandemic and to longitudinally monitor the effectiveness of public health measures. Objectives: We aimed to provide a rapid, easy to establish and costeffective laboratory-based surveillance tool for SARS-CoV-2. Study design: We used minipools of RNA prepared from nucleic acid extractions of routine respiratory samples. We technically validated the assay and distributed the protocol within an informal network of five German university laboratories. Results: We tested a total of 70 minipools resembling 700 samples shortly before the upsurge of cases in Germany from 17.02.2020 to 10.03.2020. One minipool reacted positive and after resolution one individual sample tested SARS-CoV-2 positive. This sample was from a hospitalized patient not suspected of having contracted SARS-CoV-2. Conclusions: Our approach of a laboratory-based surveillance for SARSCoV-2 using minipools proved its concept is easily adaptable and resource-saving. It might assist not only public health laboratories in SARS-CoV-2 surveillance.","author":[{"dropping-particle":"","family":"Eis-Hübinger","given":"Anna M.","non-dropping-particle":"","parse-names":false,"suffix":""},{"dropping-particle":"","family":"Hönemann","given":"Mario","non-dropping-particle":"","parse-names":false,"suffix":""},{"dropping-particle":"","family":"Wenzel","given":"Jürgen J.","non-dropping-particle":"","parse-names":false,"suffix":""},{"dropping-particle":"","family":"Berger","given":"Annemarie","non-dropping-particle":"","parse-names":false,"suffix":""},{"dropping-particle":"","family":"Widera","given":"Marek","non-dropping-particle":"","parse-names":false,"suffix":""},{"dropping-particle":"","family":"Schmidt","given":"Barbara","non-dropping-particle":"","parse-names":false,"suffix":""},{"dropping-particle":"","family":"Aldabbagh","given":"Souhaib","non-dropping-particle":"","parse-names":false,"suffix":""},{"dropping-particle":"","family":"Marx","given":"Benjamin","non-dropping-particle":"","parse-names":false,"suffix":""},{"dropping-particle":"","family":"Streeck","given":"Hendrik","non-dropping-particle":"","parse-names":false,"suffix":""},{"dropping-particle":"","family":"Ciesek","given":"Sandra","non-dropping-particle":"","parse-names":false,"suffix":""},{"dropping-particle":"","family":"Liebert","given":"Uwe G.","non-dropping-particle":"","parse-names":false,"suffix":""},{"dropping-particle":"","family":"Huzly","given":"Daniela","non-dropping-particle":"","parse-names":false,"suffix":""},{"dropping-particle":"","family":"Hengel","given":"Hartmut","non-dropping-particle":"","parse-names":false,"suffix":""},{"dropping-particle":"","family":"Panning","given":"Marcus","non-dropping-particle":"","parse-names":false,"suffix":""}],"container-title":"Journal of Clinical Virology","id":"ITEM-7","issue":"April","issued":{"date-parts":[["2020"]]},"publisher":"Elsevier","title":"Ad hoc laboratory-based surveillance of SARS-CoV-2 by real-time RT-PCR using minipools of RNA prepared from routine respiratory samples","type":"article-journal","volume":"127"},"uris":["http://www.mendeley.com/documents/?uuid=ff090c12-4769-49b8-b840-5843418e1397"]}],"mendeley":{"formattedCitation":"(&lt;i&gt;3&lt;/i&gt;–&lt;i&gt;9&lt;/i&gt;)","plainTextFormattedCitation":"(3–9)","previouslyFormattedCitation":"(&lt;i&gt;3&lt;/i&gt;–&lt;i&gt;9&lt;/i&gt;)"},"properties":{"noteIndex":0},"schema":"https://github.com/citation-style-language/schema/raw/master/csl-citation.json"}</w:instrText>
      </w:r>
      <w:r w:rsidR="002F122C" w:rsidRPr="006F1059">
        <w:rPr>
          <w:bCs/>
        </w:rPr>
        <w:fldChar w:fldCharType="separate"/>
      </w:r>
      <w:r w:rsidR="007C46D3" w:rsidRPr="007C46D3">
        <w:rPr>
          <w:bCs/>
          <w:noProof/>
        </w:rPr>
        <w:t>(</w:t>
      </w:r>
      <w:r w:rsidR="007C46D3" w:rsidRPr="007C46D3">
        <w:rPr>
          <w:bCs/>
          <w:i/>
          <w:noProof/>
        </w:rPr>
        <w:t>3</w:t>
      </w:r>
      <w:r w:rsidR="007C46D3" w:rsidRPr="007C46D3">
        <w:rPr>
          <w:bCs/>
          <w:noProof/>
        </w:rPr>
        <w:t>–</w:t>
      </w:r>
      <w:r w:rsidR="007C46D3" w:rsidRPr="007C46D3">
        <w:rPr>
          <w:bCs/>
          <w:i/>
          <w:noProof/>
        </w:rPr>
        <w:t>9</w:t>
      </w:r>
      <w:r w:rsidR="007C46D3" w:rsidRPr="007C46D3">
        <w:rPr>
          <w:bCs/>
          <w:noProof/>
        </w:rPr>
        <w:t>)</w:t>
      </w:r>
      <w:r w:rsidR="002F122C" w:rsidRPr="006F1059">
        <w:rPr>
          <w:bCs/>
        </w:rPr>
        <w:fldChar w:fldCharType="end"/>
      </w:r>
      <w:r w:rsidR="007E2793">
        <w:rPr>
          <w:bCs/>
        </w:rPr>
        <w:t xml:space="preserve">. </w:t>
      </w:r>
      <w:r w:rsidRPr="006F1059">
        <w:rPr>
          <w:bCs/>
        </w:rPr>
        <w:t xml:space="preserve">However, </w:t>
      </w:r>
      <w:r w:rsidRPr="006134E4">
        <w:rPr>
          <w:bCs/>
          <w:highlight w:val="yellow"/>
        </w:rPr>
        <w:t>the potential increase in efficiency gained by pooled testing is offset by a theoretical dilution-related decrease in</w:t>
      </w:r>
      <w:r w:rsidR="00B6587A" w:rsidRPr="006134E4">
        <w:rPr>
          <w:bCs/>
          <w:highlight w:val="yellow"/>
        </w:rPr>
        <w:t xml:space="preserve"> analytical</w:t>
      </w:r>
      <w:r w:rsidRPr="006134E4">
        <w:rPr>
          <w:bCs/>
          <w:highlight w:val="yellow"/>
        </w:rPr>
        <w:t xml:space="preserve"> sensitivity</w:t>
      </w:r>
      <w:r w:rsidR="002F122C" w:rsidRPr="006F1059">
        <w:rPr>
          <w:bCs/>
        </w:rPr>
        <w:t xml:space="preserve"> </w:t>
      </w:r>
      <w:r w:rsidR="002F122C" w:rsidRPr="006F1059">
        <w:rPr>
          <w:bCs/>
        </w:rPr>
        <w:fldChar w:fldCharType="begin" w:fldLock="1"/>
      </w:r>
      <w:r w:rsidR="005927E8">
        <w:rPr>
          <w:bCs/>
        </w:rPr>
        <w:instrText>ADDIN CSL_CITATION {"citationItems":[{"id":"ITEM-1","itemData":{"DOI":"10.1101/2020.05.26.118133","abstract":"Accommodating large increases in sample workloads has presented one of the biggest challenges to clinical laboratories during the COVID-19 pandemic. Despite the implementation of new automated detection systems, and previous efficiencies such as barcoding, electronic data transfer and extensive robotics, throughput capacities have struggled to meet the demand. Sample pooling has been suggested as an additional strategy to further address this need. The greatest concern with this approach in a clinical setting is the potential for reduced sensitivity, particularly the risk of false negative results when weak positive samples are pooled. To investigate this possibility, detection rates in pooled samples were evaluated, with extensive assessment of pools containing weak positive specimens. Additionally, the frequency of occurrence of weak positive samples across ten weeks of the pandemic were reviewed. Weak positive specimens were detected in all five-sample pools but failed to be detected in four of the 24 nine-sample pools tested. Weak positive samples comprised an average 16.5% of the positive specimens tested during the pandemic thus far, slightly increasing in frequency during later weeks. Other aspects of the testing process should be considered, however, such as accessioning and reporting, which are not streamlined and may be complicated by pooling procedures. Therefore, the impact on the entire laboratory process needs to be carefully assessed prior to implementing such a strategy.","author":[{"dropping-particle":"","family":"Griesemer","given":"Sara B","non-dropping-particle":"","parse-names":false,"suffix":""},{"dropping-particle":"Van","family":"Slyke","given":"Greta","non-dropping-particle":"","parse-names":false,"suffix":""},{"dropping-particle":"St.","family":"George","given":"Kirsten","non-dropping-particle":"","parse-names":false,"suffix":""}],"container-title":"bioRxiv.. 2020 Jul 12 [date cited].. Epub 2020 May 26.","id":"ITEM-1","issued":{"date-parts":[["0"]]},"title":"Assessment of sample pooling for clinical SARS-CoV-2 testing","type":"article-journal"},"uris":["http://www.mendeley.com/documents/?uuid=65b4ae67-6ed7-4db5-b7fa-5b39b7cb8c50"]},{"id":"ITEM-2","itemData":{"DOI":"https://doi.org/10.1093/infdis/jiaa378","ISBN":"4085513540","abstract":"Most informal finance comes from family and friends. Existing informal finance theories cannot match two characteristics of family finance: family investors may accept below-market or even negative returns, yet borrowers often prefer formal finance. We argue that social preferences make family finance cheap but create shadow costs that nonetheless discourage its use: Committing family funds to risky investment displaces intrafamily insurance and undermines limited liability. The same characteristics that sustain familial insurance thus render family finance a poor source of risk capital. Even when overcoming capital constraints requires social ties, intermediation and semiformalization may therefore be crucial for promoting risk taking.","author":[{"dropping-particle":"","family":"Pilcher","given":"Christopher D","non-dropping-particle":"","parse-names":false,"suffix":""},{"dropping-particle":"","family":"Westreich","given":"Daniel","non-dropping-particle":"","parse-names":false,"suffix":""},{"dropping-particle":"","family":"Hudgens","given":"Michael G","non-dropping-particle":"","parse-names":false,"suffix":""}],"container-title":"The Journal of Infectious Dis.. 2020 Jul 16 [date cited].. Epub 2020 Jun 27.","id":"ITEM-2","issued":{"date-parts":[["0"]]},"title":"Group Testing for SARS-CoV-2 to Enable Rapid Scale-Up of Testing and Real-Time Surveillance of Incidence","type":"article-journal"},"uris":["http://www.mendeley.com/documents/?uuid=2e604870-b5d5-4012-92cf-1435e245c000"]}],"mendeley":{"formattedCitation":"(&lt;i&gt;8&lt;/i&gt;,&lt;i&gt;10&lt;/i&gt;)","plainTextFormattedCitation":"(8,10)","previouslyFormattedCitation":"(&lt;i&gt;8&lt;/i&gt;,&lt;i&gt;10&lt;/i&gt;)"},"properties":{"noteIndex":0},"schema":"https://github.com/citation-style-language/schema/raw/master/csl-citation.json"}</w:instrText>
      </w:r>
      <w:r w:rsidR="002F122C" w:rsidRPr="006F1059">
        <w:rPr>
          <w:bCs/>
        </w:rPr>
        <w:fldChar w:fldCharType="separate"/>
      </w:r>
      <w:r w:rsidR="007C46D3" w:rsidRPr="007C46D3">
        <w:rPr>
          <w:bCs/>
          <w:noProof/>
        </w:rPr>
        <w:t>(</w:t>
      </w:r>
      <w:r w:rsidR="007C46D3" w:rsidRPr="007C46D3">
        <w:rPr>
          <w:bCs/>
          <w:i/>
          <w:noProof/>
        </w:rPr>
        <w:t>8</w:t>
      </w:r>
      <w:r w:rsidR="007C46D3" w:rsidRPr="007C46D3">
        <w:rPr>
          <w:bCs/>
          <w:noProof/>
        </w:rPr>
        <w:t>,</w:t>
      </w:r>
      <w:r w:rsidR="007C46D3" w:rsidRPr="007C46D3">
        <w:rPr>
          <w:bCs/>
          <w:i/>
          <w:noProof/>
        </w:rPr>
        <w:t>10</w:t>
      </w:r>
      <w:r w:rsidR="007C46D3" w:rsidRPr="007C46D3">
        <w:rPr>
          <w:bCs/>
          <w:noProof/>
        </w:rPr>
        <w:t>)</w:t>
      </w:r>
      <w:r w:rsidR="002F122C" w:rsidRPr="006F1059">
        <w:rPr>
          <w:bCs/>
        </w:rPr>
        <w:fldChar w:fldCharType="end"/>
      </w:r>
      <w:r w:rsidR="00C61C5D">
        <w:rPr>
          <w:bCs/>
        </w:rPr>
        <w:t>.</w:t>
      </w:r>
    </w:p>
    <w:p w14:paraId="12445247" w14:textId="271DF0CA" w:rsidR="00C47EF1" w:rsidRPr="006F1059" w:rsidRDefault="001F4B2C" w:rsidP="00C47EF1">
      <w:pPr>
        <w:spacing w:line="480" w:lineRule="auto"/>
        <w:ind w:firstLine="720"/>
        <w:rPr>
          <w:bCs/>
        </w:rPr>
      </w:pPr>
      <w:r w:rsidRPr="006F1059">
        <w:rPr>
          <w:bCs/>
        </w:rPr>
        <w:t>Despite this decrease in sensitivity, pooled testing of blood donors for transfusion transmitt</w:t>
      </w:r>
      <w:r w:rsidR="007D793A">
        <w:rPr>
          <w:bCs/>
        </w:rPr>
        <w:t>ed</w:t>
      </w:r>
      <w:r w:rsidRPr="006F1059">
        <w:rPr>
          <w:bCs/>
        </w:rPr>
        <w:t xml:space="preserve"> infections such as HIV-1 and hepatitis C virus (HCV) has proven to be safe and effective</w:t>
      </w:r>
      <w:r w:rsidRPr="006F1059">
        <w:t xml:space="preserve"> </w:t>
      </w:r>
      <w:r w:rsidR="000C3100" w:rsidRPr="006F1059">
        <w:rPr>
          <w:bCs/>
        </w:rPr>
        <w:fldChar w:fldCharType="begin" w:fldLock="1"/>
      </w:r>
      <w:r w:rsidR="005927E8">
        <w:rPr>
          <w:bCs/>
        </w:rPr>
        <w:instrText>ADDIN CSL_CITATION {"citationItems":[{"id":"ITEM-1","itemData":{"author":[{"dropping-particle":"","family":"Busch","given":"M P","non-dropping-particle":"","parse-names":false,"suffix":""},{"dropping-particle":"","family":"Kleinman","given":"S H","non-dropping-particle":"","parse-names":false,"suffix":""}],"id":"ITEM-1","issue":"February","issued":{"date-parts":[["2000"]]},"page":"143-159","title":"Nucleic acid amplification testing of blood donors for transfusion-transmitted infectious diseases","type":"article-journal","volume":"40"},"uris":["http://www.mendeley.com/documents/?uuid=e3d499db-99ed-45ee-8134-f2855604582d"]}],"mendeley":{"formattedCitation":"(&lt;i&gt;11&lt;/i&gt;)","plainTextFormattedCitation":"(11)","previouslyFormattedCitation":"(&lt;i&gt;11&lt;/i&gt;)"},"properties":{"noteIndex":0},"schema":"https://github.com/citation-style-language/schema/raw/master/csl-citation.json"}</w:instrText>
      </w:r>
      <w:r w:rsidR="000C3100" w:rsidRPr="006F1059">
        <w:rPr>
          <w:bCs/>
        </w:rPr>
        <w:fldChar w:fldCharType="separate"/>
      </w:r>
      <w:r w:rsidR="007C46D3" w:rsidRPr="007C46D3">
        <w:rPr>
          <w:bCs/>
          <w:noProof/>
        </w:rPr>
        <w:t>(</w:t>
      </w:r>
      <w:r w:rsidR="007C46D3" w:rsidRPr="007C46D3">
        <w:rPr>
          <w:bCs/>
          <w:i/>
          <w:noProof/>
        </w:rPr>
        <w:t>11</w:t>
      </w:r>
      <w:r w:rsidR="007C46D3" w:rsidRPr="007C46D3">
        <w:rPr>
          <w:bCs/>
          <w:noProof/>
        </w:rPr>
        <w:t>)</w:t>
      </w:r>
      <w:r w:rsidR="000C3100" w:rsidRPr="006F1059">
        <w:rPr>
          <w:bCs/>
        </w:rPr>
        <w:fldChar w:fldCharType="end"/>
      </w:r>
      <w:r w:rsidR="000C3100" w:rsidRPr="006F1059">
        <w:rPr>
          <w:bCs/>
        </w:rPr>
        <w:t>.</w:t>
      </w:r>
      <w:r w:rsidRPr="006F1059">
        <w:rPr>
          <w:bCs/>
        </w:rPr>
        <w:t xml:space="preserve"> This efficacy varies depending on the </w:t>
      </w:r>
      <w:r w:rsidR="001458D6" w:rsidRPr="006F1059">
        <w:rPr>
          <w:bCs/>
        </w:rPr>
        <w:t>performance characteristics of the assay</w:t>
      </w:r>
      <w:r w:rsidRPr="006F1059">
        <w:rPr>
          <w:bCs/>
        </w:rPr>
        <w:t xml:space="preserve">, the prevalence of </w:t>
      </w:r>
      <w:r w:rsidR="007D793A">
        <w:rPr>
          <w:bCs/>
        </w:rPr>
        <w:t>infection</w:t>
      </w:r>
      <w:r w:rsidRPr="006F1059">
        <w:rPr>
          <w:bCs/>
        </w:rPr>
        <w:t xml:space="preserve">, viral load kinetics, </w:t>
      </w:r>
      <w:r w:rsidR="007D793A">
        <w:rPr>
          <w:bCs/>
        </w:rPr>
        <w:t xml:space="preserve">and </w:t>
      </w:r>
      <w:r w:rsidRPr="006F1059">
        <w:rPr>
          <w:bCs/>
        </w:rPr>
        <w:t>pool</w:t>
      </w:r>
      <w:r w:rsidR="007D793A">
        <w:rPr>
          <w:bCs/>
        </w:rPr>
        <w:t>ing</w:t>
      </w:r>
      <w:r w:rsidRPr="006F1059">
        <w:rPr>
          <w:bCs/>
        </w:rPr>
        <w:t xml:space="preserve"> size and strategy. </w:t>
      </w:r>
      <w:r w:rsidR="009D167C" w:rsidRPr="006F1059">
        <w:rPr>
          <w:bCs/>
        </w:rPr>
        <w:t xml:space="preserve">For </w:t>
      </w:r>
      <w:r w:rsidR="007D793A">
        <w:rPr>
          <w:bCs/>
        </w:rPr>
        <w:t xml:space="preserve">agents with variable seasonal or geographic prevalence </w:t>
      </w:r>
      <w:r w:rsidR="009D167C" w:rsidRPr="006F1059">
        <w:rPr>
          <w:bCs/>
        </w:rPr>
        <w:t xml:space="preserve">like West Nile virus, many </w:t>
      </w:r>
      <w:r w:rsidR="007F215F" w:rsidRPr="006F1059">
        <w:rPr>
          <w:bCs/>
        </w:rPr>
        <w:t xml:space="preserve">blood banks utilize adaptive risk-based pooling strategies, switching from pooled to individual testing when there is an increase in regional prevalence </w:t>
      </w:r>
      <w:r w:rsidR="007F215F" w:rsidRPr="006F1059">
        <w:rPr>
          <w:bCs/>
        </w:rPr>
        <w:fldChar w:fldCharType="begin" w:fldLock="1"/>
      </w:r>
      <w:r w:rsidR="005927E8">
        <w:rPr>
          <w:bCs/>
        </w:rPr>
        <w:instrText>ADDIN CSL_CITATION {"citationItems":[{"id":"ITEM-1","itemData":{"DOI":"10.1111/j.0041-1132.2004.04227.x","ISSN":"00411132","PMID":"15504158","abstract":"BACKGROUND: Concern about West Nile virus (WNV) transfusion-transmitted infections missed by minipool (MP) nucleic acid testing (NAT) has prompted consideration of the use of individual-donation (ID) NAT. Strategies were investigated for the application of limited ID-NAT capacity in 2004. STUDY DESIGN AND METHODS: Patterns of WNV MP-NAT-reactive donations tested by the Blood Systems Laboratory each week for 79 blood centers from June 29 to November 23, 2003 (196 MP-NAT repeat-reactive [RR] donations among 801,697 units), were analyzed. ID-NAT initiation strategies were developed consisting of counts of RR donations and/or weekly RR rates, together with three ID-NAT discontinuation strategies, and ID testing burden was assessed based on these combined start and stop strategies. RESULTS: The effectiveness, reported as the percentage of MP-RR donations that would trigger ID-NAT based on each initiation strategy, ranged from 57 to 100 percent. The addition of a 1- or 2-week no-yield requirement for ID discontinuation substantially increased testing burden. Combined strategies resulted in projected ID-NAT of between 10 and 50 percent of donations for a 10- to 20-week period. For this organization, the most feasible ID-NAT initiation strategy was 2 MP-reactive donations and a weekly rate of 1 in 1000, which had an effectiveness of 81 percent and led to peak weekly ID-NAT of 20 to 25 percent of donations depending on the discontinuation rule. CONCLUSION: This new approach of targeted ID-NAT based on ongoing monitoring of MP-NAT yield may prove to be a rational policy for agents like WNV that cause seasonal and regional epidemics.","author":[{"dropping-particle":"","family":"Custer","given":"Brian","non-dropping-particle":"","parse-names":false,"suffix":""},{"dropping-particle":"","family":"Tomasulo","given":"Peter A.","non-dropping-particle":"","parse-names":false,"suffix":""},{"dropping-particle":"","family":"Murphy","given":"Edward L.","non-dropping-particle":"","parse-names":false,"suffix":""},{"dropping-particle":"","family":"Caglioti","given":"Sally","non-dropping-particle":"","parse-names":false,"suffix":""},{"dropping-particle":"","family":"Harpool","given":"Dennis","non-dropping-particle":"","parse-names":false,"suffix":""},{"dropping-particle":"","family":"McEvoy","given":"Patrick","non-dropping-particle":"","parse-names":false,"suffix":""},{"dropping-particle":"","family":"Busch","given":"Michael P.","non-dropping-particle":"","parse-names":false,"suffix":""}],"container-title":"Transfusion","id":"ITEM-1","issued":{"date-parts":[["2004"]]},"title":"Triggers for switching from minipool testing by nucleic acid technology to individual-donation nucleic acid testing for West Nile virus: Analysis of 2003 data to inform 2004 decision making","type":"article-journal"},"uris":["http://www.mendeley.com/documents/?uuid=2abcc073-43ac-465c-afe1-553b1fdb3764"]}],"mendeley":{"formattedCitation":"(&lt;i&gt;12&lt;/i&gt;)","plainTextFormattedCitation":"(12)","previouslyFormattedCitation":"(&lt;i&gt;12&lt;/i&gt;)"},"properties":{"noteIndex":0},"schema":"https://github.com/citation-style-language/schema/raw/master/csl-citation.json"}</w:instrText>
      </w:r>
      <w:r w:rsidR="007F215F" w:rsidRPr="006F1059">
        <w:rPr>
          <w:bCs/>
        </w:rPr>
        <w:fldChar w:fldCharType="separate"/>
      </w:r>
      <w:r w:rsidR="007C46D3" w:rsidRPr="007C46D3">
        <w:rPr>
          <w:bCs/>
          <w:noProof/>
        </w:rPr>
        <w:t>(</w:t>
      </w:r>
      <w:r w:rsidR="007C46D3" w:rsidRPr="007C46D3">
        <w:rPr>
          <w:bCs/>
          <w:i/>
          <w:noProof/>
        </w:rPr>
        <w:t>12</w:t>
      </w:r>
      <w:r w:rsidR="007C46D3" w:rsidRPr="007C46D3">
        <w:rPr>
          <w:bCs/>
          <w:noProof/>
        </w:rPr>
        <w:t>)</w:t>
      </w:r>
      <w:r w:rsidR="007F215F" w:rsidRPr="006F1059">
        <w:rPr>
          <w:bCs/>
        </w:rPr>
        <w:fldChar w:fldCharType="end"/>
      </w:r>
      <w:r w:rsidR="007F215F" w:rsidRPr="006F1059">
        <w:rPr>
          <w:bCs/>
        </w:rPr>
        <w:t>.</w:t>
      </w:r>
      <w:r w:rsidR="001458D6" w:rsidRPr="006F1059">
        <w:rPr>
          <w:bCs/>
        </w:rPr>
        <w:t xml:space="preserve"> </w:t>
      </w:r>
      <w:r w:rsidRPr="006F1059">
        <w:rPr>
          <w:bCs/>
        </w:rPr>
        <w:t xml:space="preserve">Adapting a similar risk-based pooling strategy for SARS-CoV-2 has the potential to allow for more widespread testing of high-risk populations and asymptomatic critical infrastructure workers, guide aggressive contact-tracing measures, and help </w:t>
      </w:r>
      <w:r w:rsidR="00B6587A">
        <w:rPr>
          <w:bCs/>
        </w:rPr>
        <w:t>direct</w:t>
      </w:r>
      <w:r w:rsidR="00481268" w:rsidRPr="006F1059">
        <w:rPr>
          <w:bCs/>
        </w:rPr>
        <w:t xml:space="preserve"> public health interventions </w:t>
      </w:r>
      <w:r w:rsidR="00B6587A">
        <w:rPr>
          <w:bCs/>
        </w:rPr>
        <w:t xml:space="preserve">to </w:t>
      </w:r>
      <w:r w:rsidR="00481268" w:rsidRPr="006F1059">
        <w:rPr>
          <w:bCs/>
        </w:rPr>
        <w:t xml:space="preserve">where </w:t>
      </w:r>
      <w:r w:rsidR="00C851EB" w:rsidRPr="006F1059">
        <w:rPr>
          <w:bCs/>
        </w:rPr>
        <w:t>they are</w:t>
      </w:r>
      <w:r w:rsidR="00481268" w:rsidRPr="006F1059">
        <w:rPr>
          <w:bCs/>
        </w:rPr>
        <w:t xml:space="preserve"> most needed</w:t>
      </w:r>
      <w:r w:rsidR="001458D6" w:rsidRPr="006F1059">
        <w:rPr>
          <w:bCs/>
        </w:rPr>
        <w:t xml:space="preserve">. However, there </w:t>
      </w:r>
      <w:r w:rsidR="00085010">
        <w:rPr>
          <w:bCs/>
        </w:rPr>
        <w:t>are</w:t>
      </w:r>
      <w:r w:rsidR="001458D6" w:rsidRPr="006F1059">
        <w:rPr>
          <w:bCs/>
        </w:rPr>
        <w:t xml:space="preserve"> limited prospective data on assay-specific performance characteristics of pooled testing to guide implementation of such a strategy.</w:t>
      </w:r>
      <w:r w:rsidR="00522EE0">
        <w:rPr>
          <w:bCs/>
        </w:rPr>
        <w:t xml:space="preserve"> Furthermore, there is little </w:t>
      </w:r>
      <w:r w:rsidR="00F9089A">
        <w:rPr>
          <w:bCs/>
        </w:rPr>
        <w:t xml:space="preserve">evidence </w:t>
      </w:r>
      <w:r w:rsidR="00522EE0">
        <w:rPr>
          <w:bCs/>
        </w:rPr>
        <w:t>on parallel test performance of different assays on pooled samples to direct choice of methodology.</w:t>
      </w:r>
    </w:p>
    <w:p w14:paraId="5E264E99" w14:textId="165E2B7D" w:rsidR="001F4B2C" w:rsidRPr="006F1059" w:rsidRDefault="001458D6" w:rsidP="00814D6B">
      <w:pPr>
        <w:spacing w:line="480" w:lineRule="auto"/>
        <w:ind w:firstLine="720"/>
        <w:rPr>
          <w:bCs/>
        </w:rPr>
      </w:pPr>
      <w:r w:rsidRPr="006134E4">
        <w:rPr>
          <w:bCs/>
          <w:highlight w:val="yellow"/>
        </w:rPr>
        <w:t xml:space="preserve">In this study, we </w:t>
      </w:r>
      <w:r w:rsidR="006E4D90" w:rsidRPr="006134E4">
        <w:rPr>
          <w:bCs/>
          <w:highlight w:val="yellow"/>
        </w:rPr>
        <w:t xml:space="preserve">aimed to </w:t>
      </w:r>
      <w:r w:rsidRPr="006134E4">
        <w:rPr>
          <w:bCs/>
          <w:highlight w:val="yellow"/>
        </w:rPr>
        <w:t xml:space="preserve">evaluate the test performance characteristics of </w:t>
      </w:r>
      <w:r w:rsidR="001976EC" w:rsidRPr="006134E4">
        <w:rPr>
          <w:bCs/>
          <w:highlight w:val="yellow"/>
        </w:rPr>
        <w:t xml:space="preserve">one laboratory-developed and two commercially-available </w:t>
      </w:r>
      <w:r w:rsidRPr="006134E4">
        <w:rPr>
          <w:bCs/>
          <w:highlight w:val="yellow"/>
        </w:rPr>
        <w:t xml:space="preserve">SARS-CoV-2 NAATs </w:t>
      </w:r>
      <w:r w:rsidR="004558D9" w:rsidRPr="006134E4">
        <w:rPr>
          <w:bCs/>
          <w:highlight w:val="yellow"/>
        </w:rPr>
        <w:t xml:space="preserve">on </w:t>
      </w:r>
      <w:r w:rsidR="000F0C36" w:rsidRPr="006134E4">
        <w:rPr>
          <w:bCs/>
          <w:highlight w:val="yellow"/>
        </w:rPr>
        <w:t xml:space="preserve">1648 </w:t>
      </w:r>
      <w:r w:rsidR="00481268" w:rsidRPr="006134E4">
        <w:rPr>
          <w:bCs/>
          <w:highlight w:val="yellow"/>
        </w:rPr>
        <w:t>individual respiratory specimens</w:t>
      </w:r>
      <w:r w:rsidR="007274C3" w:rsidRPr="006134E4">
        <w:rPr>
          <w:bCs/>
          <w:highlight w:val="yellow"/>
        </w:rPr>
        <w:t xml:space="preserve"> </w:t>
      </w:r>
      <w:r w:rsidR="00B6587A" w:rsidRPr="006134E4">
        <w:rPr>
          <w:bCs/>
          <w:highlight w:val="yellow"/>
        </w:rPr>
        <w:t xml:space="preserve">prospectively </w:t>
      </w:r>
      <w:r w:rsidR="00481268" w:rsidRPr="006134E4">
        <w:rPr>
          <w:bCs/>
          <w:highlight w:val="yellow"/>
        </w:rPr>
        <w:t xml:space="preserve">grouped in pools of </w:t>
      </w:r>
      <w:r w:rsidR="001214DA" w:rsidRPr="006134E4">
        <w:rPr>
          <w:bCs/>
          <w:highlight w:val="yellow"/>
        </w:rPr>
        <w:t>8</w:t>
      </w:r>
      <w:r w:rsidR="000F0C36" w:rsidRPr="006134E4">
        <w:rPr>
          <w:bCs/>
          <w:highlight w:val="yellow"/>
        </w:rPr>
        <w:t xml:space="preserve"> and </w:t>
      </w:r>
      <w:r w:rsidR="001214DA" w:rsidRPr="006134E4">
        <w:rPr>
          <w:bCs/>
          <w:highlight w:val="yellow"/>
        </w:rPr>
        <w:t>4</w:t>
      </w:r>
      <w:r w:rsidR="00481268" w:rsidRPr="006134E4">
        <w:rPr>
          <w:bCs/>
          <w:highlight w:val="yellow"/>
        </w:rPr>
        <w:t xml:space="preserve">. </w:t>
      </w:r>
      <w:r w:rsidR="00B720CC" w:rsidRPr="006134E4">
        <w:rPr>
          <w:bCs/>
          <w:highlight w:val="yellow"/>
        </w:rPr>
        <w:t xml:space="preserve">We </w:t>
      </w:r>
      <w:r w:rsidR="000F0C36" w:rsidRPr="006134E4">
        <w:rPr>
          <w:bCs/>
          <w:highlight w:val="yellow"/>
        </w:rPr>
        <w:t xml:space="preserve">used these data to validate </w:t>
      </w:r>
      <w:r w:rsidR="00481268" w:rsidRPr="006134E4">
        <w:rPr>
          <w:bCs/>
          <w:highlight w:val="yellow"/>
        </w:rPr>
        <w:t xml:space="preserve">a </w:t>
      </w:r>
      <w:r w:rsidR="00B6587A" w:rsidRPr="006134E4">
        <w:rPr>
          <w:bCs/>
          <w:highlight w:val="yellow"/>
        </w:rPr>
        <w:t xml:space="preserve">stochastic </w:t>
      </w:r>
      <w:r w:rsidR="00481268" w:rsidRPr="006134E4">
        <w:rPr>
          <w:bCs/>
          <w:highlight w:val="yellow"/>
        </w:rPr>
        <w:t xml:space="preserve">model to </w:t>
      </w:r>
      <w:r w:rsidR="00B6587A" w:rsidRPr="006134E4">
        <w:rPr>
          <w:bCs/>
          <w:highlight w:val="yellow"/>
        </w:rPr>
        <w:t>estimate</w:t>
      </w:r>
      <w:r w:rsidR="00481268" w:rsidRPr="006134E4">
        <w:rPr>
          <w:bCs/>
          <w:highlight w:val="yellow"/>
        </w:rPr>
        <w:t xml:space="preserve"> optimal pool size</w:t>
      </w:r>
      <w:r w:rsidR="00B6587A" w:rsidRPr="006134E4">
        <w:rPr>
          <w:bCs/>
          <w:highlight w:val="yellow"/>
        </w:rPr>
        <w:t>, efficiency,</w:t>
      </w:r>
      <w:r w:rsidR="00FF791B" w:rsidRPr="006134E4">
        <w:rPr>
          <w:bCs/>
          <w:highlight w:val="yellow"/>
        </w:rPr>
        <w:t xml:space="preserve"> </w:t>
      </w:r>
      <w:r w:rsidR="00C61C5D" w:rsidRPr="006134E4">
        <w:rPr>
          <w:bCs/>
          <w:highlight w:val="yellow"/>
        </w:rPr>
        <w:t xml:space="preserve">and expected </w:t>
      </w:r>
      <w:r w:rsidR="00404106" w:rsidRPr="006134E4">
        <w:rPr>
          <w:bCs/>
          <w:highlight w:val="yellow"/>
        </w:rPr>
        <w:t>positive percent</w:t>
      </w:r>
      <w:r w:rsidR="00C61C5D" w:rsidRPr="006134E4">
        <w:rPr>
          <w:bCs/>
          <w:highlight w:val="yellow"/>
        </w:rPr>
        <w:t xml:space="preserve"> agreement </w:t>
      </w:r>
      <w:r w:rsidR="00FF791B" w:rsidRPr="006134E4">
        <w:rPr>
          <w:bCs/>
          <w:highlight w:val="yellow"/>
        </w:rPr>
        <w:t xml:space="preserve">of a two-stage </w:t>
      </w:r>
      <w:r w:rsidR="00FF791B" w:rsidRPr="006134E4">
        <w:rPr>
          <w:bCs/>
          <w:highlight w:val="yellow"/>
        </w:rPr>
        <w:lastRenderedPageBreak/>
        <w:t>pooled testing algorithm</w:t>
      </w:r>
      <w:r w:rsidR="00481268" w:rsidRPr="006134E4">
        <w:rPr>
          <w:bCs/>
          <w:highlight w:val="yellow"/>
        </w:rPr>
        <w:t xml:space="preserve"> </w:t>
      </w:r>
      <w:r w:rsidR="00C329D0" w:rsidRPr="006134E4">
        <w:rPr>
          <w:bCs/>
          <w:highlight w:val="yellow"/>
        </w:rPr>
        <w:t xml:space="preserve">that takes into account </w:t>
      </w:r>
      <w:r w:rsidR="00B75C89" w:rsidRPr="006134E4">
        <w:rPr>
          <w:bCs/>
          <w:highlight w:val="yellow"/>
        </w:rPr>
        <w:t>prevalence, viral load distribution, and assay analytical sensitivity.</w:t>
      </w:r>
    </w:p>
    <w:p w14:paraId="1B5AB765" w14:textId="77777777" w:rsidR="00481268" w:rsidRPr="006F1059" w:rsidRDefault="00481268" w:rsidP="00814D6B">
      <w:pPr>
        <w:spacing w:line="480" w:lineRule="auto"/>
        <w:rPr>
          <w:bCs/>
        </w:rPr>
      </w:pPr>
    </w:p>
    <w:p w14:paraId="2CCB9A46" w14:textId="047236DA" w:rsidR="007E2793" w:rsidRDefault="6412F46A" w:rsidP="00814D6B">
      <w:pPr>
        <w:spacing w:line="480" w:lineRule="auto"/>
        <w:rPr>
          <w:b/>
          <w:bCs/>
        </w:rPr>
      </w:pPr>
      <w:r w:rsidRPr="006F1059">
        <w:rPr>
          <w:b/>
          <w:bCs/>
        </w:rPr>
        <w:t>Methods</w:t>
      </w:r>
    </w:p>
    <w:p w14:paraId="74DF7CF6" w14:textId="77777777" w:rsidR="00814D6B" w:rsidRPr="006F1059" w:rsidRDefault="00814D6B" w:rsidP="00814D6B">
      <w:pPr>
        <w:spacing w:line="480" w:lineRule="auto"/>
        <w:rPr>
          <w:b/>
          <w:bCs/>
        </w:rPr>
      </w:pPr>
    </w:p>
    <w:p w14:paraId="30E0CF6C" w14:textId="523C0C4A" w:rsidR="007E2793" w:rsidRPr="00814D6B" w:rsidRDefault="00CF0A85" w:rsidP="00814D6B">
      <w:pPr>
        <w:spacing w:line="480" w:lineRule="auto"/>
      </w:pPr>
      <w:r w:rsidRPr="00814D6B">
        <w:t>Clinical Specimens</w:t>
      </w:r>
    </w:p>
    <w:p w14:paraId="335D0D6A" w14:textId="42CEB8B9" w:rsidR="00E7062D" w:rsidRDefault="007274C3" w:rsidP="00864AE9">
      <w:pPr>
        <w:spacing w:line="480" w:lineRule="auto"/>
        <w:ind w:firstLine="720"/>
      </w:pPr>
      <w:r w:rsidRPr="006F1059">
        <w:t>Th</w:t>
      </w:r>
      <w:r>
        <w:t>e Stanford</w:t>
      </w:r>
      <w:r w:rsidRPr="006F1059">
        <w:t xml:space="preserve"> </w:t>
      </w:r>
      <w:r>
        <w:t>C</w:t>
      </w:r>
      <w:r w:rsidRPr="006F1059">
        <w:t xml:space="preserve">linical </w:t>
      </w:r>
      <w:r>
        <w:t>V</w:t>
      </w:r>
      <w:r w:rsidRPr="006F1059">
        <w:t xml:space="preserve">irology </w:t>
      </w:r>
      <w:r>
        <w:t>L</w:t>
      </w:r>
      <w:r w:rsidRPr="006F1059">
        <w:t xml:space="preserve">aboratory receives </w:t>
      </w:r>
      <w:r>
        <w:t>samples</w:t>
      </w:r>
      <w:r w:rsidRPr="006F1059">
        <w:t xml:space="preserve"> from tertiary-care academic hospitals and affiliated outpatient facilities in the San Francisco Bay Area, California. </w:t>
      </w:r>
      <w:r w:rsidR="6412F46A" w:rsidRPr="006F1059">
        <w:t xml:space="preserve">Prospective pooling of consecutive nasopharyngeal or oropharyngeal swab specimens submitted for SARS-CoV-2 testing during the morning shift was </w:t>
      </w:r>
      <w:r w:rsidR="00B6587A">
        <w:t>conducted</w:t>
      </w:r>
      <w:r w:rsidR="6412F46A" w:rsidRPr="006F1059">
        <w:t xml:space="preserve"> </w:t>
      </w:r>
      <w:r w:rsidR="00B75E60">
        <w:t>from</w:t>
      </w:r>
      <w:r w:rsidR="00864AE9" w:rsidRPr="006F1059">
        <w:t xml:space="preserve"> </w:t>
      </w:r>
      <w:r w:rsidR="6412F46A" w:rsidRPr="006F1059">
        <w:t xml:space="preserve">June 10 </w:t>
      </w:r>
      <w:r w:rsidR="00864AE9">
        <w:t>to</w:t>
      </w:r>
      <w:r w:rsidR="00864AE9" w:rsidRPr="006F1059">
        <w:t xml:space="preserve"> </w:t>
      </w:r>
      <w:r w:rsidR="6412F46A" w:rsidRPr="006F1059">
        <w:t>June 19, 2020</w:t>
      </w:r>
      <w:r w:rsidR="00864AE9">
        <w:t xml:space="preserve"> </w:t>
      </w:r>
      <w:r w:rsidR="00B75E60">
        <w:t xml:space="preserve">for evaluation of a </w:t>
      </w:r>
      <w:r w:rsidR="00864AE9">
        <w:t xml:space="preserve">pool size of 8, and </w:t>
      </w:r>
      <w:r w:rsidR="00B75E60">
        <w:t xml:space="preserve">from </w:t>
      </w:r>
      <w:r w:rsidR="00864AE9">
        <w:t xml:space="preserve">July 6 to July 23, 2020 </w:t>
      </w:r>
      <w:r w:rsidR="00B75E60">
        <w:t xml:space="preserve">for evaluation of a </w:t>
      </w:r>
      <w:r w:rsidR="00864AE9">
        <w:t>pool size of 4</w:t>
      </w:r>
      <w:r w:rsidR="6412F46A" w:rsidRPr="006F1059">
        <w:t>.</w:t>
      </w:r>
      <w:r w:rsidR="00DB1421">
        <w:t xml:space="preserve"> </w:t>
      </w:r>
      <w:r w:rsidR="6412F46A" w:rsidRPr="006F1059">
        <w:t xml:space="preserve">Samples submitted for testing </w:t>
      </w:r>
      <w:r w:rsidR="00B6587A">
        <w:t>were collected from</w:t>
      </w:r>
      <w:r w:rsidR="6412F46A" w:rsidRPr="006F1059">
        <w:t xml:space="preserve"> symptomatic </w:t>
      </w:r>
      <w:r>
        <w:t xml:space="preserve">and asymptomatic </w:t>
      </w:r>
      <w:r w:rsidR="6412F46A" w:rsidRPr="006F1059">
        <w:t>inpatient</w:t>
      </w:r>
      <w:r>
        <w:t>s</w:t>
      </w:r>
      <w:r w:rsidR="6412F46A" w:rsidRPr="006F1059">
        <w:t xml:space="preserve"> and outpatient</w:t>
      </w:r>
      <w:r>
        <w:t>s</w:t>
      </w:r>
      <w:r w:rsidR="6412F46A" w:rsidRPr="006F1059">
        <w:t>,</w:t>
      </w:r>
      <w:r w:rsidR="00385D82" w:rsidRPr="006F1059">
        <w:t xml:space="preserve"> </w:t>
      </w:r>
      <w:r>
        <w:t xml:space="preserve">either for clinical care or in the context of </w:t>
      </w:r>
      <w:r w:rsidR="00D2435D">
        <w:t xml:space="preserve">COVID-related epidemiologic surveillance studies and drug trials </w:t>
      </w:r>
      <w:r w:rsidR="0092143F">
        <w:t>at our institut</w:t>
      </w:r>
      <w:r w:rsidR="00314DDA">
        <w:t>ion</w:t>
      </w:r>
      <w:r>
        <w:t>.</w:t>
      </w:r>
      <w:r w:rsidR="0092143F">
        <w:t xml:space="preserve"> </w:t>
      </w:r>
      <w:r w:rsidR="00DD6040">
        <w:t xml:space="preserve">As </w:t>
      </w:r>
      <w:r w:rsidR="00DD2D3F">
        <w:t>s</w:t>
      </w:r>
      <w:r>
        <w:t>amples</w:t>
      </w:r>
      <w:r w:rsidR="00DB1421">
        <w:t xml:space="preserve"> from </w:t>
      </w:r>
      <w:r w:rsidR="00314DDA">
        <w:t>individuals enrolled in these</w:t>
      </w:r>
      <w:r w:rsidR="00DB1421">
        <w:t xml:space="preserve"> studies</w:t>
      </w:r>
      <w:r w:rsidR="00D2435D">
        <w:t xml:space="preserve"> and trials</w:t>
      </w:r>
      <w:r w:rsidR="00DB1421">
        <w:t xml:space="preserve"> were received</w:t>
      </w:r>
      <w:r w:rsidR="0092143F">
        <w:t xml:space="preserve"> daily</w:t>
      </w:r>
      <w:r w:rsidR="00DB1421">
        <w:t xml:space="preserve"> in batches</w:t>
      </w:r>
      <w:r w:rsidR="0092143F">
        <w:t xml:space="preserve">, </w:t>
      </w:r>
      <w:r w:rsidR="00D2435D">
        <w:t>they</w:t>
      </w:r>
      <w:r w:rsidR="00DD2D3F">
        <w:t xml:space="preserve"> </w:t>
      </w:r>
      <w:r w:rsidR="00DB1421">
        <w:t>were randomly evenly distributed am</w:t>
      </w:r>
      <w:r w:rsidR="00B6587A">
        <w:t>ong pools on a daily basis</w:t>
      </w:r>
      <w:r w:rsidR="00314DDA">
        <w:t xml:space="preserve">. </w:t>
      </w:r>
      <w:r w:rsidR="00D2435D">
        <w:t xml:space="preserve">This was done to preserve the independence between samples in the same pool; these samples had not been tested prior to receipt in our </w:t>
      </w:r>
      <w:proofErr w:type="gramStart"/>
      <w:r w:rsidR="00D2435D">
        <w:t>laboratory, and</w:t>
      </w:r>
      <w:proofErr w:type="gramEnd"/>
      <w:r w:rsidR="00D2435D">
        <w:t xml:space="preserve"> were otherwise treated identically to non-research samples. </w:t>
      </w:r>
      <w:r w:rsidR="00DD2D3F">
        <w:t>N</w:t>
      </w:r>
      <w:r w:rsidR="00DB1421">
        <w:t xml:space="preserve">on-research </w:t>
      </w:r>
      <w:r w:rsidR="00DD2D3F">
        <w:t xml:space="preserve">samples </w:t>
      </w:r>
      <w:r w:rsidR="00DB1421">
        <w:t xml:space="preserve">were otherwise assigned to pools </w:t>
      </w:r>
      <w:r w:rsidR="00C80494">
        <w:t xml:space="preserve">consecutively. </w:t>
      </w:r>
      <w:r w:rsidR="00A108C9" w:rsidRPr="006F1059">
        <w:t xml:space="preserve">Additional </w:t>
      </w:r>
      <w:r w:rsidR="002B0CFA" w:rsidRPr="006F1059">
        <w:t>laboratory-wide data on proportion of tests positive</w:t>
      </w:r>
      <w:r w:rsidR="00A108C9" w:rsidRPr="006F1059">
        <w:t xml:space="preserve"> and C</w:t>
      </w:r>
      <w:r w:rsidR="00A108C9" w:rsidRPr="006F1059">
        <w:rPr>
          <w:vertAlign w:val="subscript"/>
        </w:rPr>
        <w:t>t</w:t>
      </w:r>
      <w:r w:rsidR="00A108C9" w:rsidRPr="006F1059">
        <w:t xml:space="preserve"> value </w:t>
      </w:r>
      <w:r w:rsidR="002B0CFA" w:rsidRPr="006F1059">
        <w:t>distribution</w:t>
      </w:r>
      <w:r w:rsidR="00A108C9" w:rsidRPr="006F1059">
        <w:t xml:space="preserve"> </w:t>
      </w:r>
      <w:proofErr w:type="gramStart"/>
      <w:r w:rsidR="00A108C9" w:rsidRPr="006F1059">
        <w:t>were</w:t>
      </w:r>
      <w:proofErr w:type="gramEnd"/>
      <w:r w:rsidR="00A108C9" w:rsidRPr="006F1059">
        <w:t xml:space="preserve"> obtained </w:t>
      </w:r>
      <w:r w:rsidR="002B0CFA" w:rsidRPr="006F1059">
        <w:t xml:space="preserve">from </w:t>
      </w:r>
      <w:r w:rsidR="009A0B94">
        <w:t>all specimens (n=74</w:t>
      </w:r>
      <w:r w:rsidR="00A108C9" w:rsidRPr="006F1059">
        <w:t>,162) tested from March 1 through June 24, 2020.</w:t>
      </w:r>
      <w:r w:rsidR="004B1489">
        <w:t xml:space="preserve"> This study was conducted with </w:t>
      </w:r>
      <w:r w:rsidR="00DD2D3F">
        <w:t xml:space="preserve">Stanford </w:t>
      </w:r>
      <w:r w:rsidR="004B1489">
        <w:t>institutional review board approval</w:t>
      </w:r>
      <w:r w:rsidR="00943ED9">
        <w:t xml:space="preserve"> (protocol 48973)</w:t>
      </w:r>
      <w:r w:rsidR="00DD2D3F">
        <w:t>, and individual consent was waived.</w:t>
      </w:r>
    </w:p>
    <w:p w14:paraId="1C5DE4FC" w14:textId="6748D73B" w:rsidR="00814D6B" w:rsidRDefault="00814D6B" w:rsidP="0060558E">
      <w:pPr>
        <w:spacing w:line="480" w:lineRule="auto"/>
      </w:pPr>
    </w:p>
    <w:p w14:paraId="7075D051" w14:textId="371F31AA" w:rsidR="0060558E" w:rsidRDefault="0060558E" w:rsidP="0060558E">
      <w:pPr>
        <w:spacing w:line="480" w:lineRule="auto"/>
      </w:pPr>
      <w:r>
        <w:t>Pool size determination</w:t>
      </w:r>
    </w:p>
    <w:p w14:paraId="40FCEEAA" w14:textId="21DA3700" w:rsidR="0060558E" w:rsidRDefault="0060558E" w:rsidP="00972701">
      <w:pPr>
        <w:spacing w:line="480" w:lineRule="auto"/>
        <w:ind w:firstLine="720"/>
      </w:pPr>
      <w:r>
        <w:t>In this study, a</w:t>
      </w:r>
      <w:r w:rsidR="005B158A">
        <w:t>n initial</w:t>
      </w:r>
      <w:r>
        <w:t xml:space="preserve"> pool size of 8 was selected based on pilot experiments with pool sizes ranging from 4 to 10 (</w:t>
      </w:r>
      <w:r w:rsidR="00603087">
        <w:t xml:space="preserve">B. Pinsky, </w:t>
      </w:r>
      <w:proofErr w:type="spellStart"/>
      <w:r w:rsidR="00603087">
        <w:t>unpub</w:t>
      </w:r>
      <w:proofErr w:type="spellEnd"/>
      <w:r w:rsidR="00603087">
        <w:t>. data</w:t>
      </w:r>
      <w:r>
        <w:t xml:space="preserve">), and the logistical consideration that </w:t>
      </w:r>
      <w:r w:rsidRPr="006134E4">
        <w:rPr>
          <w:highlight w:val="yellow"/>
        </w:rPr>
        <w:t xml:space="preserve">pooling in multiples </w:t>
      </w:r>
      <w:r w:rsidRPr="006134E4">
        <w:rPr>
          <w:highlight w:val="yellow"/>
        </w:rPr>
        <w:lastRenderedPageBreak/>
        <w:t>of 4 would be more efficient for the robotic liquid handlers in our laboratory</w:t>
      </w:r>
      <w:r>
        <w:t xml:space="preserve">. </w:t>
      </w:r>
      <w:r w:rsidR="00F44ED8">
        <w:t xml:space="preserve">After review </w:t>
      </w:r>
      <w:r w:rsidR="005B158A">
        <w:t xml:space="preserve">of </w:t>
      </w:r>
      <w:r w:rsidR="00F44ED8">
        <w:t>the test performance characteristics of 8-sample pooling</w:t>
      </w:r>
      <w:r w:rsidR="00790C81">
        <w:t xml:space="preserve"> in conjunction with the results of an independent </w:t>
      </w:r>
      <w:r w:rsidR="00F44ED8">
        <w:t>stochastic simulation model</w:t>
      </w:r>
      <w:r w:rsidR="00603087">
        <w:t xml:space="preserve">, </w:t>
      </w:r>
      <w:r w:rsidR="005B158A">
        <w:t>additional testing</w:t>
      </w:r>
      <w:r w:rsidR="003024BE">
        <w:t xml:space="preserve"> </w:t>
      </w:r>
      <w:r w:rsidR="005B158A">
        <w:t xml:space="preserve">was performed </w:t>
      </w:r>
      <w:r w:rsidR="003024BE">
        <w:t>to evaluate</w:t>
      </w:r>
      <w:r w:rsidR="00F44ED8">
        <w:t xml:space="preserve"> a pool size of 4 </w:t>
      </w:r>
      <w:r w:rsidR="005B158A">
        <w:t xml:space="preserve">to generate empiric data </w:t>
      </w:r>
      <w:r w:rsidR="00F11666">
        <w:t>for further model validation</w:t>
      </w:r>
      <w:r w:rsidR="00F44ED8">
        <w:t>.</w:t>
      </w:r>
      <w:r w:rsidR="00603087">
        <w:t xml:space="preserve"> </w:t>
      </w:r>
      <w:r w:rsidR="00972701">
        <w:t xml:space="preserve">Subset analyses of first tests versus follow-up tests were conducted by retrospectively assigning pools to one of the two groups based on the status of the positive sample(s) in that pool. Pools containing positive samples belonging to both groups were excluded from this analysis. </w:t>
      </w:r>
      <w:r w:rsidR="005B158A">
        <w:t xml:space="preserve">To validate the performance of the model for additional pool sizes, an </w:t>
      </w:r>
      <w:r w:rsidR="000E4350">
        <w:t>external in silico data</w:t>
      </w:r>
      <w:r w:rsidR="005B158A">
        <w:t>set</w:t>
      </w:r>
      <w:r w:rsidR="000E4350">
        <w:t xml:space="preserve"> w</w:t>
      </w:r>
      <w:r w:rsidR="005B158A">
        <w:t>as</w:t>
      </w:r>
      <w:r w:rsidR="000E4350">
        <w:t xml:space="preserve"> obtained</w:t>
      </w:r>
      <w:r w:rsidR="005B158A">
        <w:t xml:space="preserve"> based on </w:t>
      </w:r>
      <w:r w:rsidR="000E4350">
        <w:t xml:space="preserve">pool sizes of 3 and 5. </w:t>
      </w:r>
      <w:r w:rsidR="00597F3E">
        <w:t xml:space="preserve">The in silico analysis was performed according to FDA recommendations, which are additionally described in the </w:t>
      </w:r>
      <w:r w:rsidR="000E4350">
        <w:t>Technical Appendix</w:t>
      </w:r>
      <w:r w:rsidR="00597F3E">
        <w:t xml:space="preserve"> </w:t>
      </w:r>
      <w:r w:rsidR="00597F3E">
        <w:fldChar w:fldCharType="begin" w:fldLock="1"/>
      </w:r>
      <w:r w:rsidR="00597F3E">
        <w:instrText>ADDIN CSL_CITATION {"citationItems":[{"id":"ITEM-1","itemData":{"id":"ITEM-1","issued":{"date-parts":[["0"]]},"title":"Food and Drug Administration. Molecular Diagnostic Template for Laboratories. 2020 July 28 [cited 2020 Sep 18). https://www.fda.gov/media/135658/download.","type":"article-journal"},"uris":["http://www.mendeley.com/documents/?uuid=beb1e14d-0acb-4211-a3ed-9743269e1f51"]}],"mendeley":{"formattedCitation":"(&lt;i&gt;13&lt;/i&gt;)","plainTextFormattedCitation":"(13)","previouslyFormattedCitation":"(&lt;i&gt;13&lt;/i&gt;)"},"properties":{"noteIndex":0},"schema":"https://github.com/citation-style-language/schema/raw/master/csl-citation.json"}</w:instrText>
      </w:r>
      <w:r w:rsidR="00597F3E">
        <w:fldChar w:fldCharType="separate"/>
      </w:r>
      <w:r w:rsidR="00597F3E" w:rsidRPr="00597F3E">
        <w:rPr>
          <w:noProof/>
        </w:rPr>
        <w:t>(</w:t>
      </w:r>
      <w:r w:rsidR="00597F3E" w:rsidRPr="00597F3E">
        <w:rPr>
          <w:i/>
          <w:noProof/>
        </w:rPr>
        <w:t>13</w:t>
      </w:r>
      <w:r w:rsidR="00597F3E" w:rsidRPr="00597F3E">
        <w:rPr>
          <w:noProof/>
        </w:rPr>
        <w:t>)</w:t>
      </w:r>
      <w:r w:rsidR="00597F3E">
        <w:fldChar w:fldCharType="end"/>
      </w:r>
      <w:r w:rsidR="000E4350">
        <w:t xml:space="preserve">.  </w:t>
      </w:r>
    </w:p>
    <w:p w14:paraId="1EF2B1F6" w14:textId="77777777" w:rsidR="0060558E" w:rsidRPr="006F1059" w:rsidRDefault="0060558E" w:rsidP="00DE700A">
      <w:pPr>
        <w:spacing w:line="480" w:lineRule="auto"/>
      </w:pPr>
    </w:p>
    <w:p w14:paraId="7E16C674" w14:textId="694DF535" w:rsidR="007E2793" w:rsidRPr="006F1059" w:rsidRDefault="6412F46A" w:rsidP="00814D6B">
      <w:pPr>
        <w:spacing w:line="480" w:lineRule="auto"/>
      </w:pPr>
      <w:r w:rsidRPr="006F1059">
        <w:t>Sample Pooling, Extraction, and Nucleic Acid Amplification Testing</w:t>
      </w:r>
      <w:r w:rsidR="00B6587A">
        <w:t xml:space="preserve"> (NAAT)</w:t>
      </w:r>
    </w:p>
    <w:p w14:paraId="59765B24" w14:textId="0D253AFC" w:rsidR="00F059D8" w:rsidRDefault="6412F46A" w:rsidP="00E30C16">
      <w:pPr>
        <w:spacing w:line="480" w:lineRule="auto"/>
        <w:ind w:firstLine="720"/>
      </w:pPr>
      <w:r w:rsidRPr="006F1059">
        <w:t xml:space="preserve">Pools were constructed prior to nucleic acid extraction by combining 500 </w:t>
      </w:r>
      <w:r w:rsidR="00E21D0E">
        <w:rPr>
          <w:iCs/>
        </w:rPr>
        <w:t>µ</w:t>
      </w:r>
      <w:r w:rsidRPr="006F1059">
        <w:rPr>
          <w:iCs/>
        </w:rPr>
        <w:t>L</w:t>
      </w:r>
      <w:r w:rsidR="002E7D13">
        <w:t xml:space="preserve"> </w:t>
      </w:r>
      <w:r w:rsidRPr="006F1059">
        <w:t xml:space="preserve">from each of the </w:t>
      </w:r>
      <w:r w:rsidR="00C6257E">
        <w:t>individual samples. For a pool size of 8, this resulted in a total volume of 4 mL and a dilution factor of 1:8. For a pool size of 4, this resulted in a total volume of 2 mL and a dilution factor of 1:4.</w:t>
      </w:r>
    </w:p>
    <w:p w14:paraId="530B6B95" w14:textId="06C86FD8" w:rsidR="007E2793" w:rsidRPr="00026BBB" w:rsidRDefault="00C6257E" w:rsidP="00F059D8">
      <w:pPr>
        <w:spacing w:line="480" w:lineRule="auto"/>
        <w:ind w:firstLine="720"/>
      </w:pPr>
      <w:r>
        <w:t xml:space="preserve">Subsequently, total nucleic acids were extracted from 500 </w:t>
      </w:r>
      <w:r>
        <w:rPr>
          <w:iCs/>
        </w:rPr>
        <w:t>µ</w:t>
      </w:r>
      <w:r w:rsidRPr="006F1059">
        <w:rPr>
          <w:iCs/>
        </w:rPr>
        <w:t>L</w:t>
      </w:r>
      <w:r>
        <w:rPr>
          <w:iCs/>
        </w:rPr>
        <w:t xml:space="preserve"> taken from each pool</w:t>
      </w:r>
      <w:r w:rsidR="00595976">
        <w:rPr>
          <w:iCs/>
        </w:rPr>
        <w:t xml:space="preserve"> and each individual specimen</w:t>
      </w:r>
      <w:r>
        <w:rPr>
          <w:iCs/>
        </w:rPr>
        <w:t xml:space="preserve"> </w:t>
      </w:r>
      <w:r w:rsidR="00E30C16">
        <w:t xml:space="preserve">on the </w:t>
      </w:r>
      <w:proofErr w:type="spellStart"/>
      <w:r w:rsidR="00E30C16">
        <w:t>QIAsymphony</w:t>
      </w:r>
      <w:proofErr w:type="spellEnd"/>
      <w:r w:rsidR="00E30C16">
        <w:t xml:space="preserve"> using the </w:t>
      </w:r>
      <w:proofErr w:type="spellStart"/>
      <w:r w:rsidR="00E30C16">
        <w:t>QIAsymphony</w:t>
      </w:r>
      <w:proofErr w:type="spellEnd"/>
      <w:r w:rsidR="00E30C16">
        <w:t xml:space="preserve"> DSP Virus/Pathogen Midi Kit (both from Qiagen, Germantown, MD)</w:t>
      </w:r>
      <w:r w:rsidR="000F0C36">
        <w:t>,</w:t>
      </w:r>
      <w:r w:rsidR="00E30C16">
        <w:t xml:space="preserve"> and eluted into 60 </w:t>
      </w:r>
      <w:r w:rsidR="00E30C16">
        <w:rPr>
          <w:iCs/>
        </w:rPr>
        <w:t>µ</w:t>
      </w:r>
      <w:r w:rsidR="00E30C16" w:rsidRPr="006F1059">
        <w:rPr>
          <w:iCs/>
        </w:rPr>
        <w:t>L</w:t>
      </w:r>
      <w:r w:rsidR="00E30C16">
        <w:t xml:space="preserve"> of buffer AVE according to manufacturer’s instructions. </w:t>
      </w:r>
      <w:r w:rsidR="00F059D8">
        <w:t xml:space="preserve">Real-time reverse transcription </w:t>
      </w:r>
      <w:r w:rsidR="00DB7137">
        <w:t>PCR</w:t>
      </w:r>
      <w:r w:rsidR="00F059D8">
        <w:t xml:space="preserve"> (</w:t>
      </w:r>
      <w:proofErr w:type="spellStart"/>
      <w:r w:rsidR="00F059D8">
        <w:t>rRT</w:t>
      </w:r>
      <w:proofErr w:type="spellEnd"/>
      <w:r w:rsidR="00F059D8">
        <w:t xml:space="preserve">-PCR) was performed using an emergency use authorization (EUA) laboratory-developed assay targeting the </w:t>
      </w:r>
      <w:r w:rsidR="00F059D8">
        <w:rPr>
          <w:i/>
        </w:rPr>
        <w:t>E</w:t>
      </w:r>
      <w:r w:rsidR="00F059D8">
        <w:t xml:space="preserve"> gene on the Rotor-Gene Q instrument (Qiagen) </w:t>
      </w:r>
      <w:r w:rsidR="00E21D0E">
        <w:t>as previously described</w:t>
      </w:r>
      <w:r w:rsidR="00193D20">
        <w:t xml:space="preserve"> </w:t>
      </w:r>
      <w:r w:rsidR="00E21D0E">
        <w:fldChar w:fldCharType="begin" w:fldLock="1"/>
      </w:r>
      <w:r w:rsidR="00597F3E">
        <w:instrText>ADDIN CSL_CITATION {"citationItems":[{"id":"ITEM-1","itemData":{"id":"ITEM-1","issued":{"date-parts":[["0"]]},"title":"Food and Drug Administration. EUA Summary: SARS-CoV-2 RT-PCR Assay (Stanford Health Care Clinical Virology Laboratory). 2020 April 08 [cited 2020 Jul 11]. https://www.fda.gov/media/136818/download","type":"webpage"},"uris":["http://www.mendeley.com/documents/?uuid=b61c91f9-c43e-4eef-9878-d7749b233c7f"]},{"id":"ITEM-2","itemData":{"DOI":"10.1016/j.jcv.2020.104427","ISSN":"18735967","abstract":"Background: Numerous nucleic acid amplification tests, including real-time, reverse transcription PCR (rRT-PCR) and isothermal amplification methods, have been developed to detect SARS-CoV-2 RNA, including many that have received emergency use authorization (EUA). There is a need to assess their test performance relative to one another. Objectives: The aim of this study was to compare the test performance of a high complexity laboratory-developed rRT-PCR EUA from Stanford Health Care (SHC) targeting the SARS-CoV-2 envelope (E) gene with other tests: the Atila isothermal amplification assay targeting the nucleocapsid (N) gene and open reading frame 1ab (ORF1ab), the Altona E and spike (S) multiplex, real-time RT-PCR, and the US Centers for Disease Control and Prevention (CDC) N1 and N2 rRT-PCRs. Study Design: A diagnostic comparison study was performed by testing nasopharyngeal samples from persons under investigation for coronavirus disease 2019 (COVID-19). Assay performance was assessed by percent agreement and Cohen's kappa coefficient. Results: Positive percent agreement with the SHC EUA reference assay was 82.8 % (95 % confidence interval (CI) 65.0 to 92.9) for Atila, 86.7 % (95 % CI 69.7 to 95.3) for the Altona E and S targets, and 86.7 % (95 % CI 69.7 to 95.3) and 90.0 % (95 % CI 73.6 to 97.3), for the CDC N1 and N2 targets, respectively. All assays demonstrated 100 % negative percent agreement. Kappa coefficients ranged from 0.86 to 0.92, indicating excellent agreement. Conclusions: Performance was comparable among the SARS-CoV-2 nucleic acid amplification methods tested, with a limited number of discrepancies observed in specimens with low viral loads.","author":[{"dropping-particle":"","family":"Bulterys","given":"Philip L.","non-dropping-particle":"","parse-names":false,"suffix":""},{"dropping-particle":"","family":"Garamani","given":"Natasha","non-dropping-particle":"","parse-names":false,"suffix":""},{"dropping-particle":"","family":"Stevens","given":"Bryan","non-dropping-particle":"","parse-names":false,"suffix":""},{"dropping-particle":"","family":"Sahoo","given":"Malaya K.","non-dropping-particle":"","parse-names":false,"suffix":""},{"dropping-particle":"","family":"Huang","given":"Chun Hong","non-dropping-particle":"","parse-names":false,"suffix":""},{"dropping-particle":"","family":"Hogan","given":"Catherine A.","non-dropping-particle":"","parse-names":false,"suffix":""},{"dropping-particle":"","family":"Zehnder","given":"James","non-dropping-particle":"","parse-names":false,"suffix":""},{"dropping-particle":"","family":"Pinsky","given":"Benjamin A.","non-dropping-particle":"","parse-names":false,"suffix":""}],"container-title":"Journal of Clinical Virology","id":"ITEM-2","issue":"April","issued":{"date-parts":[["2020"]]},"page":"10-13","title":"Comparison of a laboratory-developed test targeting the envelope gene with three nucleic acid amplification tests for detection of SARS-CoV-2","type":"article-journal","volume":"129"},"uris":["http://www.mendeley.com/documents/?uuid=f193a7d2-7425-45fd-8ebb-0c4f81f16cf1"]},{"id":"ITEM-3","itemData":{"DOI":"10.2807/1560-7917.ES.2020.25.3.2000045","ISSN":"15607917","PMID":"31992387","abstract":"Background: The ongoing outbreak of the recently emerged novel coronavirus (2019-nCoV) poses a challenge for public health laboratories as virus isolates are unavailable while there is growing evidence that the outbreak is more widespread than initially thought, and international spread through travellers does already occur. Aim: We aimed to develop and deploy robust diagnostic methodology for use in public health laboratory settings without having virus material available. Methods: Here we present a validated diagnostic workflow for 2019-nCoV, its design relying on close genetic relatedness of 2019-nCoV with SARS coronavirus, making use of synthetic nucleic acid technology. Results: The workflow reliably detects 2019-nCoV, and further discriminates 2019-nCoV from SARS-CoV. Through coordination between academic and public laboratories, we confirmed assay exclusivity based on 297 original clinical specimens containing a full spectrum of human respiratory viruses. Control material is made available through European Virus Archive Global (EVAg), a European Union infrastructure project. Conclusion: The present study demonstrates the enormous response capacity achieved through coordination of academic and public laboratories in national and European research networks.","author":[{"dropping-particle":"","family":"Corman","given":"Victor M.","non-dropping-particle":"","parse-names":false,"suffix":""},{"dropping-particle":"","family":"Landt","given":"Olfert","non-dropping-particle":"","parse-names":false,"suffix":""},{"dropping-particle":"","family":"Kaiser","given":"Marco","non-dropping-particle":"","parse-names":false,"suffix":""},{"dropping-particle":"","family":"Molenkamp","given":"Richard","non-dropping-particle":"","parse-names":false,"suffix":""},{"dropping-particle":"","family":"Meijer","given":"Adam","non-dropping-particle":"","parse-names":false,"suffix":""},{"dropping-particle":"","family":"Chu","given":"Daniel K.W.","non-dropping-particle":"","parse-names":false,"suffix":""},{"dropping-particle":"","family":"Bleicker","given":"Tobias","non-dropping-particle":"","parse-names":false,"suffix":""},{"dropping-particle":"","family":"Brünink","given":"Sebastian","non-dropping-particle":"","parse-names":false,"suffix":""},{"dropping-particle":"","family":"Schneider","given":"Julia","non-dropping-particle":"","parse-names":false,"suffix":""},{"dropping-particle":"","family":"Schmidt","given":"Marie Luisa","non-dropping-particle":"","parse-names":false,"suffix":""},{"dropping-particle":"","family":"Mulders","given":"Daphne G.J.C.","non-dropping-particle":"","parse-names":false,"suffix":""},{"dropping-particle":"","family":"Haagmans","given":"Bart L.","non-dropping-particle":"","parse-names":false,"suffix":""},{"dropping-particle":"","family":"Veer","given":"Bas","non-dropping-particle":"Van Der","parse-names":false,"suffix":""},{"dropping-particle":"","family":"Brink","given":"Sharon","non-dropping-particle":"Van Den","parse-names":false,"suffix":""},{"dropping-particle":"","family":"Wijsman","given":"Lisa","non-dropping-particle":"","parse-names":false,"suffix":""},{"dropping-particle":"","family":"Goderski","given":"Gabriel","non-dropping-particle":"","parse-names":false,"suffix":""},{"dropping-particle":"","family":"Romette","given":"Jean Louis","non-dropping-particle":"","parse-names":false,"suffix":""},{"dropping-particle":"","family":"Ellis","given":"Joanna","non-dropping-particle":"","parse-names":false,"suffix":""},{"dropping-particle":"","family":"Zambon","given":"Maria","non-dropping-particle":"","parse-names":false,"suffix":""},{"dropping-particle":"","family":"Peiris","given":"Malik","non-dropping-particle":"","parse-names":false,"suffix":""},{"dropping-particle":"","family":"Goossens","given":"Herman","non-dropping-particle":"","parse-names":false,"suffix":""},{"dropping-particle":"","family":"Reusken","given":"Chantal","non-dropping-particle":"","parse-names":false,"suffix":""},{"dropping-particle":"","family":"Koopmans","given":"Marion P.G.","non-dropping-particle":"","parse-names":false,"suffix":""},{"dropping-particle":"","family":"Drosten","given":"Christian","non-dropping-particle":"","parse-names":false,"suffix":""}],"container-title":"Eurosurveillance","id":"ITEM-3","issue":"3","issued":{"date-parts":[["2020"]]},"page":"1-8","title":"Detection of 2019 novel coronavirus (2019-nCoV) by real-time RT-PCR","type":"article-journal","volume":"25"},"uris":["http://www.mendeley.com/documents/?uuid=d56c10d1-e8ff-4e96-8b37-0b3a461edbdc"]}],"mendeley":{"formattedCitation":"(&lt;i&gt;14&lt;/i&gt;–&lt;i&gt;16&lt;/i&gt;)","plainTextFormattedCitation":"(14–16)","previouslyFormattedCitation":"(&lt;i&gt;14&lt;/i&gt;–&lt;i&gt;16&lt;/i&gt;)"},"properties":{"noteIndex":0},"schema":"https://github.com/citation-style-language/schema/raw/master/csl-citation.json"}</w:instrText>
      </w:r>
      <w:r w:rsidR="00E21D0E">
        <w:fldChar w:fldCharType="separate"/>
      </w:r>
      <w:r w:rsidR="00597F3E" w:rsidRPr="00597F3E">
        <w:rPr>
          <w:noProof/>
        </w:rPr>
        <w:t>(</w:t>
      </w:r>
      <w:r w:rsidR="00597F3E" w:rsidRPr="00597F3E">
        <w:rPr>
          <w:i/>
          <w:noProof/>
        </w:rPr>
        <w:t>14</w:t>
      </w:r>
      <w:r w:rsidR="00597F3E" w:rsidRPr="00597F3E">
        <w:rPr>
          <w:noProof/>
        </w:rPr>
        <w:t>–</w:t>
      </w:r>
      <w:r w:rsidR="00597F3E" w:rsidRPr="00597F3E">
        <w:rPr>
          <w:i/>
          <w:noProof/>
        </w:rPr>
        <w:t>16</w:t>
      </w:r>
      <w:r w:rsidR="00597F3E" w:rsidRPr="00597F3E">
        <w:rPr>
          <w:noProof/>
        </w:rPr>
        <w:t>)</w:t>
      </w:r>
      <w:r w:rsidR="00E21D0E">
        <w:fldChar w:fldCharType="end"/>
      </w:r>
      <w:r w:rsidR="6412F46A" w:rsidRPr="006F1059">
        <w:t>,</w:t>
      </w:r>
      <w:r w:rsidR="00E21D0E">
        <w:t xml:space="preserve"> with pool</w:t>
      </w:r>
      <w:r w:rsidR="00193D20">
        <w:t>ed samples</w:t>
      </w:r>
      <w:r w:rsidR="00E21D0E">
        <w:t xml:space="preserve"> </w:t>
      </w:r>
      <w:r w:rsidR="00C80494">
        <w:t xml:space="preserve">tested </w:t>
      </w:r>
      <w:r w:rsidR="6412F46A" w:rsidRPr="006F1059">
        <w:t>on the same run as the component individual samples.</w:t>
      </w:r>
      <w:r w:rsidR="00193D20">
        <w:t xml:space="preserve"> </w:t>
      </w:r>
      <w:r w:rsidR="00193D20" w:rsidRPr="006134E4">
        <w:rPr>
          <w:highlight w:val="yellow"/>
        </w:rPr>
        <w:t>A</w:t>
      </w:r>
      <w:r w:rsidR="6412F46A" w:rsidRPr="006134E4">
        <w:rPr>
          <w:highlight w:val="yellow"/>
        </w:rPr>
        <w:t xml:space="preserve"> C</w:t>
      </w:r>
      <w:r w:rsidR="6412F46A" w:rsidRPr="006134E4">
        <w:rPr>
          <w:highlight w:val="yellow"/>
          <w:vertAlign w:val="subscript"/>
        </w:rPr>
        <w:t>t</w:t>
      </w:r>
      <w:r w:rsidR="6412F46A" w:rsidRPr="006134E4">
        <w:rPr>
          <w:highlight w:val="yellow"/>
        </w:rPr>
        <w:t xml:space="preserve"> </w:t>
      </w:r>
      <w:r w:rsidR="00193D20" w:rsidRPr="006134E4">
        <w:rPr>
          <w:highlight w:val="yellow"/>
        </w:rPr>
        <w:t xml:space="preserve">result </w:t>
      </w:r>
      <w:r w:rsidR="6412F46A" w:rsidRPr="006134E4">
        <w:rPr>
          <w:highlight w:val="yellow"/>
        </w:rPr>
        <w:t>between 40-45 was considered an indeterminate result, which was adjudicated by repeat testing</w:t>
      </w:r>
      <w:r w:rsidR="00193D20" w:rsidRPr="006134E4">
        <w:rPr>
          <w:highlight w:val="yellow"/>
        </w:rPr>
        <w:t xml:space="preserve"> and resulted as positive if reproducible with </w:t>
      </w:r>
      <w:r w:rsidR="6412F46A" w:rsidRPr="006134E4">
        <w:rPr>
          <w:highlight w:val="yellow"/>
        </w:rPr>
        <w:t>an acceptable amplification curv</w:t>
      </w:r>
      <w:r w:rsidR="00193D20" w:rsidRPr="006134E4">
        <w:rPr>
          <w:highlight w:val="yellow"/>
        </w:rPr>
        <w:t>e</w:t>
      </w:r>
      <w:r w:rsidR="6412F46A" w:rsidRPr="006F1059">
        <w:t>.</w:t>
      </w:r>
      <w:r w:rsidR="00430D61">
        <w:t xml:space="preserve"> </w:t>
      </w:r>
      <w:r w:rsidR="00026BBB" w:rsidRPr="006134E4">
        <w:rPr>
          <w:highlight w:val="yellow"/>
        </w:rPr>
        <w:t xml:space="preserve">Specimens were only reported as negative if internal control human </w:t>
      </w:r>
      <w:r w:rsidR="00430D61" w:rsidRPr="006134E4">
        <w:rPr>
          <w:i/>
          <w:highlight w:val="yellow"/>
        </w:rPr>
        <w:t>RN</w:t>
      </w:r>
      <w:r w:rsidR="00C47EF1" w:rsidRPr="006134E4">
        <w:rPr>
          <w:i/>
          <w:highlight w:val="yellow"/>
        </w:rPr>
        <w:t>a</w:t>
      </w:r>
      <w:r w:rsidR="00430D61" w:rsidRPr="006134E4">
        <w:rPr>
          <w:i/>
          <w:highlight w:val="yellow"/>
        </w:rPr>
        <w:t>se P</w:t>
      </w:r>
      <w:r w:rsidR="00026BBB" w:rsidRPr="006134E4">
        <w:rPr>
          <w:highlight w:val="yellow"/>
        </w:rPr>
        <w:t xml:space="preserve"> was detected at a C</w:t>
      </w:r>
      <w:r w:rsidR="00026BBB" w:rsidRPr="006134E4">
        <w:rPr>
          <w:highlight w:val="yellow"/>
          <w:vertAlign w:val="subscript"/>
        </w:rPr>
        <w:t>t</w:t>
      </w:r>
      <w:r w:rsidR="00026BBB" w:rsidRPr="006134E4">
        <w:rPr>
          <w:highlight w:val="yellow"/>
        </w:rPr>
        <w:t xml:space="preserve"> of less than 35</w:t>
      </w:r>
      <w:r w:rsidR="00026BBB">
        <w:t>.</w:t>
      </w:r>
    </w:p>
    <w:p w14:paraId="1527FD43" w14:textId="6A57280A" w:rsidR="00814D6B" w:rsidRDefault="00F059D8" w:rsidP="00522EE0">
      <w:pPr>
        <w:spacing w:line="480" w:lineRule="auto"/>
        <w:ind w:firstLine="720"/>
      </w:pPr>
      <w:r>
        <w:lastRenderedPageBreak/>
        <w:t xml:space="preserve">On the same day as </w:t>
      </w:r>
      <w:proofErr w:type="spellStart"/>
      <w:r>
        <w:t>QIAsymphony</w:t>
      </w:r>
      <w:proofErr w:type="spellEnd"/>
      <w:r>
        <w:t xml:space="preserve"> extraction, another 500 </w:t>
      </w:r>
      <w:r>
        <w:rPr>
          <w:iCs/>
        </w:rPr>
        <w:t>µ</w:t>
      </w:r>
      <w:r w:rsidRPr="006F1059">
        <w:rPr>
          <w:iCs/>
        </w:rPr>
        <w:t>L</w:t>
      </w:r>
      <w:r>
        <w:rPr>
          <w:iCs/>
        </w:rPr>
        <w:t xml:space="preserve"> from each pool was transferred to a Hologic Panther Specimen Lysis Tube, and tested using </w:t>
      </w:r>
      <w:r w:rsidR="6412F46A" w:rsidRPr="006F1059">
        <w:t xml:space="preserve">the Panther Fusion SARS-CoV-2 </w:t>
      </w:r>
      <w:r w:rsidR="00193D20">
        <w:t xml:space="preserve">assay </w:t>
      </w:r>
      <w:r w:rsidR="6412F46A" w:rsidRPr="006F1059">
        <w:t>(Hologic</w:t>
      </w:r>
      <w:r w:rsidR="001C3113">
        <w:t>, Marlborough, MA</w:t>
      </w:r>
      <w:r w:rsidR="6412F46A" w:rsidRPr="006F1059">
        <w:t xml:space="preserve">) </w:t>
      </w:r>
      <w:r w:rsidR="00534ADC" w:rsidRPr="006F1059">
        <w:t xml:space="preserve">and Panther Aptima SARS-CoV-2 </w:t>
      </w:r>
      <w:r w:rsidR="00193D20">
        <w:t xml:space="preserve">assay </w:t>
      </w:r>
      <w:r w:rsidR="00534ADC" w:rsidRPr="006F1059">
        <w:t xml:space="preserve">(Hologic), </w:t>
      </w:r>
      <w:r w:rsidR="00193D20">
        <w:t>per manufacturer recommendations</w:t>
      </w:r>
      <w:r w:rsidR="001C3113">
        <w:t xml:space="preserve"> </w:t>
      </w:r>
      <w:r w:rsidR="002254FF">
        <w:fldChar w:fldCharType="begin" w:fldLock="1"/>
      </w:r>
      <w:r w:rsidR="00597F3E">
        <w:instrText>ADDIN CSL_CITATION {"citationItems":[{"id":"ITEM-1","itemData":{"id":"ITEM-1","issued":{"date-parts":[["0"]]},"title":"Food and Drug Administration. EUA Summary: SARS-CoV-2 Assay (Panther Fusion System). 2020 April 24 [cited 2020 Jul 11]. https://www.fda.gov/media/136156/download","type":"article-journal"},"uris":["http://www.mendeley.com/documents/?uuid=54c09098-03b1-49d4-ba54-83bcc8397239"]},{"id":"ITEM-2","itemData":{"abstract":"The Aptima® SARS-CoV-2 assay is a nucleic acid amplification in vitro diagnostic test intended for the qualitative detection of RNA from SARS-CoV-2 isolated and purified from nasopharyngeal (NP), nasal, mid-turbinate and oropharyngeal (OP) swab specimens, nasopharyngeal wash/ aspirate or nasal aspirates obtained from individuals meeting COVID-19 clinical and/or epidemiological criteria. The Aptima SARS-CoV-2 assay is for use only under Emergency Use Authorization (EUA) in the US laboratories certified under the Clinical Laboratory Improvement Amendments of 1988 (CLIA), 42 U.S.C. §263a, to perform high complexity tests. Results are for the identification of SARS-CoV-2 RNA. The SARS-CoV-2 RNA is generally detectable in upper respiratory specimens during the acute phase of infection. Positive results are indicative of the presence of SARS-CoV-2 RNA, clinical correlation with patient history and other diagnostic information is necessary to determine patient infection status. Positive results do not rule out bacterial infection or co-infection with other viruses. Laboratories within the United States and its territories are required to report all positive results to the appropriate public health authorities. Negative results do not preclude SARS-CoV-2 infection and should not be used as the sole basis for patient management decisions. Negative results must be combined with clinical observations, patient history, and epidemiological information. The Aptima SARS-CoV-2 assay on the Panther® and Panther Fusion® system is intended for use by qualified clinical laboratory personnel specifically instructed and trained in the operation of the Panther and Panther Fusion systems and in vitro diagnostic procedures. The Aptima SARS- CoV-2 assay is only for use under the Food and Drug Administration’s Emergency Use Authorization.","id":"ITEM-2","issued":{"date-parts":[["0"]]},"title":"Food and Drug Administration. EUA Summary: Aptima SARS-CoV-2. 2020 May 14 [cited 2020 Jul 11]. https://www.fda.gov/media/138096/download","type":"article-journal"},"uris":["http://www.mendeley.com/documents/?uuid=f0b2691e-5966-4449-98ba-3cccf00255cc"]}],"mendeley":{"formattedCitation":"(&lt;i&gt;17&lt;/i&gt;,&lt;i&gt;18&lt;/i&gt;)","plainTextFormattedCitation":"(17,18)","previouslyFormattedCitation":"(&lt;i&gt;17&lt;/i&gt;,&lt;i&gt;18&lt;/i&gt;)"},"properties":{"noteIndex":0},"schema":"https://github.com/citation-style-language/schema/raw/master/csl-citation.json"}</w:instrText>
      </w:r>
      <w:r w:rsidR="002254FF">
        <w:fldChar w:fldCharType="separate"/>
      </w:r>
      <w:r w:rsidR="00597F3E" w:rsidRPr="00597F3E">
        <w:rPr>
          <w:noProof/>
        </w:rPr>
        <w:t>(</w:t>
      </w:r>
      <w:r w:rsidR="00597F3E" w:rsidRPr="00597F3E">
        <w:rPr>
          <w:i/>
          <w:noProof/>
        </w:rPr>
        <w:t>17</w:t>
      </w:r>
      <w:r w:rsidR="00597F3E" w:rsidRPr="00597F3E">
        <w:rPr>
          <w:noProof/>
        </w:rPr>
        <w:t>,</w:t>
      </w:r>
      <w:r w:rsidR="00597F3E" w:rsidRPr="00597F3E">
        <w:rPr>
          <w:i/>
          <w:noProof/>
        </w:rPr>
        <w:t>18</w:t>
      </w:r>
      <w:r w:rsidR="00597F3E" w:rsidRPr="00597F3E">
        <w:rPr>
          <w:noProof/>
        </w:rPr>
        <w:t>)</w:t>
      </w:r>
      <w:r w:rsidR="002254FF">
        <w:fldChar w:fldCharType="end"/>
      </w:r>
      <w:r w:rsidR="002254FF">
        <w:t xml:space="preserve">. In addition to the manufacturer-set cutoff, </w:t>
      </w:r>
      <w:r w:rsidR="00576DE8">
        <w:t xml:space="preserve">receiver operating characteristic (ROC) </w:t>
      </w:r>
      <w:r w:rsidR="00AC4712">
        <w:t xml:space="preserve">curve </w:t>
      </w:r>
      <w:r w:rsidR="00576DE8">
        <w:t xml:space="preserve">analysis of pooled relative light unit (RLU) values, with individual test results as the reference method, was used to determine </w:t>
      </w:r>
      <w:r w:rsidR="00943ED9">
        <w:t xml:space="preserve">the </w:t>
      </w:r>
      <w:r w:rsidR="00576DE8">
        <w:t>optimal RLU discrimination threshold.</w:t>
      </w:r>
      <w:r w:rsidR="00026BBB">
        <w:t xml:space="preserve"> A focused electronic medical record review was conducted for all samples</w:t>
      </w:r>
      <w:r w:rsidR="00C329D0">
        <w:t>.</w:t>
      </w:r>
    </w:p>
    <w:p w14:paraId="35BF3417" w14:textId="77777777" w:rsidR="000F0C36" w:rsidRPr="006F1059" w:rsidRDefault="000F0C36" w:rsidP="00522EE0">
      <w:pPr>
        <w:spacing w:line="480" w:lineRule="auto"/>
        <w:ind w:firstLine="720"/>
      </w:pPr>
    </w:p>
    <w:p w14:paraId="7949362B" w14:textId="1394751B" w:rsidR="007E2793" w:rsidRDefault="6412F46A" w:rsidP="00814D6B">
      <w:pPr>
        <w:spacing w:line="480" w:lineRule="auto"/>
      </w:pPr>
      <w:r w:rsidRPr="006F1059">
        <w:t>Statistical Analysis</w:t>
      </w:r>
    </w:p>
    <w:p w14:paraId="0937D7B0" w14:textId="66BE571A" w:rsidR="00D94B94" w:rsidRDefault="00AC4712" w:rsidP="00814D6B">
      <w:pPr>
        <w:spacing w:line="480" w:lineRule="auto"/>
        <w:ind w:firstLine="720"/>
      </w:pPr>
      <w:r>
        <w:t>ROC</w:t>
      </w:r>
      <w:r w:rsidR="00EA5440">
        <w:t xml:space="preserve"> curve analysis was conducted using R package “</w:t>
      </w:r>
      <w:proofErr w:type="spellStart"/>
      <w:r w:rsidR="00EA5440">
        <w:t>pROC</w:t>
      </w:r>
      <w:proofErr w:type="spellEnd"/>
      <w:r w:rsidR="00EA5440">
        <w:t xml:space="preserve">” </w:t>
      </w:r>
      <w:r w:rsidR="00EA5440">
        <w:fldChar w:fldCharType="begin" w:fldLock="1"/>
      </w:r>
      <w:r w:rsidR="00597F3E">
        <w:instrText>ADDIN CSL_CITATION {"citationItems":[{"id":"ITEM-1","itemData":{"DOI":"10.1186/1471-2105-12-77","ISSN":"14712105","PMID":"21414208","abstract":"Background: Receiver operating characteristic (ROC) curves are useful tools to evaluate classifiers in biomedical and bioinformatics applications. However, conclusions are often reached through inconsistent use or insufficient statistical analysis. To support researchers in their ROC curves analysis we developed pROC, a package for R and S+ that contains a set of tools displaying, analyzing, smoothing and comparing ROC curves in a user-friendly, object-oriented and flexible interface.Results: With data previously imported into the R or S+ environment, the pROC package builds ROC curves and includes functions for computing confidence intervals, statistical tests for comparing total or partial area under the curve or the operating points of different classifiers, and methods for smoothing ROC curves. Intermediary and final results are visualised in user-friendly interfaces. A case study based on published clinical and biomarker data shows how to perform a typical ROC analysis with pROC.Conclusions: pROC is a package for R and S+ specifically dedicated to ROC analysis. It proposes multiple statistical tests to compare ROC curves, and in particular partial areas under the curve, allowing proper ROC interpretation. pROC is available in two versions: in the R programming language or with a graphical user interface in the S+ statistical software. It is accessible at http://expasy.org/tools/pROC/ under the GNU General Public License. It is also distributed through the CRAN and CSAN public repositories, facilitating its installation. © 2011 Robin et al; licensee BioMed Central Ltd.","author":[{"dropping-particle":"","family":"Robin","given":"Xavier","non-dropping-particle":"","parse-names":false,"suffix":""},{"dropping-particle":"","family":"Turck","given":"Natacha","non-dropping-particle":"","parse-names":false,"suffix":""},{"dropping-particle":"","family":"Hainard","given":"Alexandre","non-dropping-particle":"","parse-names":false,"suffix":""},{"dropping-particle":"","family":"Tiberti","given":"Natalia","non-dropping-particle":"","parse-names":false,"suffix":""},{"dropping-particle":"","family":"Lisacek","given":"Frédérique","non-dropping-particle":"","parse-names":false,"suffix":""},{"dropping-particle":"","family":"Sanchez","given":"Jean Charles","non-dropping-particle":"","parse-names":false,"suffix":""},{"dropping-particle":"","family":"Müller","given":"Markus","non-dropping-particle":"","parse-names":false,"suffix":""}],"container-title":"BMC Bioinformatics","id":"ITEM-1","issued":{"date-parts":[["2011"]]},"title":"pROC: An open-source package for R and S+ to analyze and compare ROC curves","type":"article-journal","volume":"12"},"uris":["http://www.mendeley.com/documents/?uuid=b7e88bdc-7ef6-4019-a56f-5b051549ef3a","http://www.mendeley.com/documents/?uuid=f788f3e2-d855-4952-9ab1-db895450c7fd"]}],"mendeley":{"formattedCitation":"(&lt;i&gt;19&lt;/i&gt;)","plainTextFormattedCitation":"(19)","previouslyFormattedCitation":"(&lt;i&gt;19&lt;/i&gt;)"},"properties":{"noteIndex":0},"schema":"https://github.com/citation-style-language/schema/raw/master/csl-citation.json"}</w:instrText>
      </w:r>
      <w:r w:rsidR="00EA5440">
        <w:fldChar w:fldCharType="separate"/>
      </w:r>
      <w:r w:rsidR="00597F3E" w:rsidRPr="00597F3E">
        <w:rPr>
          <w:noProof/>
        </w:rPr>
        <w:t>(</w:t>
      </w:r>
      <w:r w:rsidR="00597F3E" w:rsidRPr="00597F3E">
        <w:rPr>
          <w:i/>
          <w:noProof/>
        </w:rPr>
        <w:t>19</w:t>
      </w:r>
      <w:r w:rsidR="00597F3E" w:rsidRPr="00597F3E">
        <w:rPr>
          <w:noProof/>
        </w:rPr>
        <w:t>)</w:t>
      </w:r>
      <w:r w:rsidR="00EA5440">
        <w:fldChar w:fldCharType="end"/>
      </w:r>
      <w:r w:rsidR="00EA5440">
        <w:t xml:space="preserve">. </w:t>
      </w:r>
      <w:r w:rsidR="002254FF">
        <w:t xml:space="preserve">Positive percent agreement </w:t>
      </w:r>
      <w:r w:rsidR="00404106">
        <w:t xml:space="preserve">(PPA) </w:t>
      </w:r>
      <w:r w:rsidR="002254FF">
        <w:t xml:space="preserve">and negative percent agreement </w:t>
      </w:r>
      <w:r w:rsidR="00404106">
        <w:t xml:space="preserve">(NPA) </w:t>
      </w:r>
      <w:r w:rsidR="002254FF">
        <w:t>were calculated using individual testing as the reference method</w:t>
      </w:r>
      <w:r w:rsidR="002F6B07">
        <w:t xml:space="preserve">, </w:t>
      </w:r>
      <w:r w:rsidR="005D638E">
        <w:t>and were reported with</w:t>
      </w:r>
      <w:r w:rsidR="002F6B07">
        <w:t xml:space="preserve"> </w:t>
      </w:r>
      <w:r w:rsidR="005A4468">
        <w:t>exact (</w:t>
      </w:r>
      <w:r w:rsidR="005D638E">
        <w:t>Clopper-Pearson</w:t>
      </w:r>
      <w:r w:rsidR="005A4468">
        <w:t>)</w:t>
      </w:r>
      <w:r w:rsidR="005D638E">
        <w:t xml:space="preserve"> </w:t>
      </w:r>
      <w:r w:rsidR="0047120E">
        <w:t xml:space="preserve">95% </w:t>
      </w:r>
      <w:r w:rsidR="002F6B07">
        <w:t>confidence intervals</w:t>
      </w:r>
      <w:r w:rsidR="005D638E">
        <w:t xml:space="preserve"> </w:t>
      </w:r>
      <w:r w:rsidR="0047120E">
        <w:t xml:space="preserve">(95% CI) </w:t>
      </w:r>
      <w:r w:rsidR="005A4468">
        <w:fldChar w:fldCharType="begin" w:fldLock="1"/>
      </w:r>
      <w:r w:rsidR="00597F3E">
        <w:instrText>ADDIN CSL_CITATION {"citationItems":[{"id":"ITEM-1","itemData":{"ISBN":"9780727913753","abstract":"This highly popular introduction to confidence intervals has been thoroughly updated and expanded. It includes methods for using confidence intervals, with illustrative worked examples and extensive guidelines and checklists to help the novice.This highly popular introduction to confidence intervals has been thoroughly updated and expanded. It includes methods for using confidence intervals, with illustrative worked examples and extensive guidelines and checklists to help the novice.","author":[{"dropping-particle":"","family":"Altman","given":"Douglas","non-dropping-particle":"","parse-names":false,"suffix":""},{"dropping-particle":"","family":"Machin","given":"David","non-dropping-particle":"","parse-names":false,"suffix":""},{"dropping-particle":"","family":"Bryant","given":"Trevor","non-dropping-particle":"","parse-names":false,"suffix":""},{"dropping-particle":"","family":"Gardner","given":"Martin","non-dropping-particle":"","parse-names":false,"suffix":""},{"dropping-particle":"","family":"Editors","given":"","non-dropping-particle":"","parse-names":false,"suffix":""}],"container-title":"British Medical Journal","edition":"2nd","id":"ITEM-1","issued":{"date-parts":[["2000"]]},"publisher":"British Medical Journal Books","publisher-place":"London","title":"Statistics With Confidence","type":"book"},"uris":["http://www.mendeley.com/documents/?uuid=7aefa299-c120-4a98-bc6c-65884ea88710"]}],"mendeley":{"formattedCitation":"(&lt;i&gt;20&lt;/i&gt;)","plainTextFormattedCitation":"(20)","previouslyFormattedCitation":"(&lt;i&gt;20&lt;/i&gt;)"},"properties":{"noteIndex":0},"schema":"https://github.com/citation-style-language/schema/raw/master/csl-citation.json"}</w:instrText>
      </w:r>
      <w:r w:rsidR="005A4468">
        <w:fldChar w:fldCharType="separate"/>
      </w:r>
      <w:r w:rsidR="00597F3E" w:rsidRPr="00597F3E">
        <w:rPr>
          <w:noProof/>
        </w:rPr>
        <w:t>(</w:t>
      </w:r>
      <w:r w:rsidR="00597F3E" w:rsidRPr="00597F3E">
        <w:rPr>
          <w:i/>
          <w:noProof/>
        </w:rPr>
        <w:t>20</w:t>
      </w:r>
      <w:r w:rsidR="00597F3E" w:rsidRPr="00597F3E">
        <w:rPr>
          <w:noProof/>
        </w:rPr>
        <w:t>)</w:t>
      </w:r>
      <w:r w:rsidR="005A4468">
        <w:fldChar w:fldCharType="end"/>
      </w:r>
      <w:r w:rsidR="002254FF">
        <w:t xml:space="preserve">. </w:t>
      </w:r>
      <w:r w:rsidR="000F104F">
        <w:t>Passing-Bablok</w:t>
      </w:r>
      <w:r w:rsidR="000F104F" w:rsidRPr="006F1059">
        <w:t xml:space="preserve"> </w:t>
      </w:r>
      <w:r w:rsidR="7897BC07" w:rsidRPr="006F1059">
        <w:t>regression was used to compare C</w:t>
      </w:r>
      <w:r w:rsidR="7897BC07" w:rsidRPr="006F1059">
        <w:rPr>
          <w:vertAlign w:val="subscript"/>
        </w:rPr>
        <w:t>t</w:t>
      </w:r>
      <w:r w:rsidR="7897BC07" w:rsidRPr="006F1059">
        <w:t xml:space="preserve"> values of </w:t>
      </w:r>
      <w:r w:rsidR="00E87C78">
        <w:t xml:space="preserve">the </w:t>
      </w:r>
      <w:r w:rsidR="7897BC07" w:rsidRPr="006F1059">
        <w:t>individual</w:t>
      </w:r>
      <w:r w:rsidR="001C3113" w:rsidRPr="001C3113">
        <w:rPr>
          <w:i/>
        </w:rPr>
        <w:t xml:space="preserve"> </w:t>
      </w:r>
      <w:r w:rsidR="00E87C78">
        <w:t>laboratory-developed test (</w:t>
      </w:r>
      <w:r w:rsidR="7897BC07" w:rsidRPr="006F1059">
        <w:t>LDT</w:t>
      </w:r>
      <w:r w:rsidR="00E87C78">
        <w:t>)</w:t>
      </w:r>
      <w:r w:rsidR="7897BC07" w:rsidRPr="006F1059">
        <w:t>, pooled</w:t>
      </w:r>
      <w:r w:rsidR="001C3113" w:rsidRPr="001C3113">
        <w:rPr>
          <w:i/>
        </w:rPr>
        <w:t xml:space="preserve"> </w:t>
      </w:r>
      <w:r w:rsidR="7897BC07" w:rsidRPr="006F1059">
        <w:t xml:space="preserve">LDT, and pooled Panther Fusion assays. The 95% </w:t>
      </w:r>
      <w:r w:rsidR="0047120E">
        <w:t>CIs</w:t>
      </w:r>
      <w:r w:rsidR="7897BC07" w:rsidRPr="006F1059">
        <w:t xml:space="preserve"> of slope</w:t>
      </w:r>
      <w:r w:rsidR="00F95362">
        <w:t xml:space="preserve">, </w:t>
      </w:r>
      <w:r w:rsidR="7897BC07" w:rsidRPr="006F1059">
        <w:t>intercept</w:t>
      </w:r>
      <w:r w:rsidR="00F95362">
        <w:t>, and bias</w:t>
      </w:r>
      <w:r w:rsidR="7897BC07" w:rsidRPr="006F1059">
        <w:t xml:space="preserve"> were calculated using a</w:t>
      </w:r>
      <w:r w:rsidR="00CC1209">
        <w:t>n</w:t>
      </w:r>
      <w:r w:rsidR="7897BC07" w:rsidRPr="006F1059">
        <w:t xml:space="preserve"> </w:t>
      </w:r>
      <w:r w:rsidR="00CC1209" w:rsidRPr="00CC1209">
        <w:t>ordinary non-parametric bootstrap resampling</w:t>
      </w:r>
      <w:r w:rsidR="00CC1209">
        <w:t xml:space="preserve"> </w:t>
      </w:r>
      <w:r w:rsidR="7897BC07" w:rsidRPr="006F1059">
        <w:t xml:space="preserve">method with default parameters in R package “mcr”. </w:t>
      </w:r>
      <w:r w:rsidR="00EA5440">
        <w:t>P</w:t>
      </w:r>
      <w:r w:rsidR="00E079A6" w:rsidRPr="006F1059">
        <w:t>aired t-tests were used to compare the mean differences between paired C</w:t>
      </w:r>
      <w:r w:rsidR="00E079A6" w:rsidRPr="006F1059">
        <w:rPr>
          <w:vertAlign w:val="subscript"/>
        </w:rPr>
        <w:t>t</w:t>
      </w:r>
      <w:r w:rsidR="00E079A6" w:rsidRPr="006F1059">
        <w:t xml:space="preserve"> values among different assays.</w:t>
      </w:r>
      <w:r w:rsidR="00F6646E" w:rsidRPr="006F1059">
        <w:t xml:space="preserve"> </w:t>
      </w:r>
      <w:r w:rsidR="00026BBB">
        <w:t xml:space="preserve">A student’s t-test was used to compare the mean difference between internal control </w:t>
      </w:r>
      <w:r w:rsidR="00026BBB">
        <w:rPr>
          <w:i/>
        </w:rPr>
        <w:t>RN</w:t>
      </w:r>
      <w:r w:rsidR="00C47EF1">
        <w:rPr>
          <w:i/>
        </w:rPr>
        <w:t>a</w:t>
      </w:r>
      <w:r w:rsidR="00026BBB">
        <w:rPr>
          <w:i/>
        </w:rPr>
        <w:t xml:space="preserve">se P </w:t>
      </w:r>
      <w:r w:rsidR="00943ED9" w:rsidRPr="006F1059">
        <w:t>C</w:t>
      </w:r>
      <w:r w:rsidR="00943ED9" w:rsidRPr="006F1059">
        <w:rPr>
          <w:vertAlign w:val="subscript"/>
        </w:rPr>
        <w:t>t</w:t>
      </w:r>
      <w:r w:rsidR="00026BBB">
        <w:t xml:space="preserve"> values</w:t>
      </w:r>
      <w:r w:rsidR="00EA5440">
        <w:t xml:space="preserve"> in false negative and true negative pools. All comparisons were two-sided with Type I error set at 0.05. </w:t>
      </w:r>
      <w:commentRangeStart w:id="3"/>
      <w:r w:rsidR="000E4350">
        <w:t xml:space="preserve">We used </w:t>
      </w:r>
      <w:r w:rsidR="009F6B9E">
        <w:t xml:space="preserve">the </w:t>
      </w:r>
      <w:r w:rsidR="000E4350" w:rsidRPr="006F1059">
        <w:t xml:space="preserve">laboratory-wide </w:t>
      </w:r>
      <w:r w:rsidR="000E4350">
        <w:t>C</w:t>
      </w:r>
      <w:r w:rsidR="000E4350" w:rsidRPr="00DF4098">
        <w:rPr>
          <w:vertAlign w:val="subscript"/>
        </w:rPr>
        <w:t>t</w:t>
      </w:r>
      <w:r w:rsidR="000E4350">
        <w:t xml:space="preserve"> value distribution </w:t>
      </w:r>
      <w:r w:rsidR="009F6B9E">
        <w:t xml:space="preserve">and a separate </w:t>
      </w:r>
      <w:proofErr w:type="spellStart"/>
      <w:r w:rsidR="009F6B9E">
        <w:t>LoD</w:t>
      </w:r>
      <w:proofErr w:type="spellEnd"/>
      <w:r w:rsidR="009F6B9E">
        <w:t xml:space="preserve"> experiment </w:t>
      </w:r>
      <w:r w:rsidR="000E4350">
        <w:t xml:space="preserve">to develop a stochastic simulation model to estimate PPA and efficiency for a two-stage pooled testing algorithm, </w:t>
      </w:r>
      <w:r w:rsidR="009F6B9E">
        <w:t>which was subsequently validated using the</w:t>
      </w:r>
      <w:r w:rsidR="000E4350">
        <w:t xml:space="preserve"> independent empiric pools of 8 and pools of 4 </w:t>
      </w:r>
      <w:r w:rsidR="00276D54">
        <w:t>data</w:t>
      </w:r>
      <w:r w:rsidR="000E4350">
        <w:t>, as well as in silico pools of 5 and pools of 3 data. The methods used to develop this model are described in the Technical Appendix</w:t>
      </w:r>
      <w:commentRangeEnd w:id="3"/>
      <w:r w:rsidR="006134E4">
        <w:rPr>
          <w:rStyle w:val="CommentReference"/>
        </w:rPr>
        <w:commentReference w:id="3"/>
      </w:r>
      <w:r w:rsidR="000E4350">
        <w:t xml:space="preserve">.  </w:t>
      </w:r>
    </w:p>
    <w:p w14:paraId="0DEDDE09" w14:textId="77777777" w:rsidR="004E7C8E" w:rsidRPr="00071C38" w:rsidRDefault="004E7C8E" w:rsidP="006E7F30">
      <w:pPr>
        <w:spacing w:line="480" w:lineRule="auto"/>
      </w:pPr>
    </w:p>
    <w:p w14:paraId="7A9979BE" w14:textId="2AA3B3C7" w:rsidR="007E2793" w:rsidRDefault="6412F46A" w:rsidP="00814D6B">
      <w:pPr>
        <w:spacing w:line="480" w:lineRule="auto"/>
        <w:rPr>
          <w:b/>
          <w:bCs/>
        </w:rPr>
      </w:pPr>
      <w:r w:rsidRPr="006F1059">
        <w:rPr>
          <w:b/>
          <w:bCs/>
        </w:rPr>
        <w:t>Results</w:t>
      </w:r>
    </w:p>
    <w:p w14:paraId="36478052" w14:textId="77777777" w:rsidR="00C71AAF" w:rsidRDefault="00C71AAF" w:rsidP="00814D6B">
      <w:pPr>
        <w:spacing w:line="480" w:lineRule="auto"/>
        <w:rPr>
          <w:b/>
          <w:bCs/>
        </w:rPr>
      </w:pPr>
    </w:p>
    <w:p w14:paraId="19231FA5" w14:textId="0AF71E04" w:rsidR="00814D6B" w:rsidRPr="00814D6B" w:rsidRDefault="00814D6B" w:rsidP="00814D6B">
      <w:pPr>
        <w:spacing w:line="480" w:lineRule="auto"/>
        <w:rPr>
          <w:bCs/>
        </w:rPr>
      </w:pPr>
      <w:r>
        <w:rPr>
          <w:bCs/>
        </w:rPr>
        <w:t>Assay Comparisons</w:t>
      </w:r>
      <w:r w:rsidR="003024BE">
        <w:rPr>
          <w:bCs/>
        </w:rPr>
        <w:t xml:space="preserve"> for Pools of </w:t>
      </w:r>
      <w:r w:rsidR="001214DA">
        <w:rPr>
          <w:bCs/>
        </w:rPr>
        <w:t>8</w:t>
      </w:r>
    </w:p>
    <w:p w14:paraId="3746D3AC" w14:textId="5E047DD9" w:rsidR="00C55F63" w:rsidRDefault="003024BE" w:rsidP="00CC00DA">
      <w:pPr>
        <w:spacing w:line="480" w:lineRule="auto"/>
        <w:ind w:firstLine="720"/>
      </w:pPr>
      <w:r>
        <w:t xml:space="preserve">To evaluate a pool size of </w:t>
      </w:r>
      <w:r w:rsidR="001214DA">
        <w:t>8</w:t>
      </w:r>
      <w:r>
        <w:t xml:space="preserve">, a </w:t>
      </w:r>
      <w:r w:rsidR="000D6F57">
        <w:t xml:space="preserve">total of 112 pools from 896 samples </w:t>
      </w:r>
      <w:r w:rsidR="000D6F57" w:rsidRPr="006F1059">
        <w:t xml:space="preserve">were </w:t>
      </w:r>
      <w:r w:rsidR="000D6F57">
        <w:t xml:space="preserve">each </w:t>
      </w:r>
      <w:r w:rsidR="000D6F57" w:rsidRPr="006F1059">
        <w:t xml:space="preserve">tested on three different </w:t>
      </w:r>
      <w:r w:rsidR="000D6F57">
        <w:t xml:space="preserve">NAAT </w:t>
      </w:r>
      <w:r w:rsidR="000D6F57" w:rsidRPr="006F1059">
        <w:t>platforms</w:t>
      </w:r>
      <w:r w:rsidR="000D6F57">
        <w:t xml:space="preserve"> (Table 1)</w:t>
      </w:r>
      <w:r w:rsidR="000D6F57" w:rsidRPr="006F1059">
        <w:t xml:space="preserve">. </w:t>
      </w:r>
      <w:r w:rsidR="00576DE8" w:rsidRPr="006F1059">
        <w:t>Two pools resulted as invalid, one on the Panther Fusion assay</w:t>
      </w:r>
      <w:r w:rsidR="00576DE8">
        <w:t xml:space="preserve"> (0.9%)</w:t>
      </w:r>
      <w:r w:rsidR="00576DE8" w:rsidRPr="006F1059">
        <w:t>, and one on the Panther Aptima assay</w:t>
      </w:r>
      <w:r w:rsidR="00576DE8">
        <w:t xml:space="preserve"> (0.9%</w:t>
      </w:r>
      <w:proofErr w:type="gramStart"/>
      <w:r w:rsidR="00576DE8">
        <w:t>)</w:t>
      </w:r>
      <w:r w:rsidR="00576DE8" w:rsidRPr="006F1059">
        <w:t>, and</w:t>
      </w:r>
      <w:proofErr w:type="gramEnd"/>
      <w:r w:rsidR="00576DE8" w:rsidRPr="006F1059">
        <w:t xml:space="preserve"> were excluded from subsequent analysis. All 16 individual samples in these two pools tested negative. The remaining 110 pools contained 880 individual samples. Four samples were tested in duplicate in two different pools with identical results.</w:t>
      </w:r>
      <w:r w:rsidR="006E7F30" w:rsidRPr="006E7F30">
        <w:t xml:space="preserve"> </w:t>
      </w:r>
      <w:r w:rsidR="00CC00DA">
        <w:t>Among the 880 individual samples, 5</w:t>
      </w:r>
      <w:r w:rsidR="00306D05">
        <w:t>8</w:t>
      </w:r>
      <w:r w:rsidR="00CC00DA">
        <w:t xml:space="preserve"> (6.</w:t>
      </w:r>
      <w:r w:rsidR="00306D05">
        <w:t>6</w:t>
      </w:r>
      <w:r w:rsidR="00CC00DA">
        <w:t>%) were positive, with a median C</w:t>
      </w:r>
      <w:r w:rsidR="00CC00DA" w:rsidRPr="00716A4B">
        <w:rPr>
          <w:vertAlign w:val="subscript"/>
        </w:rPr>
        <w:t>t</w:t>
      </w:r>
      <w:r w:rsidR="00CC00DA">
        <w:t xml:space="preserve"> value of 31.</w:t>
      </w:r>
      <w:r w:rsidR="00306D05">
        <w:t>4</w:t>
      </w:r>
      <w:r w:rsidR="00CC00DA">
        <w:t xml:space="preserve"> (IQR </w:t>
      </w:r>
      <w:r w:rsidR="00CC00DA" w:rsidRPr="00C55F63">
        <w:t>2</w:t>
      </w:r>
      <w:r w:rsidR="00306D05">
        <w:t>2</w:t>
      </w:r>
      <w:r w:rsidR="00CC00DA" w:rsidRPr="00C55F63">
        <w:t>.</w:t>
      </w:r>
      <w:r w:rsidR="00306D05">
        <w:t>1</w:t>
      </w:r>
      <w:r w:rsidR="00CC00DA" w:rsidRPr="00C55F63">
        <w:t>-35.</w:t>
      </w:r>
      <w:r w:rsidR="00306D05">
        <w:t>5</w:t>
      </w:r>
      <w:r w:rsidR="00CC00DA">
        <w:t xml:space="preserve">). </w:t>
      </w:r>
      <w:r w:rsidR="00492F59">
        <w:t>First-time diagnostic specimens had a higher median C</w:t>
      </w:r>
      <w:r w:rsidR="00492F59" w:rsidRPr="00716A4B">
        <w:rPr>
          <w:vertAlign w:val="subscript"/>
        </w:rPr>
        <w:t>t</w:t>
      </w:r>
      <w:r w:rsidR="00492F59">
        <w:t xml:space="preserve"> value than follow-up tests (Table 2). </w:t>
      </w:r>
      <w:r w:rsidR="00AC4712">
        <w:t xml:space="preserve">ROC </w:t>
      </w:r>
      <w:r w:rsidR="00C55F63">
        <w:t>curve analysis for the Panther Aptima revealed an optimal cutoff between 343 and 393 RLUs; a cutoff of 350 was chosen as the nearest round number (</w:t>
      </w:r>
      <w:r w:rsidR="00780683">
        <w:t xml:space="preserve">Panther Aptima-350, </w:t>
      </w:r>
      <w:r w:rsidR="00C55F63">
        <w:t>Appendix Table 1, Appendix Figure 1).</w:t>
      </w:r>
      <w:r w:rsidR="00C55F63" w:rsidRPr="00BD05EF">
        <w:t xml:space="preserve"> </w:t>
      </w:r>
    </w:p>
    <w:p w14:paraId="5861075F" w14:textId="6C81E191" w:rsidR="00814D6B" w:rsidRDefault="005927E8" w:rsidP="00CB337B">
      <w:pPr>
        <w:spacing w:line="480" w:lineRule="auto"/>
        <w:ind w:firstLine="720"/>
      </w:pPr>
      <w:r>
        <w:t>Among</w:t>
      </w:r>
      <w:r w:rsidR="5885873D" w:rsidRPr="006F1059">
        <w:t xml:space="preserve"> the tested </w:t>
      </w:r>
      <w:r>
        <w:t xml:space="preserve">pools of </w:t>
      </w:r>
      <w:r w:rsidR="001214DA">
        <w:t>8</w:t>
      </w:r>
      <w:r w:rsidR="5885873D" w:rsidRPr="006F1059">
        <w:t>, 4</w:t>
      </w:r>
      <w:r w:rsidR="00082E4F">
        <w:t>1.8</w:t>
      </w:r>
      <w:r w:rsidR="5885873D" w:rsidRPr="006F1059">
        <w:t>% (4</w:t>
      </w:r>
      <w:r w:rsidR="00082E4F">
        <w:t>6</w:t>
      </w:r>
      <w:r w:rsidR="5885873D" w:rsidRPr="006F1059">
        <w:t>/110) contained at least one positive sample. The positive pools were comprised of 3</w:t>
      </w:r>
      <w:r w:rsidR="00082E4F">
        <w:t>6</w:t>
      </w:r>
      <w:r w:rsidR="5885873D" w:rsidRPr="006F1059">
        <w:t xml:space="preserve"> pools with </w:t>
      </w:r>
      <w:r w:rsidR="001214DA">
        <w:t>1</w:t>
      </w:r>
      <w:r w:rsidR="5885873D" w:rsidRPr="006F1059">
        <w:t xml:space="preserve"> positive sample, 9 pools with </w:t>
      </w:r>
      <w:r w:rsidR="001214DA">
        <w:t>2</w:t>
      </w:r>
      <w:r w:rsidR="5885873D" w:rsidRPr="006F1059">
        <w:t xml:space="preserve"> positive samples, and 1 pool with </w:t>
      </w:r>
      <w:r w:rsidR="001214DA">
        <w:t>4</w:t>
      </w:r>
      <w:r w:rsidR="5885873D" w:rsidRPr="006F1059">
        <w:t xml:space="preserve"> positive samples (Table </w:t>
      </w:r>
      <w:r w:rsidR="00492F59">
        <w:t>3</w:t>
      </w:r>
      <w:r w:rsidR="5885873D" w:rsidRPr="006F1059">
        <w:t xml:space="preserve">). </w:t>
      </w:r>
      <w:commentRangeStart w:id="4"/>
      <w:r w:rsidR="5885873D" w:rsidRPr="006F1059">
        <w:t xml:space="preserve">There were 3 false positive pools, </w:t>
      </w:r>
      <w:r w:rsidR="00407DA1">
        <w:t>one</w:t>
      </w:r>
      <w:r w:rsidR="5885873D" w:rsidRPr="006F1059">
        <w:t xml:space="preserve"> on each platform, in which </w:t>
      </w:r>
      <w:r w:rsidR="007F2625">
        <w:t>each</w:t>
      </w:r>
      <w:r w:rsidR="5885873D" w:rsidRPr="006F1059">
        <w:t xml:space="preserve"> of the individual samples tested negative</w:t>
      </w:r>
      <w:commentRangeEnd w:id="4"/>
      <w:r w:rsidR="00EB6B54">
        <w:rPr>
          <w:rStyle w:val="CommentReference"/>
        </w:rPr>
        <w:commentReference w:id="4"/>
      </w:r>
      <w:r w:rsidR="5885873D" w:rsidRPr="006F1059">
        <w:t>.</w:t>
      </w:r>
      <w:r w:rsidR="005659C9" w:rsidRPr="006F1059">
        <w:t xml:space="preserve"> The overall </w:t>
      </w:r>
      <w:r w:rsidR="00404106">
        <w:t>PPA</w:t>
      </w:r>
      <w:r w:rsidR="005659C9" w:rsidRPr="006F1059">
        <w:t xml:space="preserve"> of pooled testing ranged from 7</w:t>
      </w:r>
      <w:r w:rsidR="00082E4F">
        <w:t>1.7</w:t>
      </w:r>
      <w:r w:rsidR="005659C9" w:rsidRPr="006F1059">
        <w:t>% to 8</w:t>
      </w:r>
      <w:r w:rsidR="00082E4F">
        <w:t>2.6</w:t>
      </w:r>
      <w:r w:rsidR="005659C9" w:rsidRPr="006F1059">
        <w:t xml:space="preserve">%, while </w:t>
      </w:r>
      <w:r w:rsidR="00404106">
        <w:t>NPA</w:t>
      </w:r>
      <w:r w:rsidR="005659C9" w:rsidRPr="006F1059">
        <w:t xml:space="preserve"> </w:t>
      </w:r>
      <w:r w:rsidR="005A4468">
        <w:t>ranged from</w:t>
      </w:r>
      <w:r w:rsidR="005659C9" w:rsidRPr="006F1059">
        <w:t xml:space="preserve"> 98.4% </w:t>
      </w:r>
      <w:r w:rsidR="005A4468">
        <w:t xml:space="preserve">to 100.0% </w:t>
      </w:r>
      <w:r w:rsidR="005659C9" w:rsidRPr="006F1059">
        <w:t xml:space="preserve">(Table </w:t>
      </w:r>
      <w:r w:rsidR="00492F59">
        <w:t>4</w:t>
      </w:r>
      <w:r w:rsidR="005659C9" w:rsidRPr="006F1059">
        <w:t>).</w:t>
      </w:r>
      <w:r w:rsidR="00454162">
        <w:t xml:space="preserve"> </w:t>
      </w:r>
      <w:r w:rsidR="00CB337B">
        <w:t>The 14 pools containing positive first-time diagnostic samples had higher PPA than the 28 pools containing positive follow-up tests by LDT (Appendix Table 3).</w:t>
      </w:r>
    </w:p>
    <w:p w14:paraId="0B999D39" w14:textId="5BE7C54D" w:rsidR="007E2793" w:rsidRPr="000D20BD" w:rsidRDefault="00814D6B" w:rsidP="000D20BD">
      <w:pPr>
        <w:spacing w:line="480" w:lineRule="auto"/>
        <w:ind w:firstLine="720"/>
        <w:rPr>
          <w:rFonts w:eastAsia="Arial"/>
        </w:rPr>
      </w:pPr>
      <w:r w:rsidRPr="006F1059">
        <w:rPr>
          <w:rFonts w:eastAsia="Arial"/>
        </w:rPr>
        <w:t>There were 1</w:t>
      </w:r>
      <w:r w:rsidR="00082E4F">
        <w:rPr>
          <w:rFonts w:eastAsia="Arial"/>
        </w:rPr>
        <w:t>6</w:t>
      </w:r>
      <w:r w:rsidRPr="006F1059">
        <w:rPr>
          <w:rFonts w:eastAsia="Arial"/>
        </w:rPr>
        <w:t xml:space="preserve"> total pools for which at least one method was falsely negative. </w:t>
      </w:r>
      <w:r>
        <w:rPr>
          <w:rFonts w:eastAsia="Arial"/>
        </w:rPr>
        <w:t>Except for the one pool containing four positive specimens, which was not detected by Panther Aptima</w:t>
      </w:r>
      <w:r w:rsidR="00E87C78">
        <w:rPr>
          <w:rFonts w:eastAsia="Arial"/>
        </w:rPr>
        <w:t xml:space="preserve"> using </w:t>
      </w:r>
      <w:r w:rsidR="00367038">
        <w:rPr>
          <w:rFonts w:eastAsia="Arial"/>
        </w:rPr>
        <w:t xml:space="preserve">the </w:t>
      </w:r>
      <w:r w:rsidR="00E87C78">
        <w:rPr>
          <w:rFonts w:eastAsia="Arial"/>
        </w:rPr>
        <w:t>manufacturer’s cutoff</w:t>
      </w:r>
      <w:r w:rsidR="00B75C89">
        <w:rPr>
          <w:rFonts w:eastAsia="Arial"/>
        </w:rPr>
        <w:t xml:space="preserve"> (Panther Aptima-M)</w:t>
      </w:r>
      <w:r>
        <w:rPr>
          <w:rFonts w:eastAsia="Arial"/>
        </w:rPr>
        <w:t>, the remaining 1</w:t>
      </w:r>
      <w:r w:rsidR="00082E4F">
        <w:rPr>
          <w:rFonts w:eastAsia="Arial"/>
        </w:rPr>
        <w:t>5</w:t>
      </w:r>
      <w:r>
        <w:rPr>
          <w:rFonts w:eastAsia="Arial"/>
        </w:rPr>
        <w:t xml:space="preserve"> false negative pools </w:t>
      </w:r>
      <w:r w:rsidR="00430D61">
        <w:rPr>
          <w:rFonts w:eastAsia="Arial"/>
        </w:rPr>
        <w:t xml:space="preserve">each </w:t>
      </w:r>
      <w:r>
        <w:rPr>
          <w:rFonts w:eastAsia="Arial"/>
        </w:rPr>
        <w:t>contained only a single positive specimen.</w:t>
      </w:r>
      <w:r w:rsidRPr="006F1059">
        <w:rPr>
          <w:rFonts w:eastAsia="Arial"/>
        </w:rPr>
        <w:t xml:space="preserve"> For all missed pools, the </w:t>
      </w:r>
      <w:r w:rsidRPr="006F1059">
        <w:t>C</w:t>
      </w:r>
      <w:r w:rsidRPr="006F1059">
        <w:rPr>
          <w:vertAlign w:val="subscript"/>
        </w:rPr>
        <w:t>t</w:t>
      </w:r>
      <w:r w:rsidRPr="006F1059">
        <w:rPr>
          <w:rFonts w:eastAsia="Arial"/>
        </w:rPr>
        <w:t xml:space="preserve"> value of the individual positive sample was greater than 34 cycles (median 3</w:t>
      </w:r>
      <w:r w:rsidR="00082E4F">
        <w:rPr>
          <w:rFonts w:eastAsia="Arial"/>
        </w:rPr>
        <w:t>6.6</w:t>
      </w:r>
      <w:r w:rsidRPr="006F1059">
        <w:rPr>
          <w:rFonts w:eastAsia="Arial"/>
        </w:rPr>
        <w:t>, IQR 35.</w:t>
      </w:r>
      <w:r w:rsidR="00082E4F">
        <w:rPr>
          <w:rFonts w:eastAsia="Arial"/>
        </w:rPr>
        <w:t>5</w:t>
      </w:r>
      <w:r w:rsidRPr="006F1059">
        <w:rPr>
          <w:rFonts w:eastAsia="Arial"/>
        </w:rPr>
        <w:t>-3</w:t>
      </w:r>
      <w:r w:rsidR="00082E4F">
        <w:rPr>
          <w:rFonts w:eastAsia="Arial"/>
        </w:rPr>
        <w:t>7.7</w:t>
      </w:r>
      <w:r w:rsidR="00694562">
        <w:rPr>
          <w:rFonts w:eastAsia="Arial"/>
        </w:rPr>
        <w:t>, Figure 1)</w:t>
      </w:r>
      <w:r w:rsidRPr="006F1059">
        <w:rPr>
          <w:rFonts w:eastAsia="Arial"/>
        </w:rPr>
        <w:t xml:space="preserve">. </w:t>
      </w:r>
      <w:r w:rsidR="000D20BD" w:rsidRPr="000D20BD">
        <w:rPr>
          <w:rFonts w:eastAsia="Arial"/>
        </w:rPr>
        <w:t>Among individual positive specimens in the pools of 8 dataset, 22 (37.9%) had C</w:t>
      </w:r>
      <w:r w:rsidR="000D20BD" w:rsidRPr="00F5368C">
        <w:rPr>
          <w:rFonts w:eastAsia="Arial"/>
          <w:vertAlign w:val="subscript"/>
        </w:rPr>
        <w:t>t</w:t>
      </w:r>
      <w:r w:rsidR="000D20BD" w:rsidRPr="000D20BD">
        <w:rPr>
          <w:rFonts w:eastAsia="Arial"/>
        </w:rPr>
        <w:t xml:space="preserve">&gt;34. For the LDT, Panther Fusion, Panther Aptima-M, and </w:t>
      </w:r>
      <w:r w:rsidR="000D20BD" w:rsidRPr="000D20BD">
        <w:rPr>
          <w:rFonts w:eastAsia="Arial"/>
        </w:rPr>
        <w:lastRenderedPageBreak/>
        <w:t xml:space="preserve">Panther Aptima-350, 13/22 (59.1%), 11/22 (50.0%), 15/22 (68%), and 8/22 (36.4%) were falsely negative. </w:t>
      </w:r>
      <w:r w:rsidRPr="006F1059">
        <w:t xml:space="preserve">Each of these </w:t>
      </w:r>
      <w:r w:rsidR="00A70749">
        <w:t xml:space="preserve">false negative </w:t>
      </w:r>
      <w:r w:rsidRPr="006F1059">
        <w:t xml:space="preserve">samples was collected from known symptomatic or convalescent patients being monitored for viral clearance; none were </w:t>
      </w:r>
      <w:r w:rsidR="005927E8">
        <w:t xml:space="preserve">initial </w:t>
      </w:r>
      <w:r w:rsidRPr="006F1059">
        <w:t>diagnostic specimens. The pooled</w:t>
      </w:r>
      <w:r w:rsidRPr="001C3113">
        <w:rPr>
          <w:i/>
        </w:rPr>
        <w:t xml:space="preserve"> </w:t>
      </w:r>
      <w:r w:rsidRPr="006F1059">
        <w:t xml:space="preserve">LDT </w:t>
      </w:r>
      <w:r w:rsidRPr="001C3113">
        <w:rPr>
          <w:i/>
        </w:rPr>
        <w:t>RN</w:t>
      </w:r>
      <w:r w:rsidR="005F694F">
        <w:rPr>
          <w:i/>
        </w:rPr>
        <w:t>a</w:t>
      </w:r>
      <w:r w:rsidRPr="001C3113">
        <w:rPr>
          <w:i/>
        </w:rPr>
        <w:t>se P</w:t>
      </w:r>
      <w:r w:rsidRPr="006F1059">
        <w:t xml:space="preserve"> internal control C</w:t>
      </w:r>
      <w:r w:rsidRPr="006F1059">
        <w:rPr>
          <w:vertAlign w:val="subscript"/>
        </w:rPr>
        <w:t>t</w:t>
      </w:r>
      <w:r w:rsidRPr="006F1059">
        <w:t xml:space="preserve"> values were similar in false negative (mean 23.5, 95% CI 22.</w:t>
      </w:r>
      <w:r w:rsidR="00624A91">
        <w:t>7</w:t>
      </w:r>
      <w:r w:rsidRPr="006F1059">
        <w:t>-24.</w:t>
      </w:r>
      <w:r w:rsidR="00624A91">
        <w:t>3</w:t>
      </w:r>
      <w:r w:rsidRPr="006F1059">
        <w:t>) and true negative (mean 23.4, 95% CI 2</w:t>
      </w:r>
      <w:r w:rsidR="004733B7">
        <w:t>2</w:t>
      </w:r>
      <w:r w:rsidRPr="006F1059">
        <w:t>.</w:t>
      </w:r>
      <w:r w:rsidR="004733B7">
        <w:t>7</w:t>
      </w:r>
      <w:r w:rsidRPr="006F1059">
        <w:t>-2</w:t>
      </w:r>
      <w:r w:rsidR="004733B7">
        <w:t>4.1</w:t>
      </w:r>
      <w:r w:rsidRPr="006F1059">
        <w:t>, p=0.</w:t>
      </w:r>
      <w:r w:rsidR="004733B7">
        <w:t>7</w:t>
      </w:r>
      <w:r w:rsidRPr="006F1059">
        <w:t>) pools.</w:t>
      </w:r>
    </w:p>
    <w:p w14:paraId="58354F4C" w14:textId="77777777" w:rsidR="00814D6B" w:rsidRDefault="00814D6B" w:rsidP="00814D6B">
      <w:pPr>
        <w:spacing w:line="480" w:lineRule="auto"/>
      </w:pPr>
    </w:p>
    <w:p w14:paraId="741E3A11" w14:textId="5561F4F5" w:rsidR="00814D6B" w:rsidRPr="006F1059" w:rsidRDefault="00814D6B" w:rsidP="00814D6B">
      <w:pPr>
        <w:spacing w:line="480" w:lineRule="auto"/>
      </w:pPr>
      <w:r>
        <w:t>Linearity Studies</w:t>
      </w:r>
      <w:r w:rsidR="008F2D69">
        <w:t xml:space="preserve"> for </w:t>
      </w:r>
      <w:r w:rsidR="003024BE">
        <w:t xml:space="preserve">Pools of </w:t>
      </w:r>
      <w:r w:rsidR="001214DA">
        <w:t>8</w:t>
      </w:r>
    </w:p>
    <w:p w14:paraId="6D9A5081" w14:textId="419C753E" w:rsidR="00D45642" w:rsidRDefault="00E674C6" w:rsidP="0026079D">
      <w:pPr>
        <w:spacing w:line="480" w:lineRule="auto"/>
        <w:ind w:firstLine="720"/>
      </w:pPr>
      <w:r w:rsidRPr="006F1059">
        <w:t>For pools containing only a single positive sample, t</w:t>
      </w:r>
      <w:r w:rsidR="0050286A" w:rsidRPr="006F1059">
        <w:t xml:space="preserve">he pooled </w:t>
      </w:r>
      <w:proofErr w:type="spellStart"/>
      <w:r w:rsidR="0050286A" w:rsidRPr="006F1059">
        <w:t>rRT</w:t>
      </w:r>
      <w:proofErr w:type="spellEnd"/>
      <w:r w:rsidR="0050286A" w:rsidRPr="006F1059">
        <w:t>-PCR assays showed positive system</w:t>
      </w:r>
      <w:r w:rsidR="002E7D13">
        <w:t>at</w:t>
      </w:r>
      <w:r w:rsidR="0050286A" w:rsidRPr="006F1059">
        <w:t xml:space="preserve">ic bias when compared to </w:t>
      </w:r>
      <w:r w:rsidRPr="006F1059">
        <w:t>the individual</w:t>
      </w:r>
      <w:r w:rsidR="001C3113" w:rsidRPr="001C3113">
        <w:rPr>
          <w:i/>
        </w:rPr>
        <w:t xml:space="preserve"> </w:t>
      </w:r>
      <w:r w:rsidRPr="006F1059">
        <w:t>LDT assay</w:t>
      </w:r>
      <w:r w:rsidR="008F4D34">
        <w:t>, as evidenced by the Passing-Bablok regression intercept value being greater than zero</w:t>
      </w:r>
      <w:r w:rsidRPr="006F1059">
        <w:t xml:space="preserve">. </w:t>
      </w:r>
      <w:r w:rsidR="0026079D">
        <w:t xml:space="preserve">Mean bias between pooled and individual </w:t>
      </w:r>
      <w:r w:rsidR="0026079D" w:rsidRPr="006F1059">
        <w:t>C</w:t>
      </w:r>
      <w:r w:rsidR="0026079D" w:rsidRPr="006F1059">
        <w:rPr>
          <w:vertAlign w:val="subscript"/>
        </w:rPr>
        <w:t>t</w:t>
      </w:r>
      <w:r w:rsidR="0026079D" w:rsidRPr="006F1059">
        <w:t xml:space="preserve"> </w:t>
      </w:r>
      <w:r w:rsidR="0026079D">
        <w:t xml:space="preserve">values was </w:t>
      </w:r>
      <w:r w:rsidR="0026079D" w:rsidRPr="006F1059">
        <w:t xml:space="preserve">3.4 cycles (95% limits of agreement 1.2-5.6, p&lt;0.001) </w:t>
      </w:r>
      <w:r w:rsidR="0026079D">
        <w:t xml:space="preserve">by LDT and </w:t>
      </w:r>
      <w:r w:rsidR="0026079D" w:rsidRPr="006F1059">
        <w:t xml:space="preserve">4.0 cycles (0.0-8.0, p&lt;0.001) </w:t>
      </w:r>
      <w:r w:rsidR="0026079D">
        <w:t xml:space="preserve">by Panther Fusion (Figure 2). </w:t>
      </w:r>
      <w:r w:rsidR="00E32768" w:rsidRPr="006F1059">
        <w:t>Panther Fusion showed negative proportional bias</w:t>
      </w:r>
      <w:r w:rsidR="009521FC" w:rsidRPr="009521FC">
        <w:t xml:space="preserve"> </w:t>
      </w:r>
      <w:r w:rsidR="009521FC" w:rsidRPr="006F1059">
        <w:t>when compared to both individual and pooled</w:t>
      </w:r>
      <w:r w:rsidR="009521FC" w:rsidRPr="001C3113">
        <w:rPr>
          <w:i/>
        </w:rPr>
        <w:t xml:space="preserve"> </w:t>
      </w:r>
      <w:r w:rsidR="009521FC" w:rsidRPr="006F1059">
        <w:t>LDT assays</w:t>
      </w:r>
      <w:r w:rsidR="009521FC">
        <w:t>, as evidenced by Passing-Bablok regression slopes with 95% confidence intervals that do not contain 1</w:t>
      </w:r>
      <w:r w:rsidR="00BC381A">
        <w:t>.</w:t>
      </w:r>
      <w:r w:rsidR="009521FC">
        <w:rPr>
          <w:rFonts w:eastAsia="Arial"/>
        </w:rPr>
        <w:t xml:space="preserve"> </w:t>
      </w:r>
      <w:r w:rsidR="00D45642">
        <w:t>This is additionally highlighted in the Bland-Altman plots, which demonstrate that at higher C</w:t>
      </w:r>
      <w:r w:rsidR="00D45642" w:rsidRPr="000A0FFD">
        <w:rPr>
          <w:vertAlign w:val="subscript"/>
        </w:rPr>
        <w:t>t</w:t>
      </w:r>
      <w:r w:rsidR="00D45642">
        <w:t xml:space="preserve"> values, Panther Fusion outperforms the LDT.</w:t>
      </w:r>
    </w:p>
    <w:p w14:paraId="4A3A57F9" w14:textId="77777777" w:rsidR="00D45642" w:rsidRPr="00886DB7" w:rsidRDefault="00D45642" w:rsidP="00D45642">
      <w:pPr>
        <w:spacing w:line="480" w:lineRule="auto"/>
        <w:rPr>
          <w:rFonts w:eastAsia="Arial"/>
        </w:rPr>
      </w:pPr>
    </w:p>
    <w:p w14:paraId="052707FD" w14:textId="4789B68D" w:rsidR="006E7F30" w:rsidRDefault="00814D6B" w:rsidP="008D1E44">
      <w:pPr>
        <w:spacing w:line="480" w:lineRule="auto"/>
      </w:pPr>
      <w:r>
        <w:rPr>
          <w:bCs/>
        </w:rPr>
        <w:t>Model</w:t>
      </w:r>
      <w:r w:rsidR="00F95362">
        <w:rPr>
          <w:bCs/>
        </w:rPr>
        <w:t xml:space="preserve"> </w:t>
      </w:r>
      <w:r w:rsidR="00273DD2">
        <w:rPr>
          <w:bCs/>
        </w:rPr>
        <w:t>Estimates</w:t>
      </w:r>
    </w:p>
    <w:p w14:paraId="7F2AE708" w14:textId="357469EB" w:rsidR="00367038" w:rsidRDefault="00DF24D1" w:rsidP="00814D6B">
      <w:pPr>
        <w:spacing w:line="480" w:lineRule="auto"/>
        <w:ind w:firstLine="720"/>
      </w:pPr>
      <w:r w:rsidRPr="00F929FF">
        <w:rPr>
          <w:highlight w:val="yellow"/>
        </w:rPr>
        <w:t xml:space="preserve">The </w:t>
      </w:r>
      <w:r w:rsidR="00477430" w:rsidRPr="00F929FF">
        <w:rPr>
          <w:highlight w:val="yellow"/>
        </w:rPr>
        <w:t xml:space="preserve">modeled </w:t>
      </w:r>
      <w:r w:rsidRPr="00F929FF">
        <w:rPr>
          <w:highlight w:val="yellow"/>
        </w:rPr>
        <w:t>PPA</w:t>
      </w:r>
      <w:r w:rsidR="00477430" w:rsidRPr="00F929FF">
        <w:rPr>
          <w:highlight w:val="yellow"/>
        </w:rPr>
        <w:t xml:space="preserve"> estimate</w:t>
      </w:r>
      <w:r w:rsidR="00B23FD0" w:rsidRPr="00F929FF">
        <w:rPr>
          <w:highlight w:val="yellow"/>
        </w:rPr>
        <w:t xml:space="preserve"> </w:t>
      </w:r>
      <w:r w:rsidR="00477430" w:rsidRPr="00F929FF">
        <w:rPr>
          <w:highlight w:val="yellow"/>
        </w:rPr>
        <w:t xml:space="preserve">is sensitive to the input parameters of 1) </w:t>
      </w:r>
      <w:r w:rsidR="00E85F79" w:rsidRPr="00F929FF">
        <w:rPr>
          <w:highlight w:val="yellow"/>
        </w:rPr>
        <w:t>proportion of positive tests</w:t>
      </w:r>
      <w:r w:rsidR="00477430" w:rsidRPr="00F929FF">
        <w:rPr>
          <w:highlight w:val="yellow"/>
        </w:rPr>
        <w:t xml:space="preserve">, 2) </w:t>
      </w:r>
      <w:r w:rsidR="00780683" w:rsidRPr="00F929FF">
        <w:rPr>
          <w:highlight w:val="yellow"/>
        </w:rPr>
        <w:t xml:space="preserve">assay </w:t>
      </w:r>
      <w:r w:rsidR="00477430" w:rsidRPr="00F929FF">
        <w:rPr>
          <w:highlight w:val="yellow"/>
        </w:rPr>
        <w:t>analytical sensitivity, and 3) viral load distribution</w:t>
      </w:r>
      <w:r w:rsidR="00EB30AA">
        <w:t xml:space="preserve">. </w:t>
      </w:r>
      <w:r w:rsidR="00E85F79">
        <w:t>The analytical sensitivity of the assay is approximated in this model by the C</w:t>
      </w:r>
      <w:r w:rsidR="00E85F79" w:rsidRPr="00DE700A">
        <w:rPr>
          <w:vertAlign w:val="subscript"/>
        </w:rPr>
        <w:t>t</w:t>
      </w:r>
      <w:r w:rsidR="00E85F79">
        <w:t xml:space="preserve"> value corresponding to the probability of detecting 95% of true positives, otherwise known as the 95% </w:t>
      </w:r>
      <w:proofErr w:type="spellStart"/>
      <w:r w:rsidR="007F2625">
        <w:t>LoD</w:t>
      </w:r>
      <w:proofErr w:type="spellEnd"/>
      <w:r w:rsidR="00E85F79">
        <w:t>.</w:t>
      </w:r>
      <w:r w:rsidR="0088033F">
        <w:t xml:space="preserve"> Specimens with C</w:t>
      </w:r>
      <w:r w:rsidR="0088033F" w:rsidRPr="000A0FFD">
        <w:rPr>
          <w:vertAlign w:val="subscript"/>
        </w:rPr>
        <w:t>t</w:t>
      </w:r>
      <w:r w:rsidR="0088033F">
        <w:t xml:space="preserve"> beyond the </w:t>
      </w:r>
      <w:proofErr w:type="spellStart"/>
      <w:r w:rsidR="0088033F">
        <w:t>LoD</w:t>
      </w:r>
      <w:proofErr w:type="spellEnd"/>
      <w:r w:rsidR="0088033F">
        <w:t xml:space="preserve"> are assigned a decreasing probability of detection based on a probit regression curve, the shape of which was determined in the initial validation of the LDT assay (Appendix Figure 5). </w:t>
      </w:r>
      <w:r w:rsidR="00EB30AA">
        <w:t>The viral load distribution of the tested population is approximated in this model by the proportion of samples with C</w:t>
      </w:r>
      <w:r w:rsidR="00EB30AA" w:rsidRPr="000A0FFD">
        <w:rPr>
          <w:vertAlign w:val="subscript"/>
        </w:rPr>
        <w:t>t</w:t>
      </w:r>
      <w:r w:rsidR="00EB30AA">
        <w:t xml:space="preserve"> greater </w:t>
      </w:r>
      <w:r w:rsidR="00EB30AA">
        <w:lastRenderedPageBreak/>
        <w:t xml:space="preserve">than the </w:t>
      </w:r>
      <w:proofErr w:type="spellStart"/>
      <w:r w:rsidR="00EB30AA">
        <w:t>LoD</w:t>
      </w:r>
      <w:proofErr w:type="spellEnd"/>
      <w:r w:rsidR="00EB30AA">
        <w:t xml:space="preserve">. This </w:t>
      </w:r>
      <w:r w:rsidR="003C6BE8">
        <w:t>makes</w:t>
      </w:r>
      <w:r w:rsidR="00EB30AA">
        <w:t xml:space="preserve"> the model output independent of the actual </w:t>
      </w:r>
      <w:proofErr w:type="spellStart"/>
      <w:r w:rsidR="00EB30AA">
        <w:t>LoD</w:t>
      </w:r>
      <w:proofErr w:type="spellEnd"/>
      <w:r w:rsidR="00EB30AA">
        <w:t xml:space="preserve"> </w:t>
      </w:r>
      <w:r w:rsidR="003C6BE8">
        <w:t>C</w:t>
      </w:r>
      <w:r w:rsidR="003C6BE8" w:rsidRPr="00DE700A">
        <w:rPr>
          <w:vertAlign w:val="subscript"/>
        </w:rPr>
        <w:t xml:space="preserve">t </w:t>
      </w:r>
      <w:r w:rsidR="00EB30AA">
        <w:t xml:space="preserve">value itself, allowing for the model to be used across different </w:t>
      </w:r>
      <w:proofErr w:type="spellStart"/>
      <w:r w:rsidR="00EB30AA">
        <w:t>rRT</w:t>
      </w:r>
      <w:proofErr w:type="spellEnd"/>
      <w:r w:rsidR="00EB30AA">
        <w:t>-PCR assays.</w:t>
      </w:r>
    </w:p>
    <w:p w14:paraId="3A2FB40F" w14:textId="5A0874A0" w:rsidR="004903BA" w:rsidRDefault="00E81D00" w:rsidP="00250024">
      <w:pPr>
        <w:spacing w:line="480" w:lineRule="auto"/>
        <w:ind w:firstLine="720"/>
      </w:pPr>
      <w:r>
        <w:t xml:space="preserve">If the assay analytical sensitivity is kept constant, but the </w:t>
      </w:r>
      <w:r w:rsidR="003C6BE8">
        <w:t>tested</w:t>
      </w:r>
      <w:r>
        <w:t xml:space="preserve"> population changes such that a greater proportion have a C</w:t>
      </w:r>
      <w:r w:rsidRPr="000A0FFD">
        <w:rPr>
          <w:vertAlign w:val="subscript"/>
        </w:rPr>
        <w:t>t</w:t>
      </w:r>
      <w:r>
        <w:t xml:space="preserve"> value beyond the 95% </w:t>
      </w:r>
      <w:proofErr w:type="spellStart"/>
      <w:r>
        <w:t>LoD</w:t>
      </w:r>
      <w:proofErr w:type="spellEnd"/>
      <w:r>
        <w:t>, PPA decreases</w:t>
      </w:r>
      <w:r w:rsidR="00367038">
        <w:t xml:space="preserve"> (Figure 3A). Conversely, if the patient population is kept constant, but assay analytical sensitivity increases (</w:t>
      </w:r>
      <w:proofErr w:type="spellStart"/>
      <w:r w:rsidR="00367038">
        <w:t>ie</w:t>
      </w:r>
      <w:proofErr w:type="spellEnd"/>
      <w:r w:rsidR="00367038">
        <w:t>. moving from lower C</w:t>
      </w:r>
      <w:r w:rsidR="00367038" w:rsidRPr="000A0FFD">
        <w:rPr>
          <w:vertAlign w:val="subscript"/>
        </w:rPr>
        <w:t>t</w:t>
      </w:r>
      <w:r w:rsidR="00367038">
        <w:t xml:space="preserve"> </w:t>
      </w:r>
      <w:proofErr w:type="spellStart"/>
      <w:r w:rsidR="00367038">
        <w:t>LoD</w:t>
      </w:r>
      <w:proofErr w:type="spellEnd"/>
      <w:r w:rsidR="00367038">
        <w:t xml:space="preserve"> to higher C</w:t>
      </w:r>
      <w:r w:rsidR="00367038" w:rsidRPr="000A0FFD">
        <w:rPr>
          <w:vertAlign w:val="subscript"/>
        </w:rPr>
        <w:t>t</w:t>
      </w:r>
      <w:r w:rsidR="00367038">
        <w:t xml:space="preserve"> </w:t>
      </w:r>
      <w:proofErr w:type="spellStart"/>
      <w:r w:rsidR="00367038">
        <w:t>LoD</w:t>
      </w:r>
      <w:proofErr w:type="spellEnd"/>
      <w:r w:rsidR="00367038">
        <w:t xml:space="preserve">), </w:t>
      </w:r>
      <w:r w:rsidR="00B53FDF">
        <w:t xml:space="preserve">PPA increases (Figure 4A). However, if </w:t>
      </w:r>
      <w:r w:rsidR="003C6BE8">
        <w:t>assay analytical sensitivity changes while the tested population shifts accordingly such that it retains the same proportion C</w:t>
      </w:r>
      <w:r w:rsidR="003C6BE8" w:rsidRPr="000A0FFD">
        <w:rPr>
          <w:vertAlign w:val="subscript"/>
        </w:rPr>
        <w:t>t</w:t>
      </w:r>
      <w:r w:rsidR="003C6BE8">
        <w:rPr>
          <w:vertAlign w:val="subscript"/>
        </w:rPr>
        <w:t xml:space="preserve"> </w:t>
      </w:r>
      <w:r w:rsidR="003C6BE8">
        <w:t xml:space="preserve">&gt; </w:t>
      </w:r>
      <w:proofErr w:type="spellStart"/>
      <w:r w:rsidR="003C6BE8">
        <w:t>LoD</w:t>
      </w:r>
      <w:proofErr w:type="spellEnd"/>
      <w:r w:rsidR="003C6BE8">
        <w:t xml:space="preserve">, then the PPA </w:t>
      </w:r>
      <w:r w:rsidR="009855E8">
        <w:t>stays</w:t>
      </w:r>
      <w:r w:rsidR="003C6BE8">
        <w:t xml:space="preserve"> constant (Appendix Figure 6).</w:t>
      </w:r>
      <w:r w:rsidR="000A4363">
        <w:t xml:space="preserve"> In contrast,</w:t>
      </w:r>
      <w:r w:rsidR="00EB6385">
        <w:t xml:space="preserve"> the average expected tests per sample is almost entirely determined by pool size and prevalence, whereas analytical sensitivity (</w:t>
      </w:r>
      <w:proofErr w:type="spellStart"/>
      <w:r w:rsidR="00EB6385">
        <w:t>LoD</w:t>
      </w:r>
      <w:proofErr w:type="spellEnd"/>
      <w:r w:rsidR="00EB6385">
        <w:t xml:space="preserve"> C</w:t>
      </w:r>
      <w:r w:rsidR="00EB6385" w:rsidRPr="000A0FFD">
        <w:rPr>
          <w:vertAlign w:val="subscript"/>
        </w:rPr>
        <w:t>t</w:t>
      </w:r>
      <w:r w:rsidR="00EB6385">
        <w:t>) and the underlying C</w:t>
      </w:r>
      <w:r w:rsidR="00EB6385" w:rsidRPr="000A0FFD">
        <w:rPr>
          <w:vertAlign w:val="subscript"/>
        </w:rPr>
        <w:t>t</w:t>
      </w:r>
      <w:r w:rsidR="00EB6385">
        <w:t xml:space="preserve"> distribution minimally impact efficiency due to small absolute numbers of false positive pools </w:t>
      </w:r>
      <w:r w:rsidR="000A4363">
        <w:t>(Figures 3B, 4B)</w:t>
      </w:r>
      <w:r w:rsidR="00250024">
        <w:t xml:space="preserve">. </w:t>
      </w:r>
      <w:r w:rsidR="004903BA">
        <w:t xml:space="preserve">To achieve a 5% absolute difference in efficiency with an increase in </w:t>
      </w:r>
      <w:proofErr w:type="spellStart"/>
      <w:r w:rsidR="004903BA">
        <w:t>LoD</w:t>
      </w:r>
      <w:proofErr w:type="spellEnd"/>
      <w:r w:rsidR="004903BA">
        <w:t xml:space="preserve"> C</w:t>
      </w:r>
      <w:r w:rsidR="004903BA" w:rsidRPr="000A0FFD">
        <w:rPr>
          <w:vertAlign w:val="subscript"/>
        </w:rPr>
        <w:t>t</w:t>
      </w:r>
      <w:r w:rsidR="004903BA">
        <w:rPr>
          <w:vertAlign w:val="subscript"/>
        </w:rPr>
        <w:t xml:space="preserve"> </w:t>
      </w:r>
      <w:r w:rsidR="004903BA">
        <w:t>from 32 to 40, a prevalence of 25% would be required.</w:t>
      </w:r>
    </w:p>
    <w:p w14:paraId="4586DA8A" w14:textId="00FFD267" w:rsidR="00DF24D1" w:rsidRDefault="00250024" w:rsidP="0029207B">
      <w:pPr>
        <w:spacing w:line="480" w:lineRule="auto"/>
        <w:ind w:firstLine="720"/>
      </w:pPr>
      <w:r>
        <w:t xml:space="preserve">Both PPA and tests per sample are highly dependent on pool size and prevalence of infection. As prevalence increases, PPA can counterintuitively increase with larger pool sizes as there is a greater likelihood of having more than one positive sample in a given pool, which would be expected to </w:t>
      </w:r>
      <w:r w:rsidR="007F2625">
        <w:t>increase PPA.</w:t>
      </w:r>
      <w:r>
        <w:t xml:space="preserve"> Similarly, test efficiency can decrease with larger pool sizes </w:t>
      </w:r>
      <w:r w:rsidR="007F2625">
        <w:t xml:space="preserve">as the likelihood of deconvoluting </w:t>
      </w:r>
      <w:r w:rsidR="0029207B">
        <w:t>a positive pool increases.</w:t>
      </w:r>
      <w:r w:rsidR="00D05C92">
        <w:rPr>
          <w:rFonts w:cs="Arial"/>
          <w:bCs/>
        </w:rPr>
        <w:t xml:space="preserve"> </w:t>
      </w:r>
      <w:r w:rsidR="001E6EA0">
        <w:t xml:space="preserve">Estimated PPA and average tests per sample for inputs of percentage of positive tests 0.1%-15.0% and proportion of samples with Ct value above </w:t>
      </w:r>
      <w:proofErr w:type="spellStart"/>
      <w:r w:rsidR="001E6EA0">
        <w:t>LoD</w:t>
      </w:r>
      <w:proofErr w:type="spellEnd"/>
      <w:r w:rsidR="001E6EA0">
        <w:t xml:space="preserve"> ranging from 5%-30% are available in Appendix Table </w:t>
      </w:r>
      <w:r w:rsidR="00C6158A">
        <w:t>4</w:t>
      </w:r>
      <w:r w:rsidR="001E6EA0">
        <w:t>.</w:t>
      </w:r>
    </w:p>
    <w:p w14:paraId="32046DEB" w14:textId="0FBA8F14" w:rsidR="000778F3" w:rsidRDefault="000778F3" w:rsidP="000778F3">
      <w:pPr>
        <w:spacing w:line="480" w:lineRule="auto"/>
      </w:pPr>
    </w:p>
    <w:p w14:paraId="030F9FFA" w14:textId="666EB3CD" w:rsidR="000778F3" w:rsidRDefault="000778F3" w:rsidP="000778F3">
      <w:pPr>
        <w:spacing w:line="480" w:lineRule="auto"/>
      </w:pPr>
      <w:r>
        <w:t>Model Sensitivity Analyses and Validation</w:t>
      </w:r>
    </w:p>
    <w:p w14:paraId="2306AB8B" w14:textId="4A6946CF" w:rsidR="00814D6B" w:rsidRDefault="0029207B" w:rsidP="00E17427">
      <w:pPr>
        <w:spacing w:line="480" w:lineRule="auto"/>
        <w:ind w:firstLine="720"/>
      </w:pPr>
      <w:r>
        <w:t xml:space="preserve">One-way deterministic </w:t>
      </w:r>
      <w:r w:rsidR="00456751">
        <w:t xml:space="preserve">and </w:t>
      </w:r>
      <w:r>
        <w:t xml:space="preserve">probabilistic sensitivity </w:t>
      </w:r>
      <w:r w:rsidR="00456751">
        <w:t xml:space="preserve">analyses </w:t>
      </w:r>
      <w:r>
        <w:t xml:space="preserve">incorporating uncertainty </w:t>
      </w:r>
      <w:r w:rsidR="007F2625">
        <w:t>in</w:t>
      </w:r>
      <w:r>
        <w:t xml:space="preserve"> the underlying model assumptions of dilutional effect and probit regression shape </w:t>
      </w:r>
      <w:r w:rsidR="00456751">
        <w:t>demonstrate</w:t>
      </w:r>
      <w:r>
        <w:t xml:space="preserve"> a moderate </w:t>
      </w:r>
      <w:r w:rsidR="00456751">
        <w:t>(</w:t>
      </w:r>
      <w:r w:rsidR="007F2625" w:rsidRPr="007F2625">
        <w:t>±</w:t>
      </w:r>
      <w:r w:rsidR="00456751">
        <w:t>2-7%) impact upon PPA, which is more pronounced with larger pool sizes and proportion of C</w:t>
      </w:r>
      <w:r w:rsidR="00456751" w:rsidRPr="000A0FFD">
        <w:rPr>
          <w:vertAlign w:val="subscript"/>
        </w:rPr>
        <w:t>t</w:t>
      </w:r>
      <w:r w:rsidR="00456751">
        <w:t xml:space="preserve"> values above the </w:t>
      </w:r>
      <w:proofErr w:type="spellStart"/>
      <w:r w:rsidR="00456751">
        <w:t>LoD</w:t>
      </w:r>
      <w:proofErr w:type="spellEnd"/>
      <w:r w:rsidR="00456751">
        <w:t xml:space="preserve"> (Appendix Figure 7A</w:t>
      </w:r>
      <w:r w:rsidR="007303F8">
        <w:t>, 7</w:t>
      </w:r>
      <w:r w:rsidR="00456751">
        <w:t xml:space="preserve">B). In contrast, these parameters have a much smaller </w:t>
      </w:r>
      <w:r w:rsidR="00456751">
        <w:lastRenderedPageBreak/>
        <w:t>impact on testing efficiency (Appendix Figure 8A</w:t>
      </w:r>
      <w:r w:rsidR="007303F8">
        <w:t>, 8</w:t>
      </w:r>
      <w:r w:rsidR="00456751">
        <w:t>B).</w:t>
      </w:r>
      <w:r w:rsidR="00CB337B">
        <w:t xml:space="preserve"> The 95% confidence intervals for the empirically determined and modeled PPAs overlapped </w:t>
      </w:r>
      <w:r w:rsidR="00E17427">
        <w:t xml:space="preserve">for the majority of the evaluated empiric datasets, although it overestimated PPA for the LDT follow-up tests only subset (Figure 5). </w:t>
      </w:r>
      <w:r w:rsidR="00C43C79">
        <w:t xml:space="preserve">For the </w:t>
      </w:r>
      <w:proofErr w:type="gramStart"/>
      <w:r w:rsidR="00C43C79">
        <w:t>in silico</w:t>
      </w:r>
      <w:proofErr w:type="gramEnd"/>
      <w:r w:rsidR="00C43C79">
        <w:t xml:space="preserve"> validation data, the modeled PPA was similar for pool sizes of 5 and 3, despite in silico data </w:t>
      </w:r>
      <w:r w:rsidR="00072B16">
        <w:t xml:space="preserve">analysis </w:t>
      </w:r>
      <w:r w:rsidR="00C43C79">
        <w:t xml:space="preserve">predicting a higher PPA for pools of 3. Modeled testing efficiency was actually slightly higher for pools of 3 than pools of 5, likely due to the high prevalence of 19.1% in this dataset (Appendix Table </w:t>
      </w:r>
      <w:r w:rsidR="00E17427">
        <w:t>3</w:t>
      </w:r>
      <w:r w:rsidR="00C43C79">
        <w:t>).</w:t>
      </w:r>
    </w:p>
    <w:p w14:paraId="3C0C9A4F" w14:textId="77777777" w:rsidR="00814D6B" w:rsidRPr="00814D6B" w:rsidRDefault="00814D6B" w:rsidP="006F6BA7">
      <w:pPr>
        <w:spacing w:line="480" w:lineRule="auto"/>
      </w:pPr>
    </w:p>
    <w:p w14:paraId="51231F84" w14:textId="2E916F96" w:rsidR="00CD510E" w:rsidRPr="006F1059" w:rsidRDefault="001A4045" w:rsidP="00814D6B">
      <w:pPr>
        <w:spacing w:line="480" w:lineRule="auto"/>
        <w:rPr>
          <w:b/>
        </w:rPr>
      </w:pPr>
      <w:r w:rsidRPr="006F1059">
        <w:rPr>
          <w:b/>
        </w:rPr>
        <w:t>Discussion</w:t>
      </w:r>
    </w:p>
    <w:p w14:paraId="316D60F9" w14:textId="7D012FEA" w:rsidR="00EF1604" w:rsidRDefault="002B3F0F">
      <w:pPr>
        <w:spacing w:line="480" w:lineRule="auto"/>
        <w:ind w:firstLine="720"/>
      </w:pPr>
      <w:r>
        <w:t>In this study</w:t>
      </w:r>
      <w:r w:rsidR="00CD6578">
        <w:t xml:space="preserve">, </w:t>
      </w:r>
      <w:r w:rsidR="00C43C79">
        <w:t xml:space="preserve">over 1600 </w:t>
      </w:r>
      <w:r w:rsidR="00CD6578">
        <w:t xml:space="preserve">samples </w:t>
      </w:r>
      <w:r w:rsidR="00201B08">
        <w:t>were tested in pool</w:t>
      </w:r>
      <w:r w:rsidR="00C43C79">
        <w:t xml:space="preserve"> sizes of 8 and 4 </w:t>
      </w:r>
      <w:r w:rsidR="00CD6578">
        <w:t xml:space="preserve">by three different SARS-CoV-2 </w:t>
      </w:r>
      <w:r w:rsidR="00934D34">
        <w:t>platforms</w:t>
      </w:r>
      <w:r>
        <w:t xml:space="preserve">, </w:t>
      </w:r>
      <w:r w:rsidR="00934D34">
        <w:t>with</w:t>
      </w:r>
      <w:r w:rsidR="00CD6578">
        <w:t xml:space="preserve"> pooled testing </w:t>
      </w:r>
      <w:r w:rsidR="00934D34">
        <w:t>demonstrating</w:t>
      </w:r>
      <w:r w:rsidR="00CD6578">
        <w:t xml:space="preserve"> </w:t>
      </w:r>
      <w:r w:rsidR="00934D34">
        <w:t>diminished</w:t>
      </w:r>
      <w:r w:rsidR="00CD6578">
        <w:t xml:space="preserve"> positive percent agreement </w:t>
      </w:r>
      <w:r w:rsidR="00934D34">
        <w:t xml:space="preserve">relative </w:t>
      </w:r>
      <w:r w:rsidR="00CD6578">
        <w:t>to individual samples. F</w:t>
      </w:r>
      <w:r w:rsidR="00916AC5">
        <w:t xml:space="preserve">alse negative </w:t>
      </w:r>
      <w:r w:rsidR="00CD6578">
        <w:t>results</w:t>
      </w:r>
      <w:r w:rsidR="00916AC5">
        <w:t xml:space="preserve"> occurred</w:t>
      </w:r>
      <w:r w:rsidR="00513237" w:rsidRPr="006F1059">
        <w:t xml:space="preserve"> exclusively in pools containing samples with low </w:t>
      </w:r>
      <w:r>
        <w:t xml:space="preserve">estimated </w:t>
      </w:r>
      <w:r w:rsidR="00513237" w:rsidRPr="006F1059">
        <w:t>viral load (C</w:t>
      </w:r>
      <w:r w:rsidR="00513237" w:rsidRPr="006F1059">
        <w:rPr>
          <w:vertAlign w:val="subscript"/>
        </w:rPr>
        <w:t>t</w:t>
      </w:r>
      <w:r w:rsidR="00513237" w:rsidRPr="006F1059">
        <w:t xml:space="preserve"> value</w:t>
      </w:r>
      <w:r w:rsidR="001509C4" w:rsidRPr="006F1059">
        <w:t xml:space="preserve"> &gt;34). </w:t>
      </w:r>
      <w:r w:rsidR="00324FC2">
        <w:t xml:space="preserve">Overlapping confidence intervals </w:t>
      </w:r>
      <w:r w:rsidR="002260B9">
        <w:t>in</w:t>
      </w:r>
      <w:r w:rsidR="00324FC2">
        <w:t xml:space="preserve"> PPA and NPA </w:t>
      </w:r>
      <w:r w:rsidR="00932801">
        <w:t xml:space="preserve">at each pool size </w:t>
      </w:r>
      <w:r w:rsidR="002260B9">
        <w:t>suggest that the lower test performance is inherent to the pooling process itself rather than the assay</w:t>
      </w:r>
      <w:r w:rsidR="00324FC2">
        <w:t xml:space="preserve">. </w:t>
      </w:r>
      <w:r w:rsidR="0070350F" w:rsidRPr="006F1059">
        <w:t>While Panther Fusion C</w:t>
      </w:r>
      <w:r w:rsidR="0070350F" w:rsidRPr="006F1059">
        <w:rPr>
          <w:vertAlign w:val="subscript"/>
        </w:rPr>
        <w:t>t</w:t>
      </w:r>
      <w:r w:rsidR="0070350F" w:rsidRPr="006F1059">
        <w:t xml:space="preserve"> values were on average higher than those of</w:t>
      </w:r>
      <w:r w:rsidR="001C3113" w:rsidRPr="001C3113">
        <w:rPr>
          <w:i/>
        </w:rPr>
        <w:t xml:space="preserve"> </w:t>
      </w:r>
      <w:r w:rsidR="0006546B">
        <w:t>the</w:t>
      </w:r>
      <w:r w:rsidR="0070350F" w:rsidRPr="006F1059">
        <w:t xml:space="preserve"> LDT, the negative proportional bias </w:t>
      </w:r>
      <w:r w:rsidR="00886DB7">
        <w:t>suggests</w:t>
      </w:r>
      <w:r w:rsidR="0070350F" w:rsidRPr="006F1059">
        <w:t xml:space="preserve"> that at very low </w:t>
      </w:r>
      <w:r w:rsidR="00324FC2">
        <w:t xml:space="preserve">estimated </w:t>
      </w:r>
      <w:r w:rsidR="0070350F" w:rsidRPr="006F1059">
        <w:t>viral loads (C</w:t>
      </w:r>
      <w:r w:rsidR="0070350F" w:rsidRPr="006F1059">
        <w:rPr>
          <w:vertAlign w:val="subscript"/>
        </w:rPr>
        <w:t>t</w:t>
      </w:r>
      <w:r w:rsidR="0070350F" w:rsidRPr="006F1059">
        <w:t xml:space="preserve"> &gt;36), the Panther Fusion outperformed the</w:t>
      </w:r>
      <w:r w:rsidR="001C3113" w:rsidRPr="001C3113">
        <w:rPr>
          <w:i/>
        </w:rPr>
        <w:t xml:space="preserve"> </w:t>
      </w:r>
      <w:r w:rsidR="005756A0">
        <w:t xml:space="preserve">LDT. </w:t>
      </w:r>
      <w:r w:rsidR="0024735C">
        <w:t>This may be due to the different targets of amplification (</w:t>
      </w:r>
      <w:r w:rsidR="0024735C" w:rsidRPr="00916AC5">
        <w:rPr>
          <w:i/>
        </w:rPr>
        <w:t>E</w:t>
      </w:r>
      <w:r w:rsidR="0024735C">
        <w:t xml:space="preserve"> gene vs. </w:t>
      </w:r>
      <w:r w:rsidR="0024735C" w:rsidRPr="003772D8">
        <w:rPr>
          <w:iCs/>
        </w:rPr>
        <w:t>ORF1</w:t>
      </w:r>
      <w:r w:rsidR="00916AC5" w:rsidRPr="003772D8">
        <w:rPr>
          <w:iCs/>
        </w:rPr>
        <w:t>ab</w:t>
      </w:r>
      <w:r w:rsidR="0024735C">
        <w:t xml:space="preserve">) </w:t>
      </w:r>
      <w:r w:rsidR="004E3DBE">
        <w:t xml:space="preserve">or PCR reaction efficiency. </w:t>
      </w:r>
      <w:r w:rsidR="00EF1604" w:rsidRPr="006F1059">
        <w:t>These subtle differences between the two assays highlight the method-dependent nature of test performance, a variable that cannot be anticipated, and therefore is not explicitly accounted for in most statistical models</w:t>
      </w:r>
      <w:r w:rsidR="009C08B7" w:rsidRPr="006F1059">
        <w:t xml:space="preserve"> of pooled testing</w:t>
      </w:r>
      <w:r w:rsidR="00EF1604" w:rsidRPr="006F1059">
        <w:t xml:space="preserve">. As such, </w:t>
      </w:r>
      <w:r w:rsidR="009C08B7" w:rsidRPr="006F1059">
        <w:t xml:space="preserve">method comparison studies should </w:t>
      </w:r>
      <w:r w:rsidR="00EF1604" w:rsidRPr="006F1059">
        <w:t xml:space="preserve">be performed prior to large-scale implementation of any pooled testing strategies, especially those that use different </w:t>
      </w:r>
      <w:r w:rsidR="004E3DBE">
        <w:t>platforms</w:t>
      </w:r>
      <w:r w:rsidR="00EF1604" w:rsidRPr="006F1059">
        <w:t xml:space="preserve"> for the pooled and individual stages of testing.</w:t>
      </w:r>
    </w:p>
    <w:p w14:paraId="643B008B" w14:textId="00C32B3B" w:rsidR="00DC48CE" w:rsidRDefault="00280DE9" w:rsidP="00814D6B">
      <w:pPr>
        <w:spacing w:line="480" w:lineRule="auto"/>
        <w:ind w:firstLine="720"/>
      </w:pPr>
      <w:r>
        <w:t>The findings in this study contrast with those of a recent study that concluded pooling in groups of 8 did not compromise test performance</w:t>
      </w:r>
      <w:r w:rsidR="008B14DE" w:rsidRPr="006F1059">
        <w:t xml:space="preserve"> </w:t>
      </w:r>
      <w:r w:rsidR="008B14DE" w:rsidRPr="006F1059">
        <w:fldChar w:fldCharType="begin" w:fldLock="1"/>
      </w:r>
      <w:r w:rsidR="005927E8">
        <w:instrText>ADDIN CSL_CITATION {"citationItems":[{"id":"ITEM-1","itemData":{"DOI":"10.1016/j.cmi.2020.06.009","ISSN":"1469-0691","PMID":"32585353","abstract":"OBJECTIVES Testing for active SARS-CoV-2 infection is a fundamental tool in the public health measures taken to control the COVID-19 pandemic. Due to the overwhelming use of SARS-CoV-2 RT-PCR tests worldwide, availability of test kits has become a major bottleneck, while the need to increase testing throughput only rises. We aim to overcome these challenges by pooling samples together, performing RNA extraction and RT-PCR in pools. METHODS We tested the efficiency and sensitivity of pooling strategies for RNA extraction and RT-PCR detection of SARS-CoV-2. We tested 184 samples both individually and in pools to estimate the effects of pooling. We further implemented Dorfman pooling with a pool size of 8 samples in large-scale clinical tests. RESULTS We demonstrated pooling strategies that increase testing throughput while maintaining high sensitivity. A comparison of 184 samples tested individually and in pools of 8 samples, showed that test results were not significantly affected. Implementing the 8-sample Dorfman pooling to test 26,576 samples from asymptomatic individuals, we identified 31 (0.12%) SARS-CoV-2 positive samples, achieving a 7.3-fold increase in throughput. CONCLUSIONS Pooling approaches for SARS-CoV-2 testing allow a drastic increase in throughput while maintaining clinical sensitivity. We report the successful large-scale pooled screening of asymptomatic populations.","author":[{"dropping-particle":"","family":"Ben-Ami","given":"Roni","non-dropping-particle":"","parse-names":false,"suffix":""},{"dropping-particle":"","family":"Klochendler","given":"Agnes","non-dropping-particle":"","parse-names":false,"suffix":""},{"dropping-particle":"","family":"Seidel","given":"Matan","non-dropping-particle":"","parse-names":false,"suffix":""},{"dropping-particle":"","family":"Sido","given":"Tal","non-dropping-particle":"","parse-names":false,"suffix":""},{"dropping-particle":"","family":"Gurel-Gurevich","given":"Ori","non-dropping-particle":"","parse-names":false,"suffix":""},{"dropping-particle":"","family":"Yassour","given":"Moran","non-dropping-particle":"","parse-names":false,"suffix":""},{"dropping-particle":"","family":"Meshorer","given":"Eran","non-dropping-particle":"","parse-names":false,"suffix":""},{"dropping-particle":"","family":"Benedek","given":"Gil","non-dropping-particle":"","parse-names":false,"suffix":""},{"dropping-particle":"","family":"Fogel","given":"Irit","non-dropping-particle":"","parse-names":false,"suffix":""},{"dropping-particle":"","family":"Oiknine-Djian","given":"Esther","non-dropping-particle":"","parse-names":false,"suffix":""},{"dropping-particle":"","family":"Gertler","given":"Asaf","non-dropping-particle":"","parse-names":false,"suffix":""},{"dropping-particle":"","family":"Rotstein","given":"Zeev","non-dropping-particle":"","parse-names":false,"suffix":""},{"dropping-particle":"","family":"Lavi","given":"Bruno","non-dropping-particle":"","parse-names":false,"suffix":""},{"dropping-particle":"","family":"Dor","given":"Yuval","non-dropping-particle":"","parse-names":false,"suffix":""},{"dropping-particle":"","family":"Wolf","given":"Dana G","non-dropping-particle":"","parse-names":false,"suffix":""},{"dropping-particle":"","family":"Salton","given":"Maayan","non-dropping-particle":"","parse-names":false,"suffix":""},{"dropping-particle":"","family":"Drier","given":"Yotam","non-dropping-particle":"","parse-names":false,"suffix":""},{"dropping-particle":"","family":"Hebrew University-Hadassah COVID-19 diagnosis team","given":"","non-dropping-particle":"","parse-names":false,"suffix":""}],"container-title":"Clinical microbiology and Infect.. 2020 Jul 13 [date cited].. Epub 2020 Jun 8.","id":"ITEM-1","issued":{"date-parts":[["0"]]},"title":"Large-scale implementation of pooled RNA extraction and RT-PCR for SARS-CoV-2 detection.","type":"article-journal"},"uris":["http://www.mendeley.com/documents/?uuid=2017cf29-debc-42f5-97c3-234581c3f4b5"]}],"mendeley":{"formattedCitation":"(&lt;i&gt;5&lt;/i&gt;)","plainTextFormattedCitation":"(5)","previouslyFormattedCitation":"(&lt;i&gt;5&lt;/i&gt;)"},"properties":{"noteIndex":0},"schema":"https://github.com/citation-style-language/schema/raw/master/csl-citation.json"}</w:instrText>
      </w:r>
      <w:r w:rsidR="008B14DE" w:rsidRPr="006F1059">
        <w:fldChar w:fldCharType="separate"/>
      </w:r>
      <w:r w:rsidR="007C46D3" w:rsidRPr="007C46D3">
        <w:rPr>
          <w:noProof/>
        </w:rPr>
        <w:t>(</w:t>
      </w:r>
      <w:r w:rsidR="007C46D3" w:rsidRPr="007C46D3">
        <w:rPr>
          <w:i/>
          <w:noProof/>
        </w:rPr>
        <w:t>5</w:t>
      </w:r>
      <w:r w:rsidR="007C46D3" w:rsidRPr="007C46D3">
        <w:rPr>
          <w:noProof/>
        </w:rPr>
        <w:t>)</w:t>
      </w:r>
      <w:r w:rsidR="008B14DE" w:rsidRPr="006F1059">
        <w:fldChar w:fldCharType="end"/>
      </w:r>
      <w:r w:rsidR="008923C7" w:rsidRPr="006F1059">
        <w:t xml:space="preserve">. </w:t>
      </w:r>
      <w:r w:rsidR="006920B9" w:rsidRPr="006F1059">
        <w:t xml:space="preserve">This </w:t>
      </w:r>
      <w:r>
        <w:t>may be explained by</w:t>
      </w:r>
      <w:r w:rsidR="006920B9" w:rsidRPr="006F1059">
        <w:t xml:space="preserve"> differences in patient population</w:t>
      </w:r>
      <w:r w:rsidR="007303F8">
        <w:t xml:space="preserve">, higher proportion of positive pools and </w:t>
      </w:r>
      <w:proofErr w:type="spellStart"/>
      <w:r w:rsidR="00D0572C" w:rsidRPr="006F1059">
        <w:t>rRT</w:t>
      </w:r>
      <w:proofErr w:type="spellEnd"/>
      <w:r w:rsidR="00D0572C" w:rsidRPr="006F1059">
        <w:t>-PCR result</w:t>
      </w:r>
      <w:r w:rsidR="006920B9" w:rsidRPr="006F1059">
        <w:t xml:space="preserve"> interpretation. </w:t>
      </w:r>
      <w:r w:rsidR="00B941C5">
        <w:t>A</w:t>
      </w:r>
      <w:r w:rsidR="006760E7">
        <w:t>nother</w:t>
      </w:r>
      <w:r w:rsidR="00B941C5">
        <w:t xml:space="preserve"> recent</w:t>
      </w:r>
      <w:r w:rsidR="00FF7BDC">
        <w:t xml:space="preserve"> </w:t>
      </w:r>
      <w:r w:rsidR="00FF7BDC">
        <w:lastRenderedPageBreak/>
        <w:t xml:space="preserve">study </w:t>
      </w:r>
      <w:r w:rsidR="006760E7">
        <w:t xml:space="preserve">of artificially constructed pools </w:t>
      </w:r>
      <w:r w:rsidR="00FF7BDC">
        <w:t>reported no significant decrease in sensitivity in pool</w:t>
      </w:r>
      <w:r w:rsidR="006760E7">
        <w:t xml:space="preserve">s of up to 32 samples </w:t>
      </w:r>
      <w:r w:rsidR="00FF7BDC" w:rsidRPr="006F1059">
        <w:fldChar w:fldCharType="begin" w:fldLock="1"/>
      </w:r>
      <w:r w:rsidR="00FF7BDC">
        <w:instrText>ADDIN CSL_CITATION {"citationItems":[{"id":"ITEM-1","itemData":{"PMID":"32358960","author":[{"dropping-particle":"","family":"Yelin","given":"Idan","non-dropping-particle":"","parse-names":false,"suffix":""},{"dropping-particle":"","family":"Aharony","given":"Noga","non-dropping-particle":"","parse-names":false,"suffix":""},{"dropping-particle":"","family":"Tamar","given":"Einat Shaer","non-dropping-particle":"","parse-names":false,"suffix":""},{"dropping-particle":"","family":"Argoetti","given":"Amir","non-dropping-particle":"","parse-names":false,"suffix":""},{"dropping-particle":"","family":"Messer","given":"Esther","non-dropping-particle":"","parse-names":false,"suffix":""},{"dropping-particle":"","family":"Berenbaum","given":"Dina","non-dropping-particle":"","parse-names":false,"suffix":""},{"dropping-particle":"","family":"Shafran","given":"Einat","non-dropping-particle":"","parse-names":false,"suffix":""},{"dropping-particle":"","family":"Kuzli","given":"Areen","non-dropping-particle":"","parse-names":false,"suffix":""},{"dropping-particle":"","family":"Gandali","given":"Nagham","non-dropping-particle":"","parse-names":false,"suffix":""},{"dropping-particle":"","family":"Shkedi","given":"Omer","non-dropping-particle":"","parse-names":false,"suffix":""},{"dropping-particle":"","family":"Hashimshony","given":"Tamar","non-dropping-particle":"","parse-names":false,"suffix":""},{"dropping-particle":"","family":"Mandel-Gutfreund","given":"Yael","non-dropping-particle":"","parse-names":false,"suffix":""},{"dropping-particle":"","family":"Halberthal","given":"Michael","non-dropping-particle":"","parse-names":false,"suffix":""},{"dropping-particle":"","family":"Geffen","given":"Yuval","non-dropping-particle":"","parse-names":false,"suffix":""},{"dropping-particle":"","family":"Szwarcwort-Cohen","given":"Moran","non-dropping-particle":"","parse-names":false,"suffix":""},{"dropping-particle":"","family":"Kishon","given":"Roy","non-dropping-particle":"","parse-names":false,"suffix":""}],"container-title":"Clinical Infectious Dis.. 2020 Jul 10 [date cited].. Epub 2020 May 2.","id":"ITEM-1","issued":{"date-parts":[["0"]]},"title":"Evaluation of COVID-19 RT-qPCR test in multi-sample pools","type":"article-journal"},"uris":["http://www.mendeley.com/documents/?uuid=ddc38fd2-5a83-4d0c-8541-be4176341774"]}],"mendeley":{"formattedCitation":"(&lt;i&gt;3&lt;/i&gt;)","plainTextFormattedCitation":"(3)","previouslyFormattedCitation":"(&lt;i&gt;3&lt;/i&gt;)"},"properties":{"noteIndex":0},"schema":"https://github.com/citation-style-language/schema/raw/master/csl-citation.json"}</w:instrText>
      </w:r>
      <w:r w:rsidR="00FF7BDC" w:rsidRPr="006F1059">
        <w:fldChar w:fldCharType="separate"/>
      </w:r>
      <w:r w:rsidR="00FF7BDC" w:rsidRPr="007C46D3">
        <w:rPr>
          <w:noProof/>
        </w:rPr>
        <w:t>(</w:t>
      </w:r>
      <w:r w:rsidR="00FF7BDC" w:rsidRPr="007C46D3">
        <w:rPr>
          <w:i/>
          <w:noProof/>
        </w:rPr>
        <w:t>3</w:t>
      </w:r>
      <w:r w:rsidR="00FF7BDC" w:rsidRPr="007C46D3">
        <w:rPr>
          <w:noProof/>
        </w:rPr>
        <w:t>)</w:t>
      </w:r>
      <w:r w:rsidR="00FF7BDC" w:rsidRPr="006F1059">
        <w:fldChar w:fldCharType="end"/>
      </w:r>
      <w:r w:rsidR="00FF7BDC">
        <w:t>. T</w:t>
      </w:r>
      <w:r w:rsidR="00FF7BDC" w:rsidRPr="006F1059">
        <w:t>his is likely explained by the relatively low starting C</w:t>
      </w:r>
      <w:r w:rsidR="00FF7BDC" w:rsidRPr="006F1059">
        <w:rPr>
          <w:vertAlign w:val="subscript"/>
        </w:rPr>
        <w:t>t</w:t>
      </w:r>
      <w:r w:rsidR="00FF7BDC" w:rsidRPr="006F1059">
        <w:t xml:space="preserve"> values of the</w:t>
      </w:r>
      <w:r w:rsidR="00FF7BDC">
        <w:t xml:space="preserve">ir individual positive samples; </w:t>
      </w:r>
      <w:r w:rsidR="00FF7BDC" w:rsidRPr="006F1059">
        <w:t>none exceeded a C</w:t>
      </w:r>
      <w:r w:rsidR="00FF7BDC" w:rsidRPr="006F1059">
        <w:rPr>
          <w:vertAlign w:val="subscript"/>
        </w:rPr>
        <w:t>t</w:t>
      </w:r>
      <w:r w:rsidR="00FF7BDC" w:rsidRPr="006F1059">
        <w:t xml:space="preserve"> of 3</w:t>
      </w:r>
      <w:r w:rsidR="00FF7BDC">
        <w:t>0</w:t>
      </w:r>
      <w:r w:rsidR="00FF7BDC" w:rsidRPr="006F1059">
        <w:t>.</w:t>
      </w:r>
      <w:r w:rsidR="00FF7BDC">
        <w:t xml:space="preserve"> </w:t>
      </w:r>
      <w:r w:rsidR="00DC48CE">
        <w:t xml:space="preserve">However, they, and other experimental studies have shown empirical increases </w:t>
      </w:r>
      <w:r w:rsidR="00932801">
        <w:t xml:space="preserve">in </w:t>
      </w:r>
      <w:r w:rsidR="00DC48CE">
        <w:t xml:space="preserve">pooled </w:t>
      </w:r>
      <w:r w:rsidR="00DC48CE" w:rsidRPr="006F1059">
        <w:t>C</w:t>
      </w:r>
      <w:r w:rsidR="00DC48CE" w:rsidRPr="006F1059">
        <w:rPr>
          <w:vertAlign w:val="subscript"/>
        </w:rPr>
        <w:t>t</w:t>
      </w:r>
      <w:r w:rsidR="00DC48CE" w:rsidRPr="006F1059">
        <w:t xml:space="preserve"> </w:t>
      </w:r>
      <w:r w:rsidR="00DC48CE">
        <w:t>values directly proportional to dilution factor,</w:t>
      </w:r>
      <w:r w:rsidR="00DC48CE">
        <w:rPr>
          <w:color w:val="000000"/>
        </w:rPr>
        <w:t xml:space="preserve"> a relationship that was also observed in our study </w:t>
      </w:r>
      <w:r w:rsidR="00DC48CE">
        <w:rPr>
          <w:color w:val="000000"/>
        </w:rPr>
        <w:fldChar w:fldCharType="begin" w:fldLock="1"/>
      </w:r>
      <w:r w:rsidR="00A76304">
        <w:rPr>
          <w:color w:val="000000"/>
        </w:rPr>
        <w:instrText>ADDIN CSL_CITATION {"citationItems":[{"id":"ITEM-1","itemData":{"DOI":"10.1016/j.jcv.2020.104381","ISSN":"18735967","PMID":"32344319","abstract":"Background: A novel coronavirus, severe acute respiratory syndrome coronavirus 2 (SARS-CoV-2), emerged in China in late 2019 and subsequently caused a pandemic. Surveillance is important to better appreciate this evolving pandemic and to longitudinally monitor the effectiveness of public health measures. Objectives: We aimed to provide a rapid, easy to establish and costeffective laboratory-based surveillance tool for SARS-CoV-2. Study design: We used minipools of RNA prepared from nucleic acid extractions of routine respiratory samples. We technically validated the assay and distributed the protocol within an informal network of five German university laboratories. Results: We tested a total of 70 minipools resembling 700 samples shortly before the upsurge of cases in Germany from 17.02.2020 to 10.03.2020. One minipool reacted positive and after resolution one individual sample tested SARS-CoV-2 positive. This sample was from a hospitalized patient not suspected of having contracted SARS-CoV-2. Conclusions: Our approach of a laboratory-based surveillance for SARSCoV-2 using minipools proved its concept is easily adaptable and resource-saving. It might assist not only public health laboratories in SARS-CoV-2 surveillance.","author":[{"dropping-particle":"","family":"Eis-Hübinger","given":"Anna M.","non-dropping-particle":"","parse-names":false,"suffix":""},{"dropping-particle":"","family":"Hönemann","given":"Mario","non-dropping-particle":"","parse-names":false,"suffix":""},{"dropping-particle":"","family":"Wenzel","given":"Jürgen J.","non-dropping-particle":"","parse-names":false,"suffix":""},{"dropping-particle":"","family":"Berger","given":"Annemarie","non-dropping-particle":"","parse-names":false,"suffix":""},{"dropping-particle":"","family":"Widera","given":"Marek","non-dropping-particle":"","parse-names":false,"suffix":""},{"dropping-particle":"","family":"Schmidt","given":"Barbara","non-dropping-particle":"","parse-names":false,"suffix":""},{"dropping-particle":"","family":"Aldabbagh","given":"Souhaib","non-dropping-particle":"","parse-names":false,"suffix":""},{"dropping-particle":"","family":"Marx","given":"Benjamin","non-dropping-particle":"","parse-names":false,"suffix":""},{"dropping-particle":"","family":"Streeck","given":"Hendrik","non-dropping-particle":"","parse-names":false,"suffix":""},{"dropping-particle":"","family":"Ciesek","given":"Sandra","non-dropping-particle":"","parse-names":false,"suffix":""},{"dropping-particle":"","family":"Liebert","given":"Uwe G.","non-dropping-particle":"","parse-names":false,"suffix":""},{"dropping-particle":"","family":"Huzly","given":"Daniela","non-dropping-particle":"","parse-names":false,"suffix":""},{"dropping-particle":"","family":"Hengel","given":"Hartmut","non-dropping-particle":"","parse-names":false,"suffix":""},{"dropping-particle":"","family":"Panning","given":"Marcus","non-dropping-particle":"","parse-names":false,"suffix":""}],"container-title":"Journal of Clinical Virology","id":"ITEM-1","issue":"April","issued":{"date-parts":[["2020"]]},"publisher":"Elsevier","title":"Ad hoc laboratory-based surveillance of SARS-CoV-2 by real-time RT-PCR using minipools of RNA prepared from routine respiratory samples","type":"article-journal","volume":"127"},"uris":["http://www.mendeley.com/documents/?uuid=ff090c12-4769-49b8-b840-5843418e1397"]},{"id":"ITEM-2","itemData":{"PMID":"32358960","author":[{"dropping-particle":"","family":"Yelin","given":"Idan","non-dropping-particle":"","parse-names":false,"suffix":""},{"dropping-particle":"","family":"Aharony","given":"Noga","non-dropping-particle":"","parse-names":false,"suffix":""},{"dropping-particle":"","family":"Tamar","given":"Einat Shaer","non-dropping-particle":"","parse-names":false,"suffix":""},{"dropping-particle":"","family":"Argoetti","given":"Amir","non-dropping-particle":"","parse-names":false,"suffix":""},{"dropping-particle":"","family":"Messer","given":"Esther","non-dropping-particle":"","parse-names":false,"suffix":""},{"dropping-particle":"","family":"Berenbaum","given":"Dina","non-dropping-particle":"","parse-names":false,"suffix":""},{"dropping-particle":"","family":"Shafran","given":"Einat","non-dropping-particle":"","parse-names":false,"suffix":""},{"dropping-particle":"","family":"Kuzli","given":"Areen","non-dropping-particle":"","parse-names":false,"suffix":""},{"dropping-particle":"","family":"Gandali","given":"Nagham","non-dropping-particle":"","parse-names":false,"suffix":""},{"dropping-particle":"","family":"Shkedi","given":"Omer","non-dropping-particle":"","parse-names":false,"suffix":""},{"dropping-particle":"","family":"Hashimshony","given":"Tamar","non-dropping-particle":"","parse-names":false,"suffix":""},{"dropping-particle":"","family":"Mandel-Gutfreund","given":"Yael","non-dropping-particle":"","parse-names":false,"suffix":""},{"dropping-particle":"","family":"Halberthal","given":"Michael","non-dropping-particle":"","parse-names":false,"suffix":""},{"dropping-particle":"","family":"Geffen","given":"Yuval","non-dropping-particle":"","parse-names":false,"suffix":""},{"dropping-particle":"","family":"Szwarcwort-Cohen","given":"Moran","non-dropping-particle":"","parse-names":false,"suffix":""},{"dropping-particle":"","family":"Kishon","given":"Roy","non-dropping-particle":"","parse-names":false,"suffix":""}],"container-title":"Clinical Infectious Dis.. 2020 Jul 10 [date cited].. Epub 2020 May 2.","id":"ITEM-2","issued":{"date-parts":[["0"]]},"title":"Evaluation of COVID-19 RT-qPCR test in multi-sample pools","type":"article-journal"},"uris":["http://www.mendeley.com/documents/?uuid=ddc38fd2-5a83-4d0c-8541-be4176341774"]},{"id":"ITEM-3","itemData":{"DOI":"10.1093/ajcp/aqaa064","ISSN":"0002-9173","PMID":"32511649","abstract":"Objectives To establish the optimal parameters for group testing of pooled specimens for the detection of SARS-CoV-2. Methods The most efficient pool size was determined to be 5 specimens using a web-based application. From this analysis, 25 experimental pools were created using 50 microliter from one SARS-CoV-2 positive nasopharyngeal specimen mixed with 4 negative patient specimens (50 microliter each) for a total volume of 250 microliter l. Viral RNA was subsequently extracted from each pool and tested using the CDC SARS-CoV-2 RT-PCR assay. Positive pools were consequently split into individual specimens and tested by extraction and PCR. This method was also tested on an unselected group of 60 nasopharyngeal specimens grouped into 12-pools. Results All 25 pools were positive with Cycle threshold (Ct) values within 0 and 5.03 Ct of the original individual specimens. The analysis of 60 specimens determined that two pools were positive followed by identification of two individual specimens among the 60 tested. This testing was accomplished while using 22 extractions/PCR tests, a savings of 38 reactions. Conclusions When the incidence rate of SARS-CoV-2 infection is 10% or less, group testing will result in the saving of reagents and personnel time with an overall increase in testing capability of at least 69%.","author":[{"dropping-particle":"","family":"Abdalhamid","given":"Baha","non-dropping-particle":"","parse-names":false,"suffix":""},{"dropping-particle":"","family":"Bilder","given":"Christopher R","non-dropping-particle":"","parse-names":false,"suffix":""},{"dropping-particle":"","family":"McCutchen","given":"Emily L","non-dropping-particle":"","parse-names":false,"suffix":""},{"dropping-particle":"","family":"Hinrichs","given":"Steven H","non-dropping-particle":"","parse-names":false,"suffix":""},{"dropping-particle":"","family":"Koepsell","given":"Scott A","non-dropping-particle":"","parse-names":false,"suffix":""},{"dropping-particle":"","family":"Iwen","given":"Peter C","non-dropping-particle":"","parse-names":false,"suffix":""}],"container-title":"American Journal of Clinical Pathology","id":"ITEM-3","issue":"6","issued":{"date-parts":[["2020"]]},"page":"715-718","title":"Assessment of Specimen Pooling to Conserve SARS CoV-2 Testing Resources","type":"article-journal","volume":"153"},"uris":["http://www.mendeley.com/documents/?uuid=e150c347-ae11-4f6f-acff-dbfcd714f6b0"]}],"mendeley":{"formattedCitation":"(&lt;i&gt;3&lt;/i&gt;,&lt;i&gt;4&lt;/i&gt;,&lt;i&gt;9&lt;/i&gt;)","plainTextFormattedCitation":"(3,4,9)","previouslyFormattedCitation":"(&lt;i&gt;3&lt;/i&gt;,&lt;i&gt;4&lt;/i&gt;,&lt;i&gt;9&lt;/i&gt;)"},"properties":{"noteIndex":0},"schema":"https://github.com/citation-style-language/schema/raw/master/csl-citation.json"}</w:instrText>
      </w:r>
      <w:r w:rsidR="00DC48CE">
        <w:rPr>
          <w:color w:val="000000"/>
        </w:rPr>
        <w:fldChar w:fldCharType="separate"/>
      </w:r>
      <w:r w:rsidR="006760E7" w:rsidRPr="006760E7">
        <w:rPr>
          <w:noProof/>
          <w:color w:val="000000"/>
        </w:rPr>
        <w:t>(</w:t>
      </w:r>
      <w:r w:rsidR="006760E7" w:rsidRPr="006760E7">
        <w:rPr>
          <w:i/>
          <w:noProof/>
          <w:color w:val="000000"/>
        </w:rPr>
        <w:t>3</w:t>
      </w:r>
      <w:r w:rsidR="006760E7" w:rsidRPr="006760E7">
        <w:rPr>
          <w:noProof/>
          <w:color w:val="000000"/>
        </w:rPr>
        <w:t>,</w:t>
      </w:r>
      <w:r w:rsidR="006760E7" w:rsidRPr="006760E7">
        <w:rPr>
          <w:i/>
          <w:noProof/>
          <w:color w:val="000000"/>
        </w:rPr>
        <w:t>4</w:t>
      </w:r>
      <w:r w:rsidR="006760E7" w:rsidRPr="006760E7">
        <w:rPr>
          <w:noProof/>
          <w:color w:val="000000"/>
        </w:rPr>
        <w:t>,</w:t>
      </w:r>
      <w:r w:rsidR="006760E7" w:rsidRPr="006760E7">
        <w:rPr>
          <w:i/>
          <w:noProof/>
          <w:color w:val="000000"/>
        </w:rPr>
        <w:t>9</w:t>
      </w:r>
      <w:r w:rsidR="006760E7" w:rsidRPr="006760E7">
        <w:rPr>
          <w:noProof/>
          <w:color w:val="000000"/>
        </w:rPr>
        <w:t>)</w:t>
      </w:r>
      <w:r w:rsidR="00DC48CE">
        <w:rPr>
          <w:color w:val="000000"/>
        </w:rPr>
        <w:fldChar w:fldCharType="end"/>
      </w:r>
      <w:r w:rsidR="00DC48CE">
        <w:rPr>
          <w:color w:val="000000"/>
        </w:rPr>
        <w:t>.</w:t>
      </w:r>
    </w:p>
    <w:p w14:paraId="01C63130" w14:textId="7530C692" w:rsidR="008C5FDA" w:rsidRPr="006F1059" w:rsidRDefault="00FF7BDC" w:rsidP="00013324">
      <w:pPr>
        <w:spacing w:line="480" w:lineRule="auto"/>
        <w:ind w:firstLine="720"/>
      </w:pPr>
      <w:r w:rsidRPr="00F929FF">
        <w:rPr>
          <w:highlight w:val="yellow"/>
        </w:rPr>
        <w:t xml:space="preserve">These differences highlight the effect of viral load distribution </w:t>
      </w:r>
      <w:r w:rsidR="00DC48CE" w:rsidRPr="00F929FF">
        <w:rPr>
          <w:highlight w:val="yellow"/>
        </w:rPr>
        <w:t>and assay analytical sensitivity on pooled test performance, both of which should be taken into account when choosing pool size and diagnostic assay</w:t>
      </w:r>
      <w:r w:rsidR="00DC48CE">
        <w:t>.</w:t>
      </w:r>
      <w:r w:rsidR="006760E7">
        <w:t xml:space="preserve"> </w:t>
      </w:r>
      <w:r w:rsidR="008A4BD0" w:rsidRPr="006F1059">
        <w:t>While samples with a C</w:t>
      </w:r>
      <w:r w:rsidR="008A4BD0" w:rsidRPr="006F1059">
        <w:rPr>
          <w:vertAlign w:val="subscript"/>
        </w:rPr>
        <w:t>t</w:t>
      </w:r>
      <w:r w:rsidR="00F97C59">
        <w:t xml:space="preserve"> </w:t>
      </w:r>
      <w:r w:rsidR="008A4BD0" w:rsidRPr="006F1059">
        <w:t>greater than 3</w:t>
      </w:r>
      <w:r w:rsidR="00C71BF3">
        <w:t>3</w:t>
      </w:r>
      <w:r w:rsidR="008A4BD0" w:rsidRPr="006F1059">
        <w:t xml:space="preserve"> have not been reported to produce cultivable virus in convalescing </w:t>
      </w:r>
      <w:r w:rsidR="00672021" w:rsidRPr="006F1059">
        <w:t xml:space="preserve">COVID-19 </w:t>
      </w:r>
      <w:r w:rsidR="008A4BD0" w:rsidRPr="006F1059">
        <w:t>patients</w:t>
      </w:r>
      <w:r w:rsidR="00672021" w:rsidRPr="006F1059">
        <w:t xml:space="preserve"> </w:t>
      </w:r>
      <w:r w:rsidR="00672021" w:rsidRPr="006F1059">
        <w:fldChar w:fldCharType="begin" w:fldLock="1"/>
      </w:r>
      <w:r w:rsidR="00597F3E">
        <w:instrText>ADDIN CSL_CITATION {"citationItems":[{"id":"ITEM-1","itemData":{"DOI":"10.1007/s10096-020-03913-9","ISBN":"1009602003913","ISSN":"14354373","PMID":"32342252","abstract":"In a preliminary clinical study, we observed that the combination of hydroxychloroquine and azithromycin was effective against SARS-CoV-2 by shortening the duration of viral load in Covid-19 patients. It is of paramount importance to define when a treated patient can be considered as no longer contagious. Correlation between successful isolation of virus in cell culture and Ct value of quantitative RT-PCR targeting E gene suggests that patients with Ct above 33–34 using our RT-PCR system are not contagious and thus can be discharged from hospital care or strict confinement for non-hospitalized patients.","author":[{"dropping-particle":"","family":"Scola","given":"Bernard","non-dropping-particle":"La","parse-names":false,"suffix":""},{"dropping-particle":"","family":"Bideau","given":"Marion","non-dropping-particle":"Le","parse-names":false,"suffix":""},{"dropping-particle":"","family":"Andreani","given":"Julien","non-dropping-particle":"","parse-names":false,"suffix":""},{"dropping-particle":"","family":"Hoang","given":"Van Thuan","non-dropping-particle":"","parse-names":false,"suffix":""},{"dropping-particle":"","family":"Grimaldier","given":"Clio","non-dropping-particle":"","parse-names":false,"suffix":""},{"dropping-particle":"","family":"Colson","given":"Philippe","non-dropping-particle":"","parse-names":false,"suffix":""},{"dropping-particle":"","family":"Gautret","given":"Philippe","non-dropping-particle":"","parse-names":false,"suffix":""},{"dropping-particle":"","family":"Raoult","given":"Didier","non-dropping-particle":"","parse-names":false,"suffix":""}],"container-title":"European Journal of Clinical Microbiology and Infectious Diseases","id":"ITEM-1","issue":"6","issued":{"date-parts":[["2020"]]},"page":"1059-1061","publisher":"European Journal of Clinical Microbiology &amp; Infectious Diseases","title":"Viral RNA load as determined by cell culture as a management tool for discharge of SARS-CoV-2 patients from infectious disease wards","type":"article-journal","volume":"39"},"uris":["http://www.mendeley.com/documents/?uuid=3bf9f2b3-03bd-4520-b166-d69e17ad6f81"]}],"mendeley":{"formattedCitation":"(&lt;i&gt;21&lt;/i&gt;)","plainTextFormattedCitation":"(21)","previouslyFormattedCitation":"(&lt;i&gt;21&lt;/i&gt;)"},"properties":{"noteIndex":0},"schema":"https://github.com/citation-style-language/schema/raw/master/csl-citation.json"}</w:instrText>
      </w:r>
      <w:r w:rsidR="00672021" w:rsidRPr="006F1059">
        <w:fldChar w:fldCharType="separate"/>
      </w:r>
      <w:r w:rsidR="00597F3E" w:rsidRPr="00597F3E">
        <w:rPr>
          <w:noProof/>
        </w:rPr>
        <w:t>(</w:t>
      </w:r>
      <w:r w:rsidR="00597F3E" w:rsidRPr="00597F3E">
        <w:rPr>
          <w:i/>
          <w:noProof/>
        </w:rPr>
        <w:t>21</w:t>
      </w:r>
      <w:r w:rsidR="00597F3E" w:rsidRPr="00597F3E">
        <w:rPr>
          <w:noProof/>
        </w:rPr>
        <w:t>)</w:t>
      </w:r>
      <w:r w:rsidR="00672021" w:rsidRPr="006F1059">
        <w:fldChar w:fldCharType="end"/>
      </w:r>
      <w:r w:rsidR="004E3DBE">
        <w:t>, more than 15</w:t>
      </w:r>
      <w:r w:rsidR="008A4BD0" w:rsidRPr="006F1059">
        <w:t>% of first-time diagnostic specimens in our lab</w:t>
      </w:r>
      <w:r w:rsidR="00BF50B1">
        <w:t>oratory</w:t>
      </w:r>
      <w:r w:rsidR="008A4BD0" w:rsidRPr="006F1059">
        <w:t xml:space="preserve"> were detected at a C</w:t>
      </w:r>
      <w:r w:rsidR="008A4BD0" w:rsidRPr="006F1059">
        <w:rPr>
          <w:vertAlign w:val="subscript"/>
        </w:rPr>
        <w:t>t</w:t>
      </w:r>
      <w:r w:rsidR="008A4BD0" w:rsidRPr="006F1059">
        <w:t xml:space="preserve"> </w:t>
      </w:r>
      <w:r w:rsidR="004E3DBE">
        <w:t>of 35 or above</w:t>
      </w:r>
      <w:r w:rsidR="008A4BD0" w:rsidRPr="006F1059">
        <w:t xml:space="preserve">. </w:t>
      </w:r>
      <w:proofErr w:type="spellStart"/>
      <w:r w:rsidR="0091105B" w:rsidRPr="006F1059">
        <w:t>Griesemer</w:t>
      </w:r>
      <w:proofErr w:type="spellEnd"/>
      <w:r w:rsidR="0091105B" w:rsidRPr="006F1059">
        <w:t xml:space="preserve"> et al. described a </w:t>
      </w:r>
      <w:r w:rsidR="00886DB7">
        <w:t>similar</w:t>
      </w:r>
      <w:r w:rsidR="0091105B" w:rsidRPr="006F1059">
        <w:t xml:space="preserve"> proportion of weak positive samples with high C</w:t>
      </w:r>
      <w:r w:rsidR="0091105B" w:rsidRPr="006F1059">
        <w:rPr>
          <w:vertAlign w:val="subscript"/>
        </w:rPr>
        <w:t>t</w:t>
      </w:r>
      <w:r w:rsidR="0091105B" w:rsidRPr="006F1059">
        <w:t xml:space="preserve"> values at their public health department virology lab in New York </w:t>
      </w:r>
      <w:r w:rsidR="0091105B" w:rsidRPr="006F1059">
        <w:fldChar w:fldCharType="begin" w:fldLock="1"/>
      </w:r>
      <w:r w:rsidR="005927E8">
        <w:instrText>ADDIN CSL_CITATION {"citationItems":[{"id":"ITEM-1","itemData":{"DOI":"10.1101/2020.05.26.118133","abstract":"Accommodating large increases in sample workloads has presented one of the biggest challenges to clinical laboratories during the COVID-19 pandemic. Despite the implementation of new automated detection systems, and previous efficiencies such as barcoding, electronic data transfer and extensive robotics, throughput capacities have struggled to meet the demand. Sample pooling has been suggested as an additional strategy to further address this need. The greatest concern with this approach in a clinical setting is the potential for reduced sensitivity, particularly the risk of false negative results when weak positive samples are pooled. To investigate this possibility, detection rates in pooled samples were evaluated, with extensive assessment of pools containing weak positive specimens. Additionally, the frequency of occurrence of weak positive samples across ten weeks of the pandemic were reviewed. Weak positive specimens were detected in all five-sample pools but failed to be detected in four of the 24 nine-sample pools tested. Weak positive samples comprised an average 16.5% of the positive specimens tested during the pandemic thus far, slightly increasing in frequency during later weeks. Other aspects of the testing process should be considered, however, such as accessioning and reporting, which are not streamlined and may be complicated by pooling procedures. Therefore, the impact on the entire laboratory process needs to be carefully assessed prior to implementing such a strategy.","author":[{"dropping-particle":"","family":"Griesemer","given":"Sara B","non-dropping-particle":"","parse-names":false,"suffix":""},{"dropping-particle":"Van","family":"Slyke","given":"Greta","non-dropping-particle":"","parse-names":false,"suffix":""},{"dropping-particle":"St.","family":"George","given":"Kirsten","non-dropping-particle":"","parse-names":false,"suffix":""}],"container-title":"bioRxiv.. 2020 Jul 12 [date cited].. Epub 2020 May 26.","id":"ITEM-1","issued":{"date-parts":[["0"]]},"title":"Assessment of sample pooling for clinical SARS-CoV-2 testing","type":"article-journal"},"uris":["http://www.mendeley.com/documents/?uuid=65b4ae67-6ed7-4db5-b7fa-5b39b7cb8c50"]}],"mendeley":{"formattedCitation":"(&lt;i&gt;10&lt;/i&gt;)","plainTextFormattedCitation":"(10)","previouslyFormattedCitation":"(&lt;i&gt;10&lt;/i&gt;)"},"properties":{"noteIndex":0},"schema":"https://github.com/citation-style-language/schema/raw/master/csl-citation.json"}</w:instrText>
      </w:r>
      <w:r w:rsidR="0091105B" w:rsidRPr="006F1059">
        <w:fldChar w:fldCharType="separate"/>
      </w:r>
      <w:r w:rsidR="007C46D3" w:rsidRPr="007C46D3">
        <w:rPr>
          <w:noProof/>
        </w:rPr>
        <w:t>(</w:t>
      </w:r>
      <w:r w:rsidR="007C46D3" w:rsidRPr="007C46D3">
        <w:rPr>
          <w:i/>
          <w:noProof/>
        </w:rPr>
        <w:t>10</w:t>
      </w:r>
      <w:r w:rsidR="007C46D3" w:rsidRPr="007C46D3">
        <w:rPr>
          <w:noProof/>
        </w:rPr>
        <w:t>)</w:t>
      </w:r>
      <w:r w:rsidR="0091105B" w:rsidRPr="006F1059">
        <w:fldChar w:fldCharType="end"/>
      </w:r>
      <w:r w:rsidR="0091105B" w:rsidRPr="006F1059">
        <w:t xml:space="preserve">. </w:t>
      </w:r>
      <w:r w:rsidR="00013324">
        <w:t>Assays with lower analytical sensitivity may miss specimens with late C</w:t>
      </w:r>
      <w:r w:rsidR="00013324" w:rsidRPr="002B7D9F">
        <w:rPr>
          <w:vertAlign w:val="subscript"/>
        </w:rPr>
        <w:t>t</w:t>
      </w:r>
      <w:r w:rsidR="00932801">
        <w:t xml:space="preserve"> values</w:t>
      </w:r>
      <w:r w:rsidR="00013324">
        <w:t>, for which the potential associated burden of onward transmission is currently unclear.</w:t>
      </w:r>
    </w:p>
    <w:p w14:paraId="7FB7E77F" w14:textId="1D978FCF" w:rsidR="00864CC6" w:rsidRPr="00D524DD" w:rsidRDefault="004A1C8D" w:rsidP="00814D6B">
      <w:pPr>
        <w:spacing w:line="480" w:lineRule="auto"/>
        <w:ind w:firstLine="720"/>
        <w:rPr>
          <w:rFonts w:cs="Arial"/>
          <w:bCs/>
          <w:color w:val="000000"/>
        </w:rPr>
      </w:pPr>
      <w:r>
        <w:rPr>
          <w:color w:val="000000"/>
        </w:rPr>
        <w:t xml:space="preserve">The </w:t>
      </w:r>
      <w:r w:rsidR="00181C18">
        <w:rPr>
          <w:color w:val="000000"/>
        </w:rPr>
        <w:t xml:space="preserve">stochastic </w:t>
      </w:r>
      <w:r w:rsidR="00013DC4">
        <w:rPr>
          <w:color w:val="000000"/>
        </w:rPr>
        <w:t xml:space="preserve">model </w:t>
      </w:r>
      <w:r>
        <w:rPr>
          <w:color w:val="000000"/>
        </w:rPr>
        <w:t xml:space="preserve">in this study </w:t>
      </w:r>
      <w:r w:rsidR="00013DC4">
        <w:rPr>
          <w:color w:val="000000"/>
        </w:rPr>
        <w:t>demonstrate</w:t>
      </w:r>
      <w:r>
        <w:rPr>
          <w:color w:val="000000"/>
        </w:rPr>
        <w:t>d</w:t>
      </w:r>
      <w:r w:rsidR="00013DC4">
        <w:rPr>
          <w:color w:val="000000"/>
        </w:rPr>
        <w:t xml:space="preserve"> that expected </w:t>
      </w:r>
      <w:r w:rsidR="005A626B">
        <w:rPr>
          <w:color w:val="000000"/>
        </w:rPr>
        <w:t>PPA</w:t>
      </w:r>
      <w:r w:rsidR="00013DC4">
        <w:rPr>
          <w:color w:val="000000"/>
        </w:rPr>
        <w:t xml:space="preserve"> betwe</w:t>
      </w:r>
      <w:r w:rsidR="00181C18">
        <w:rPr>
          <w:color w:val="000000"/>
        </w:rPr>
        <w:t xml:space="preserve">en </w:t>
      </w:r>
      <w:r w:rsidR="00013DC4">
        <w:rPr>
          <w:color w:val="000000"/>
        </w:rPr>
        <w:t xml:space="preserve">pooled and individual </w:t>
      </w:r>
      <w:proofErr w:type="spellStart"/>
      <w:r w:rsidR="00404106">
        <w:rPr>
          <w:color w:val="000000"/>
        </w:rPr>
        <w:t>rRT</w:t>
      </w:r>
      <w:proofErr w:type="spellEnd"/>
      <w:r w:rsidR="00404106">
        <w:rPr>
          <w:color w:val="000000"/>
        </w:rPr>
        <w:t>-PCR assays</w:t>
      </w:r>
      <w:r w:rsidR="00CD55F8">
        <w:rPr>
          <w:color w:val="000000"/>
        </w:rPr>
        <w:t xml:space="preserve"> </w:t>
      </w:r>
      <w:r w:rsidR="00A13197">
        <w:rPr>
          <w:color w:val="000000"/>
        </w:rPr>
        <w:t xml:space="preserve">was </w:t>
      </w:r>
      <w:r w:rsidR="00CD55F8">
        <w:rPr>
          <w:color w:val="000000"/>
        </w:rPr>
        <w:t>highly dependent on assay</w:t>
      </w:r>
      <w:r w:rsidR="00013DC4">
        <w:rPr>
          <w:color w:val="000000"/>
        </w:rPr>
        <w:t xml:space="preserve"> </w:t>
      </w:r>
      <w:r w:rsidR="00352C32">
        <w:rPr>
          <w:color w:val="000000"/>
        </w:rPr>
        <w:t xml:space="preserve">analytical sensitivity (represented by 95% </w:t>
      </w:r>
      <w:proofErr w:type="spellStart"/>
      <w:r w:rsidR="00352C32">
        <w:rPr>
          <w:color w:val="000000"/>
        </w:rPr>
        <w:t>LoD</w:t>
      </w:r>
      <w:proofErr w:type="spellEnd"/>
      <w:r w:rsidR="00352C32">
        <w:rPr>
          <w:color w:val="000000"/>
        </w:rPr>
        <w:t>)</w:t>
      </w:r>
      <w:r w:rsidR="000E50D5">
        <w:rPr>
          <w:color w:val="000000"/>
        </w:rPr>
        <w:t xml:space="preserve">, </w:t>
      </w:r>
      <w:r w:rsidR="00CD55F8">
        <w:rPr>
          <w:rFonts w:cs="Arial"/>
          <w:bCs/>
          <w:color w:val="000000"/>
        </w:rPr>
        <w:t xml:space="preserve">viral load distribution of test-positive patients (represented by proportion </w:t>
      </w:r>
      <w:r w:rsidR="00CD55F8" w:rsidRPr="00CD55F8">
        <w:rPr>
          <w:rFonts w:cs="Arial"/>
          <w:bCs/>
          <w:color w:val="000000"/>
        </w:rPr>
        <w:t>C</w:t>
      </w:r>
      <w:r w:rsidR="00CD55F8" w:rsidRPr="00CD55F8">
        <w:rPr>
          <w:rFonts w:cs="Arial"/>
          <w:bCs/>
          <w:color w:val="000000"/>
          <w:vertAlign w:val="subscript"/>
        </w:rPr>
        <w:t>t</w:t>
      </w:r>
      <w:r w:rsidR="00CD55F8" w:rsidRPr="00CD55F8">
        <w:rPr>
          <w:rFonts w:cs="Arial"/>
          <w:bCs/>
          <w:color w:val="000000"/>
        </w:rPr>
        <w:t xml:space="preserve"> </w:t>
      </w:r>
      <w:r w:rsidR="00CD55F8">
        <w:rPr>
          <w:rFonts w:cs="Arial"/>
          <w:bCs/>
          <w:color w:val="000000"/>
        </w:rPr>
        <w:t>&gt;</w:t>
      </w:r>
      <w:proofErr w:type="spellStart"/>
      <w:r w:rsidR="00CD55F8">
        <w:rPr>
          <w:rFonts w:cs="Arial"/>
          <w:bCs/>
          <w:color w:val="000000"/>
        </w:rPr>
        <w:t>LoD</w:t>
      </w:r>
      <w:proofErr w:type="spellEnd"/>
      <w:r w:rsidR="00CD55F8">
        <w:rPr>
          <w:rFonts w:cs="Arial"/>
          <w:bCs/>
          <w:color w:val="000000"/>
        </w:rPr>
        <w:t>)</w:t>
      </w:r>
      <w:r w:rsidR="00CD55F8">
        <w:rPr>
          <w:color w:val="000000"/>
        </w:rPr>
        <w:t xml:space="preserve">, </w:t>
      </w:r>
      <w:r w:rsidR="00934D34">
        <w:rPr>
          <w:color w:val="000000"/>
        </w:rPr>
        <w:t xml:space="preserve">pool size, </w:t>
      </w:r>
      <w:r w:rsidR="00CD55F8">
        <w:rPr>
          <w:color w:val="000000"/>
        </w:rPr>
        <w:t>and disease prevalence (represented by proportion of tests positive)</w:t>
      </w:r>
      <w:r w:rsidR="00D524DD">
        <w:rPr>
          <w:color w:val="000000"/>
        </w:rPr>
        <w:t xml:space="preserve">. </w:t>
      </w:r>
      <w:r w:rsidR="00864CC6">
        <w:rPr>
          <w:color w:val="000000"/>
        </w:rPr>
        <w:t xml:space="preserve">The model outputs </w:t>
      </w:r>
      <w:r w:rsidR="00A13197">
        <w:rPr>
          <w:color w:val="000000"/>
        </w:rPr>
        <w:t xml:space="preserve">were </w:t>
      </w:r>
      <w:r w:rsidR="00864CC6">
        <w:rPr>
          <w:color w:val="000000"/>
        </w:rPr>
        <w:t>not always intuitive</w:t>
      </w:r>
      <w:r w:rsidR="00CD55F8">
        <w:rPr>
          <w:color w:val="000000"/>
        </w:rPr>
        <w:t xml:space="preserve">; larger pool sizes </w:t>
      </w:r>
      <w:r w:rsidR="00A13197">
        <w:rPr>
          <w:color w:val="000000"/>
        </w:rPr>
        <w:t xml:space="preserve">were </w:t>
      </w:r>
      <w:r w:rsidR="00CD55F8">
        <w:rPr>
          <w:color w:val="000000"/>
        </w:rPr>
        <w:t>not always l</w:t>
      </w:r>
      <w:r w:rsidR="00864CC6">
        <w:rPr>
          <w:color w:val="000000"/>
        </w:rPr>
        <w:t xml:space="preserve">ess sensitive or more efficient. </w:t>
      </w:r>
      <w:r w:rsidR="00864CC6">
        <w:rPr>
          <w:rFonts w:cs="Arial"/>
          <w:bCs/>
          <w:color w:val="000000"/>
        </w:rPr>
        <w:t xml:space="preserve">With increased prevalence, larger pool sizes </w:t>
      </w:r>
      <w:r w:rsidR="00A13197">
        <w:rPr>
          <w:rFonts w:cs="Arial"/>
          <w:bCs/>
          <w:color w:val="000000"/>
        </w:rPr>
        <w:t>were</w:t>
      </w:r>
      <w:r w:rsidR="00864CC6">
        <w:rPr>
          <w:rFonts w:cs="Arial"/>
          <w:bCs/>
          <w:color w:val="000000"/>
        </w:rPr>
        <w:t xml:space="preserve"> more sensitive as they </w:t>
      </w:r>
      <w:r w:rsidR="00A13197">
        <w:rPr>
          <w:rFonts w:cs="Arial"/>
          <w:bCs/>
          <w:color w:val="000000"/>
        </w:rPr>
        <w:t xml:space="preserve">were </w:t>
      </w:r>
      <w:r w:rsidR="00864CC6">
        <w:rPr>
          <w:rFonts w:cs="Arial"/>
          <w:bCs/>
          <w:color w:val="000000"/>
        </w:rPr>
        <w:t xml:space="preserve">more likely to contain more than one positive sample per pool. They </w:t>
      </w:r>
      <w:r w:rsidR="00A13197">
        <w:rPr>
          <w:rFonts w:cs="Arial"/>
          <w:bCs/>
          <w:color w:val="000000"/>
        </w:rPr>
        <w:t>were also</w:t>
      </w:r>
      <w:r w:rsidR="00864CC6">
        <w:rPr>
          <w:rFonts w:cs="Arial"/>
          <w:bCs/>
          <w:color w:val="000000"/>
        </w:rPr>
        <w:t xml:space="preserve"> less efficient as a larger proportion </w:t>
      </w:r>
      <w:r w:rsidR="00A13197">
        <w:rPr>
          <w:rFonts w:cs="Arial"/>
          <w:bCs/>
          <w:color w:val="000000"/>
        </w:rPr>
        <w:t>were</w:t>
      </w:r>
      <w:r w:rsidR="00864CC6">
        <w:rPr>
          <w:rFonts w:cs="Arial"/>
          <w:bCs/>
          <w:color w:val="000000"/>
        </w:rPr>
        <w:t xml:space="preserve"> positive</w:t>
      </w:r>
      <w:r w:rsidR="00A13197">
        <w:rPr>
          <w:rFonts w:cs="Arial"/>
          <w:bCs/>
          <w:color w:val="000000"/>
        </w:rPr>
        <w:t>,</w:t>
      </w:r>
      <w:r w:rsidR="00864CC6">
        <w:rPr>
          <w:rFonts w:cs="Arial"/>
          <w:bCs/>
          <w:color w:val="000000"/>
        </w:rPr>
        <w:t xml:space="preserve"> </w:t>
      </w:r>
      <w:r w:rsidR="00A13197">
        <w:rPr>
          <w:rFonts w:cs="Arial"/>
          <w:bCs/>
          <w:color w:val="000000"/>
        </w:rPr>
        <w:t>requiring</w:t>
      </w:r>
      <w:r w:rsidR="00864CC6">
        <w:rPr>
          <w:rFonts w:cs="Arial"/>
          <w:bCs/>
          <w:color w:val="000000"/>
        </w:rPr>
        <w:t xml:space="preserve"> deconvolution.</w:t>
      </w:r>
    </w:p>
    <w:p w14:paraId="079D0281" w14:textId="77777777" w:rsidR="008942E3" w:rsidRDefault="00CD55F8" w:rsidP="00814D6B">
      <w:pPr>
        <w:spacing w:line="480" w:lineRule="auto"/>
        <w:ind w:firstLine="720"/>
        <w:rPr>
          <w:rFonts w:cs="Arial"/>
          <w:bCs/>
          <w:color w:val="000000"/>
        </w:rPr>
      </w:pPr>
      <w:r>
        <w:rPr>
          <w:color w:val="000000"/>
        </w:rPr>
        <w:t xml:space="preserve">The model output </w:t>
      </w:r>
      <w:r w:rsidR="00A13197">
        <w:rPr>
          <w:rFonts w:cs="Arial"/>
          <w:bCs/>
          <w:color w:val="000000"/>
        </w:rPr>
        <w:t xml:space="preserve">was </w:t>
      </w:r>
      <w:r w:rsidR="00181C18">
        <w:rPr>
          <w:rFonts w:cs="Arial"/>
          <w:bCs/>
          <w:color w:val="000000"/>
        </w:rPr>
        <w:t>largely</w:t>
      </w:r>
      <w:r w:rsidR="00D524DD">
        <w:rPr>
          <w:rFonts w:cs="Arial"/>
          <w:bCs/>
          <w:color w:val="000000"/>
        </w:rPr>
        <w:t xml:space="preserve"> independent of the actual </w:t>
      </w:r>
      <w:proofErr w:type="spellStart"/>
      <w:r w:rsidR="00D524DD">
        <w:rPr>
          <w:rFonts w:cs="Arial"/>
          <w:bCs/>
          <w:color w:val="000000"/>
        </w:rPr>
        <w:t>LoD</w:t>
      </w:r>
      <w:proofErr w:type="spellEnd"/>
      <w:r w:rsidR="00D524DD">
        <w:rPr>
          <w:rFonts w:cs="Arial"/>
          <w:bCs/>
          <w:color w:val="000000"/>
        </w:rPr>
        <w:t xml:space="preserve"> and </w:t>
      </w:r>
      <w:r>
        <w:rPr>
          <w:rFonts w:cs="Arial"/>
          <w:bCs/>
          <w:color w:val="000000"/>
        </w:rPr>
        <w:t>viral load-to-</w:t>
      </w:r>
      <w:r w:rsidRPr="00CD55F8">
        <w:rPr>
          <w:rFonts w:cs="Arial"/>
          <w:bCs/>
          <w:color w:val="000000"/>
        </w:rPr>
        <w:t>C</w:t>
      </w:r>
      <w:r w:rsidRPr="00CD55F8">
        <w:rPr>
          <w:rFonts w:cs="Arial"/>
          <w:bCs/>
          <w:color w:val="000000"/>
          <w:vertAlign w:val="subscript"/>
        </w:rPr>
        <w:t>t</w:t>
      </w:r>
      <w:r w:rsidRPr="00CD55F8">
        <w:rPr>
          <w:rFonts w:cs="Arial"/>
          <w:bCs/>
          <w:color w:val="000000"/>
        </w:rPr>
        <w:t xml:space="preserve"> value </w:t>
      </w:r>
      <w:r>
        <w:rPr>
          <w:rFonts w:cs="Arial"/>
          <w:bCs/>
          <w:color w:val="000000"/>
        </w:rPr>
        <w:t xml:space="preserve">relationship of a given </w:t>
      </w:r>
      <w:r w:rsidR="00D524DD">
        <w:rPr>
          <w:rFonts w:cs="Arial"/>
          <w:bCs/>
          <w:color w:val="000000"/>
        </w:rPr>
        <w:t>assay</w:t>
      </w:r>
      <w:r>
        <w:rPr>
          <w:rFonts w:cs="Arial"/>
          <w:bCs/>
          <w:color w:val="000000"/>
        </w:rPr>
        <w:t xml:space="preserve">, making it generalizable across different </w:t>
      </w:r>
      <w:proofErr w:type="spellStart"/>
      <w:r>
        <w:rPr>
          <w:rFonts w:cs="Arial"/>
          <w:bCs/>
          <w:color w:val="000000"/>
        </w:rPr>
        <w:t>rRT</w:t>
      </w:r>
      <w:proofErr w:type="spellEnd"/>
      <w:r>
        <w:rPr>
          <w:rFonts w:cs="Arial"/>
          <w:bCs/>
          <w:color w:val="000000"/>
        </w:rPr>
        <w:t xml:space="preserve">-PCR assays. The only input parameters it requires </w:t>
      </w:r>
      <w:r w:rsidR="00181C18">
        <w:rPr>
          <w:rFonts w:cs="Arial"/>
          <w:bCs/>
          <w:color w:val="000000"/>
        </w:rPr>
        <w:t>are</w:t>
      </w:r>
      <w:r w:rsidR="00A13197">
        <w:rPr>
          <w:rFonts w:cs="Arial"/>
          <w:bCs/>
          <w:color w:val="000000"/>
        </w:rPr>
        <w:t xml:space="preserve"> proportion of tests positive and proportion of samples with Ct &gt; </w:t>
      </w:r>
      <w:proofErr w:type="spellStart"/>
      <w:r w:rsidR="00A13197">
        <w:rPr>
          <w:rFonts w:cs="Arial"/>
          <w:bCs/>
          <w:color w:val="000000"/>
        </w:rPr>
        <w:t>LoD</w:t>
      </w:r>
      <w:proofErr w:type="spellEnd"/>
      <w:r w:rsidR="00A13197">
        <w:rPr>
          <w:rFonts w:cs="Arial"/>
          <w:bCs/>
          <w:color w:val="000000"/>
        </w:rPr>
        <w:t xml:space="preserve">, both of </w:t>
      </w:r>
      <w:r w:rsidR="00A13197">
        <w:rPr>
          <w:rFonts w:cs="Arial"/>
          <w:bCs/>
          <w:color w:val="000000"/>
        </w:rPr>
        <w:lastRenderedPageBreak/>
        <w:t xml:space="preserve">which should be </w:t>
      </w:r>
      <w:r w:rsidR="00181C18">
        <w:rPr>
          <w:rFonts w:cs="Arial"/>
          <w:bCs/>
          <w:color w:val="000000"/>
        </w:rPr>
        <w:t xml:space="preserve">readily available to any laboratories conducting </w:t>
      </w:r>
      <w:r>
        <w:rPr>
          <w:rFonts w:cs="Arial"/>
          <w:bCs/>
          <w:color w:val="000000"/>
        </w:rPr>
        <w:t>clinical testing</w:t>
      </w:r>
      <w:r w:rsidR="00013324">
        <w:rPr>
          <w:rFonts w:cs="Arial"/>
          <w:bCs/>
          <w:color w:val="000000"/>
        </w:rPr>
        <w:t xml:space="preserve">. </w:t>
      </w:r>
      <w:r>
        <w:rPr>
          <w:rFonts w:cs="Arial"/>
          <w:bCs/>
          <w:color w:val="000000"/>
        </w:rPr>
        <w:t xml:space="preserve">As such, future studies </w:t>
      </w:r>
      <w:r w:rsidR="00864CC6">
        <w:rPr>
          <w:rFonts w:cs="Arial"/>
          <w:bCs/>
          <w:color w:val="000000"/>
        </w:rPr>
        <w:t>on</w:t>
      </w:r>
      <w:r>
        <w:rPr>
          <w:rFonts w:cs="Arial"/>
          <w:bCs/>
          <w:color w:val="000000"/>
        </w:rPr>
        <w:t xml:space="preserve"> the sensitivity of pooled testing strategies </w:t>
      </w:r>
      <w:r w:rsidR="00864CC6">
        <w:rPr>
          <w:rFonts w:cs="Arial"/>
          <w:bCs/>
          <w:color w:val="000000"/>
        </w:rPr>
        <w:t xml:space="preserve">should report these parameters. </w:t>
      </w:r>
    </w:p>
    <w:p w14:paraId="6069C77A" w14:textId="7BE13CF1" w:rsidR="00301BFC" w:rsidRDefault="00CD55F8" w:rsidP="008942E3">
      <w:pPr>
        <w:spacing w:line="480" w:lineRule="auto"/>
        <w:ind w:firstLine="720"/>
        <w:rPr>
          <w:rFonts w:cs="Arial"/>
          <w:bCs/>
          <w:color w:val="000000"/>
        </w:rPr>
      </w:pPr>
      <w:r>
        <w:rPr>
          <w:color w:val="000000"/>
        </w:rPr>
        <w:t xml:space="preserve">Prior models of pooled testing strategies for SARS-CoV-2 have primarily examined the effect of pool size and prevalence on testing efficiency, but have not </w:t>
      </w:r>
      <w:r w:rsidR="00586B47">
        <w:rPr>
          <w:color w:val="000000"/>
        </w:rPr>
        <w:t>addressed</w:t>
      </w:r>
      <w:r>
        <w:rPr>
          <w:color w:val="000000"/>
        </w:rPr>
        <w:t xml:space="preserve"> the expected decrement in assay sensitivity that ac</w:t>
      </w:r>
      <w:r w:rsidR="000D708D">
        <w:rPr>
          <w:color w:val="000000"/>
        </w:rPr>
        <w:t xml:space="preserve">companies </w:t>
      </w:r>
      <w:r w:rsidR="00181C18">
        <w:rPr>
          <w:color w:val="000000"/>
        </w:rPr>
        <w:t>a putative increase in</w:t>
      </w:r>
      <w:r w:rsidR="000D708D">
        <w:rPr>
          <w:color w:val="000000"/>
        </w:rPr>
        <w:t xml:space="preserve"> efficiency</w:t>
      </w:r>
      <w:r w:rsidR="00586B47">
        <w:rPr>
          <w:color w:val="000000"/>
        </w:rPr>
        <w:t xml:space="preserve"> </w:t>
      </w:r>
      <w:r w:rsidR="00586B47">
        <w:rPr>
          <w:color w:val="000000"/>
        </w:rPr>
        <w:fldChar w:fldCharType="begin" w:fldLock="1"/>
      </w:r>
      <w:r w:rsidR="00597F3E">
        <w:rPr>
          <w:color w:val="000000"/>
        </w:rPr>
        <w:instrText>ADDIN CSL_CITATION {"citationItems":[{"id":"ITEM-1","itemData":{"DOI":"10.1002/jmv.25929","ISSN":"10969071","PMID":"32330297","abstract":"Coronavirus disease (Covid-19) has reached unprecedented pandemic levels and is affecting almost every country in the world. Ramping up the testing capacity of a country supposes an essential public health response to this new outbreak. A pool testing strategy where multiple samples are tested in a single reverse transcriptase-polymerase chain reaction (RT-PCR) kit could potentially increase a country's testing capacity. The aim of this study is to propose a simple mathematical model to estimate the optimum number of pooled samples according to the relative prevalence of positive tests in a particular healthcare context, assuming that if a group tests negative, no further testing is done whereas if a group tests positive, all the subjects of the group are retested individually. The model predicts group sizes that range from 11 to 3 subjects. For a prevalence of 10% of positive tests, 40.6% of tests can be saved using testing groups of four subjects. For a 20% prevalence, 17.9% of tests can be saved using groups of three subjects. For higher prevalences, the strategy flattens and loses effectiveness. Pool testing individuals for severe acute respiratory syndrome coronavirus 2 is a valuable strategy that could considerably boost a country's testing capacity. However, further studies are needed to address how large these groups can be, without losing sensitivity on the RT-PCR. The strategy best works in settings with a low prevalence of positive tests. It is best implemented in subgroups with low clinical suspicion. The model can be adapted to specific prevalences, generating a tailored to the context implementation of the pool testing strategy.","author":[{"dropping-particle":"","family":"Aragón-Caqueo","given":"Diego","non-dropping-particle":"","parse-names":false,"suffix":""},{"dropping-particle":"","family":"Fernández-Salinas","given":"Javier","non-dropping-particle":"","parse-names":false,"suffix":""},{"dropping-particle":"","family":"Laroze","given":"David","non-dropping-particle":"","parse-names":false,"suffix":""}],"container-title":"J Med Virol.. 2020 Jul 13 [date cited].. Epub 2020 Apr.","id":"ITEM-1","issued":{"date-parts":[["0"]]},"title":"Optimization of group size in pool testing strategy for SARS-CoV-2: A simple mathematical model","type":"article-journal"},"uris":["http://www.mendeley.com/documents/?uuid=9a27312b-d431-4661-a7d7-13c7d9b4538a"]},{"id":"ITEM-2","itemData":{"PMID":"32388468","author":[{"dropping-particle":"","family":"Eberhardt","given":"J N","non-dropping-particle":"","parse-names":false,"suffix":""},{"dropping-particle":"","family":"Breuckmann","given":"N P","non-dropping-particle":"","parse-names":false,"suffix":""},{"dropping-particle":"","family":"Eberhardt","given":"C S","non-dropping-particle":"","parse-names":false,"suffix":""}],"container-title":"Journal of Clinical Virology","id":"ITEM-2","issue":"104382","issued":{"date-parts":[["2020"]]},"title":"Multi-Stage Group Testing Improves Efficiency of Large-Scale COVID-19 Screening","type":"article-journal","volume":"128"},"uris":["http://www.mendeley.com/documents/?uuid=a9c58d08-e014-448d-a194-d2a155e034c3"]}],"mendeley":{"formattedCitation":"(&lt;i&gt;6&lt;/i&gt;,&lt;i&gt;22&lt;/i&gt;)","plainTextFormattedCitation":"(6,22)","previouslyFormattedCitation":"(&lt;i&gt;6&lt;/i&gt;,&lt;i&gt;22&lt;/i&gt;)"},"properties":{"noteIndex":0},"schema":"https://github.com/citation-style-language/schema/raw/master/csl-citation.json"}</w:instrText>
      </w:r>
      <w:r w:rsidR="00586B47">
        <w:rPr>
          <w:color w:val="000000"/>
        </w:rPr>
        <w:fldChar w:fldCharType="separate"/>
      </w:r>
      <w:r w:rsidR="00597F3E" w:rsidRPr="00597F3E">
        <w:rPr>
          <w:noProof/>
          <w:color w:val="000000"/>
        </w:rPr>
        <w:t>(</w:t>
      </w:r>
      <w:r w:rsidR="00597F3E" w:rsidRPr="00597F3E">
        <w:rPr>
          <w:i/>
          <w:noProof/>
          <w:color w:val="000000"/>
        </w:rPr>
        <w:t>6</w:t>
      </w:r>
      <w:r w:rsidR="00597F3E" w:rsidRPr="00597F3E">
        <w:rPr>
          <w:noProof/>
          <w:color w:val="000000"/>
        </w:rPr>
        <w:t>,</w:t>
      </w:r>
      <w:r w:rsidR="00597F3E" w:rsidRPr="00597F3E">
        <w:rPr>
          <w:i/>
          <w:noProof/>
          <w:color w:val="000000"/>
        </w:rPr>
        <w:t>22</w:t>
      </w:r>
      <w:r w:rsidR="00597F3E" w:rsidRPr="00597F3E">
        <w:rPr>
          <w:noProof/>
          <w:color w:val="000000"/>
        </w:rPr>
        <w:t>)</w:t>
      </w:r>
      <w:r w:rsidR="00586B47">
        <w:rPr>
          <w:color w:val="000000"/>
        </w:rPr>
        <w:fldChar w:fldCharType="end"/>
      </w:r>
      <w:r w:rsidR="00586B47">
        <w:rPr>
          <w:color w:val="000000"/>
        </w:rPr>
        <w:t>. Those that have</w:t>
      </w:r>
      <w:r w:rsidR="00181C18">
        <w:rPr>
          <w:color w:val="000000"/>
        </w:rPr>
        <w:t xml:space="preserve"> examined sensitivity</w:t>
      </w:r>
      <w:r w:rsidR="00586B47">
        <w:rPr>
          <w:color w:val="000000"/>
        </w:rPr>
        <w:t xml:space="preserve"> did not explicitly model the effect of </w:t>
      </w:r>
      <w:r w:rsidR="004B56E8">
        <w:rPr>
          <w:color w:val="000000"/>
        </w:rPr>
        <w:t xml:space="preserve">variable </w:t>
      </w:r>
      <w:r w:rsidR="00586B47">
        <w:rPr>
          <w:color w:val="000000"/>
        </w:rPr>
        <w:t xml:space="preserve">viral load distribution of test-positive patients, a parameter that can </w:t>
      </w:r>
      <w:r w:rsidR="00A8050A">
        <w:rPr>
          <w:color w:val="000000"/>
        </w:rPr>
        <w:t>vary</w:t>
      </w:r>
      <w:r w:rsidR="00586B47">
        <w:rPr>
          <w:color w:val="000000"/>
        </w:rPr>
        <w:t xml:space="preserve"> based on </w:t>
      </w:r>
      <w:r w:rsidR="00586B47">
        <w:rPr>
          <w:rFonts w:cs="Arial"/>
          <w:bCs/>
          <w:color w:val="000000"/>
        </w:rPr>
        <w:t>the underlying patient population (asymptomatic vs. symptomatic</w:t>
      </w:r>
      <w:r w:rsidR="00A8050A">
        <w:rPr>
          <w:rFonts w:cs="Arial"/>
          <w:bCs/>
          <w:color w:val="000000"/>
        </w:rPr>
        <w:t>, severe vs. non-severe</w:t>
      </w:r>
      <w:r w:rsidR="00586B47">
        <w:rPr>
          <w:rFonts w:cs="Arial"/>
          <w:bCs/>
          <w:color w:val="000000"/>
        </w:rPr>
        <w:t xml:space="preserve">), purpose of testing (diagnostic vs. follow-up), and specimen type </w:t>
      </w:r>
      <w:r w:rsidR="00586B47">
        <w:rPr>
          <w:rFonts w:cs="Arial"/>
          <w:bCs/>
          <w:color w:val="000000"/>
        </w:rPr>
        <w:fldChar w:fldCharType="begin" w:fldLock="1"/>
      </w:r>
      <w:r w:rsidR="00597F3E">
        <w:rPr>
          <w:rFonts w:cs="Arial"/>
          <w:bCs/>
          <w:color w:val="000000"/>
        </w:rPr>
        <w:instrText>ADDIN CSL_CITATION {"citationItems":[{"id":"ITEM-1","itemData":{"DOI":"10.1101/2020.04.30.20085290","abstract":"Background: Due to the ongoing COVID-19 pandemic, demand for diagnostic testing has increased drastically, resulting in shortages of necessary materials to conduct the tests and overwhelming the capacity of testing laboratories. The supply scarcity and capacity limits affect test administration: priority must be given to hospitalized patients and symptomatic individuals, which can prevent the identification of asymptomatic and presymptomatic individuals and hence effective tracking and tracing policies. We describe optimized group testing strategies applicable to SARS-CoV-2 tests in scenarios tailored to the current COVID-19 pandemic and assess significant gains compared to individual testing. Methods: We account for biochemically realistic scenarios in the context of dilution effects on SARS-CoV-2 samples and consider evidence on specificity and sensitivity of PCR-based tests for the novel coronavirus. Because of the current uncertainty and the temporal and spatial changes in the prevalence regime, we provide analysis for a number of realistic scenarios and propose fast and reliable strategies for massive testing procedures. Findings: We find significant efficiency gaps between different group testing strategies in realistic scenarios for SARS-CoV-2 testing, highlighting the need for an informed decision of the pooling protocol depending on estimated prevalence, target specificity, and high- vs. low-risk population. For example, using one of the presented methods, all 1.47 million inhabitants of Munich, Germany, could be tested using only around 141 thousand tests if the infection rate is below 0.4% is assumed. Using 1 million tests, the 6.69 million inhabitants from the city of Rio de Janeiro, Brazil, could be tested as long as the infection rate does not exceed 1%. Interpretation: Altogether this work may help provide a basis for efficient upscaling of current testing procedures, taking the population heterogeneity into account and fine grained towards the desired study populations, e.g. cross-sectional versus health-care workers and adapted mixtures thereof. ### Competing Interest Statement The authors have declared no competing interest. ### Funding Statement CMV gratefully acknowledge support by German Science Foundation (DFG) within the Gottfried Wilhelm Leibniz Prize under Grant BO 1734/20-1, under contract number PO-1347/3-2 and within Germany's Excellence Strategy EXC-2111 390814868. CMV and FK gratefully acknowledge support by German Science …","author":[{"dropping-particle":"","family":"Verdun","given":"Claudio M.","non-dropping-particle":"","parse-names":false,"suffix":""},{"dropping-particle":"","family":"Fuchs","given":"Tim","non-dropping-particle":"","parse-names":false,"suffix":""},{"dropping-particle":"","family":"Harar","given":"Pavol","non-dropping-particle":"","parse-names":false,"suffix":""},{"dropping-particle":"","family":"Elbrächter","given":"Dennis","non-dropping-particle":"","parse-names":false,"suffix":""},{"dropping-particle":"","family":"Fischer","given":"David S.","non-dropping-particle":"","parse-names":false,"suffix":""},{"dropping-particle":"","family":"Berner","given":"Julius","non-dropping-particle":"","parse-names":false,"suffix":""},{"dropping-particle":"","family":"Grohs","given":"Philipp","non-dropping-particle":"","parse-names":false,"suffix":""},{"dropping-particle":"","family":"Theis","given":"Fabian J.","non-dropping-particle":"","parse-names":false,"suffix":""},{"dropping-particle":"","family":"Krahmer","given":"Felix","non-dropping-particle":"","parse-names":false,"suffix":""}],"container-title":"medRxiv.. 2020 Jul 15 [date cited].. Epub 2020 May 5.","id":"ITEM-1","issued":{"date-parts":[["0"]]},"title":"Group testing for SARS-CoV-2 allows for up to 10-fold efficiency increase across realistic scenarios and testing strategies","type":"article-journal"},"uris":["http://www.mendeley.com/documents/?uuid=287187c9-d033-4ce7-9e69-ccf2301e00d3"]},{"id":"ITEM-2","itemData":{"DOI":"https://doi.org/10.1093/infdis/jiaa378","ISBN":"4085513540","abstract":"Most informal finance comes from family and friends. Existing informal finance theories cannot match two characteristics of family finance: family investors may accept below-market or even negative returns, yet borrowers often prefer formal finance. We argue that social preferences make family finance cheap but create shadow costs that nonetheless discourage its use: Committing family funds to risky investment displaces intrafamily insurance and undermines limited liability. The same characteristics that sustain familial insurance thus render family finance a poor source of risk capital. Even when overcoming capital constraints requires social ties, intermediation and semiformalization may therefore be crucial for promoting risk taking.","author":[{"dropping-particle":"","family":"Pilcher","given":"Christopher D","non-dropping-particle":"","parse-names":false,"suffix":""},{"dropping-particle":"","family":"Westreich","given":"Daniel","non-dropping-particle":"","parse-names":false,"suffix":""},{"dropping-particle":"","family":"Hudgens","given":"Michael G","non-dropping-particle":"","parse-names":false,"suffix":""}],"container-title":"The Journal of Infectious Dis.. 2020 Jul 16 [date cited].. Epub 2020 Jun 27.","id":"ITEM-2","issued":{"date-parts":[["0"]]},"title":"Group Testing for SARS-CoV-2 to Enable Rapid Scale-Up of Testing and Real-Time Surveillance of Incidence","type":"article-journal"},"uris":["http://www.mendeley.com/documents/?uuid=2e604870-b5d5-4012-92cf-1435e245c000"]},{"id":"ITEM-3","itemData":{"DOI":"10.1016/S1473-3099(20)30113-4","ISSN":"14744457","PMID":"32105638","author":[{"dropping-particle":"","family":"Pan","given":"Yang","non-dropping-particle":"","parse-names":false,"suffix":""},{"dropping-particle":"","family":"Zhang","given":"Daitao","non-dropping-particle":"","parse-names":false,"suffix":""},{"dropping-particle":"","family":"Yang","given":"Peng","non-dropping-particle":"","parse-names":false,"suffix":""},{"dropping-particle":"","family":"Poon","given":"Leo L.M.","non-dropping-particle":"","parse-names":false,"suffix":""},{"dropping-particle":"","family":"Wang","given":"Quanyi","non-dropping-particle":"","parse-names":false,"suffix":""}],"container-title":"The Lancet Infectious Diseases","id":"ITEM-3","issue":"4","issued":{"date-parts":[["2020"]]},"page":"411-412","publisher":"Elsevier Ltd","title":"Viral load of SARS-CoV-2 in clinical samples","type":"article-journal","volume":"20"},"uris":["http://www.mendeley.com/documents/?uuid=3c59a47c-f0dc-41a6-895c-32480896461a"]},{"id":"ITEM-4","itemData":{"DOI":"10.1016/j.ijid.2020.03.022","ISSN":"18783511","PMID":"32179140","abstract":"Objectives: To compare the clinical characteristics and the dynamics of viral load between imported and non-imported patients with COVID-19. Design and methods: Data from 51 laboratory-confirmed patients were retrospectively analyzed. Results: The incubation period in the tertiary group was longer than that in the imported and secondary groups (both p &lt; 0.05). Fever was the most common symptom at the onset of illness (73.33%, 58.82%, and 68.42%, respectively), and half of the patients had a low-grade temperature (&lt;38.0 °C) with a short duration of fever (&lt;7 days). CT scans showed that most patients in the three groups had bilateral pneumonia (80.00%, 76.47%, and 73.68%, respectively). Ct values detected in the tertiary patients were similar to those for the imported and secondary groups at the time of admission (both p &gt; 0.05). For the tertiary group, the viral load was undetectable in half of the patients (52.63%) on day 7, and in all patients on day 14. For one third of the patients in the imported and secondary groups, the viral load remained positive on day 14 after the admission. Conclusions: COVID-19 can present as pneumonia with a low onset of symptoms, and the infectivity of SARS-CoV2 may gradually decrease in tertiary patients.","author":[{"dropping-particle":"","family":"Xu","given":"Tianmin","non-dropping-particle":"","parse-names":false,"suffix":""},{"dropping-particle":"","family":"Chen","given":"Cong","non-dropping-particle":"","parse-names":false,"suffix":""},{"dropping-particle":"","family":"Zhu","given":"Zhen","non-dropping-particle":"","parse-names":false,"suffix":""},{"dropping-particle":"","family":"Cui","given":"Manman","non-dropping-particle":"","parse-names":false,"suffix":""},{"dropping-particle":"","family":"Chen","given":"Chunhua","non-dropping-particle":"","parse-names":false,"suffix":""},{"dropping-particle":"","family":"Dai","given":"Hong","non-dropping-particle":"","parse-names":false,"suffix":""},{"dropping-particle":"","family":"Xue","given":"Yuan","non-dropping-particle":"","parse-names":false,"suffix":""}],"container-title":"International Journal of Infectious Diseases","id":"ITEM-4","issue":"300","issued":{"date-parts":[["2020"]]},"page":"68-71","publisher":"International Society for Infectious Diseases","title":"Clinical features and dynamics of viral load in imported and non-imported patients with COVID-19","type":"article-journal","volume":"94"},"uris":["http://www.mendeley.com/documents/?uuid=ad8b8366-bab0-4759-9951-0a54ed0743bb"]},{"id":"ITEM-5","itemData":{"DOI":"10.1016/S1473-3099(20)30196-1","ISSN":"14744457","PMID":"32213337","abstract":"Background: Coronavirus disease 2019 (COVID-19) causes severe community and nosocomial outbreaks. Comprehensive data for serial respiratory viral load and serum antibody responses from patients infected with severe acute respiratory syndrome coronavirus 2 (SARS-CoV-2) are not yet available. Nasopharyngeal and throat swabs are usually obtained for serial viral load monitoring of respiratory infections but gathering these specimens can cause discomfort for patients and put health-care workers at risk. We aimed to ascertain the serial respiratory viral load of SARS-CoV-2 in posterior oropharyngeal (deep throat) saliva samples from patients with COVID-19, and serum antibody responses. Methods: We did a cohort study at two hospitals in Hong Kong. We included patients with laboratory-confirmed COVID-19. We obtained samples of blood, urine, posterior oropharyngeal saliva, and rectal swabs. Serial viral load was ascertained by reverse transcriptase quantitative PCR (RT-qPCR). Antibody levels against the SARS-CoV-2 internal nucleoprotein (NP) and surface spike protein receptor binding domain (RBD) were measured using EIA. Whole-genome sequencing was done to identify possible mutations arising during infection. Findings: Between Jan 22, 2020, and Feb 12, 2020, 30 patients were screened for inclusion, of whom 23 were included (median age 62 years [range 37–75]). The median viral load in posterior oropharyngeal saliva or other respiratory specimens at presentation was 5·2 log10 copies per mL (IQR 4·1–7·0). Salivary viral load was highest during the first week after symptom onset and subsequently declined with time (slope −0·15, 95% CI −0·19 to −0·11; R2=0·71). In one patient, viral RNA was detected 25 days after symptom onset. Older age was correlated with higher viral load (Spearman's ρ=0·48, 95% CI 0·074–0·75; p=0·020). For 16 patients with serum samples available 14 days or longer after symptom onset, rates of seropositivity were 94% for anti-NP IgG (n=15), 88% for anti-NP IgM (n=14), 100% for anti-RBD IgG (n=16), and 94% for anti-RBD IgM (n=15). Anti-SARS-CoV-2-NP or anti-SARS-CoV-2-RBD IgG levels correlated with virus neutralisation titre (R2&gt;0·9). No genome mutations were detected on serial samples. Interpretation: Posterior oropharyngeal saliva samples are a non-invasive specimen more acceptable to patients and health-care workers. Unlike severe acute respiratory syndrome, patients with COVID-19 had the highest viral load near presentation, which could accou…","author":[{"dropping-particle":"","family":"To","given":"Kelvin Kai Wang","non-dropping-particle":"","parse-names":false,"suffix":""},{"dropping-particle":"","family":"Tsang","given":"Owen Tak Yin","non-dropping-particle":"","parse-names":false,"suffix":""},{"dropping-particle":"","family":"Leung","given":"Wai Shing","non-dropping-particle":"","parse-names":false,"suffix":""},{"dropping-particle":"","family":"Tam","given":"Anthony Raymond","non-dropping-particle":"","parse-names":false,"suffix":""},{"dropping-particle":"","family":"Wu","given":"Tak Chiu","non-dropping-particle":"","parse-names":false,"suffix":""},{"dropping-particle":"","family":"Lung","given":"David Christopher","non-dropping-particle":"","parse-names":false,"suffix":""},{"dropping-particle":"","family":"Yip","given":"Cyril Chik Yan","non-dropping-particle":"","parse-names":false,"suffix":""},{"dropping-particle":"","family":"Cai","given":"Jian Piao","non-dropping-particle":"","parse-names":false,"suffix":""},{"dropping-particle":"","family":"Chan","given":"Jacky Man Chun","non-dropping-particle":"","parse-names":false,"suffix":""},{"dropping-particle":"","family":"Chik","given":"Thomas Shiu Hong","non-dropping-particle":"","parse-names":false,"suffix":""},{"dropping-particle":"","family":"Lau","given":"Daphne Pui Ling","non-dropping-particle":"","parse-names":false,"suffix":""},{"dropping-particle":"","family":"Choi","given":"Chris Yau Chung","non-dropping-particle":"","parse-names":false,"suffix":""},{"dropping-particle":"","family":"Chen","given":"Lin Lei","non-dropping-particle":"","parse-names":false,"suffix":""},{"dropping-particle":"","family":"Chan","given":"Wan Mui","non-dropping-particle":"","parse-names":false,"suffix":""},{"dropping-particle":"","family":"Chan","given":"Kwok Hung","non-dropping-particle":"","parse-names":false,"suffix":""},{"dropping-particle":"","family":"Ip","given":"Jonathan Daniel","non-dropping-particle":"","parse-names":false,"suffix":""},{"dropping-particle":"","family":"Ng","given":"Anthony Chin Ki","non-dropping-particle":"","parse-names":false,"suffix":""},{"dropping-particle":"","family":"Poon","given":"Rosana Wing Shan","non-dropping-particle":"","parse-names":false,"suffix":""},{"dropping-particle":"","family":"Luo","given":"Cui Ting","non-dropping-particle":"","parse-names":false,"suffix":""},{"dropping-particle":"","family":"Cheng","given":"Vincent Chi Chung","non-dropping-particle":"","parse-names":false,"suffix":""},{"dropping-particle":"","family":"Chan","given":"Jasper Fuk Woo","non-dropping-particle":"","parse-names":false,"suffix":""},{"dropping-particle":"","family":"Hung","given":"Ivan Fan Ngai","non-dropping-particle":"","parse-names":false,"suffix":""},{"dropping-particle":"","family":"Chen","given":"Zhiwei","non-dropping-particle":"","parse-names":false,"suffix":""},{"dropping-particle":"","family":"Chen","given":"Honglin","non-dropping-particle":"","parse-names":false,"suffix":""},{"dropping-particle":"","family":"Yuen","given":"Kwok Yung","non-dropping-particle":"","parse-names":false,"suffix":""}],"container-title":"The Lancet Infectious Diseases","id":"ITEM-5","issue":"5","issued":{"date-parts":[["2020"]]},"page":"565-574","publisher":"Elsevier Ltd","title":"Temporal profiles of viral load in posterior oropharyngeal saliva samples and serum antibody responses during infection by SARS-CoV-2: an observational cohort study","type":"article-journal","volume":"20"},"uris":["http://www.mendeley.com/documents/?uuid=af864b0e-0fbb-4ade-975b-f68f8fa4b526"]},{"id":"ITEM-6","itemData":{"DOI":"10.1038/s41586-020-2196-x","ISSN":"14764687","PMID":"32235945","abstract":"Coronavirus disease 2019 (COVID-19) is an acute infection of the respiratory tract that emerged in late 20191,2. Initial outbreaks in China involved 13.8% of cases with severe courses, and 6.1% of cases with critical courses3. This severe presentation may result from the virus using a virus receptor that is expressed predominantly in the lung2,4; the same receptor tropism is thought to have determined the pathogenicity—but also aided in the control—of severe acute respiratory syndrome (SARS) in 20035. However, there are reports of cases of COVID-19 in which the patient shows mild upper respiratory tract symptoms, which suggests the potential for pre- or oligosymptomatic transmission6–8. There is an urgent need for information on virus replication, immunity and infectivity in specific sites of the body. Here we report a detailed virological analysis of nine cases of COVID-19 that provides proof of active virus replication in tissues of the upper respiratory tract. Pharyngeal virus shedding was very high during the first week of symptoms, with a peak at 7.11 × 108 RNA copies per throat swab on day 4. Infectious virus was readily isolated from samples derived from the throat or lung, but not from stool samples—in spite of high concentrations of virus RNA. Blood and urine samples never yielded virus. Active replication in the throat was confirmed by the presence of viral replicative RNA intermediates in the throat samples. We consistently detected sequence-distinct virus populations in throat and lung samples from one patient, proving independent replication. The shedding of viral RNA from sputum outlasted the end of symptoms. Seroconversion occurred after 7 days in 50% of patients (and by day 14 in all patients), but was not followed by a rapid decline in viral load. COVID-19 can present as a mild illness of the upper respiratory tract. The confirmation of active virus replication in the upper respiratory tract has implications for the containment of COVID-19.","author":[{"dropping-particle":"","family":"Wölfel","given":"Roman","non-dropping-particle":"","parse-names":false,"suffix":""},{"dropping-particle":"","family":"Corman","given":"Victor M.","non-dropping-particle":"","parse-names":false,"suffix":""},{"dropping-particle":"","family":"Guggemos","given":"Wolfgang","non-dropping-particle":"","parse-names":false,"suffix":""},{"dropping-particle":"","family":"Seilmaier","given":"Michael","non-dropping-particle":"","parse-names":false,"suffix":""},{"dropping-particle":"","family":"Zange","given":"Sabine","non-dropping-particle":"","parse-names":false,"suffix":""},{"dropping-particle":"","family":"Müller","given":"Marcel A.","non-dropping-particle":"","parse-names":false,"suffix":""},{"dropping-particle":"","family":"Niemeyer","given":"Daniela","non-dropping-particle":"","parse-names":false,"suffix":""},{"dropping-particle":"","family":"Jones","given":"Terry C.","non-dropping-particle":"","parse-names":false,"suffix":""},{"dropping-particle":"","family":"Vollmar","given":"Patrick","non-dropping-particle":"","parse-names":false,"suffix":""},{"dropping-particle":"","family":"Rothe","given":"Camilla","non-dropping-particle":"","parse-names":false,"suffix":""},{"dropping-particle":"","family":"Hoelscher","given":"Michael","non-dropping-particle":"","parse-names":false,"suffix":""},{"dropping-particle":"","family":"Bleicker","given":"Tobias","non-dropping-particle":"","parse-names":false,"suffix":""},{"dropping-particle":"","family":"Brünink","given":"Sebastian","non-dropping-particle":"","parse-names":false,"suffix":""},{"dropping-particle":"","family":"Schneider","given":"Julia","non-dropping-particle":"","parse-names":false,"suffix":""},{"dropping-particle":"","family":"Ehmann","given":"Rosina","non-dropping-particle":"","parse-names":false,"suffix":""},{"dropping-particle":"","family":"Zwirglmaier","given":"Katrin","non-dropping-particle":"","parse-names":false,"suffix":""},{"dropping-particle":"","family":"Drosten","given":"Christian","non-dropping-particle":"","parse-names":false,"suffix":""},{"dropping-particle":"","family":"Wendtner","given":"Clemens","non-dropping-particle":"","parse-names":false,"suffix":""}],"container-title":"Nature","id":"ITEM-6","issue":"7809","issued":{"date-parts":[["2020"]]},"page":"465-469","publisher":"Springer US","title":"Virological assessment of hospitalized patients with COVID-2019","type":"article-journal","volume":"581"},"uris":["http://www.mendeley.com/documents/?uuid=6d6fc4f1-0bdc-4e35-92eb-f0edc9615fc0"]}],"mendeley":{"formattedCitation":"(&lt;i&gt;8&lt;/i&gt;,&lt;i&gt;23&lt;/i&gt;–&lt;i&gt;27&lt;/i&gt;)","plainTextFormattedCitation":"(8,23–27)","previouslyFormattedCitation":"(&lt;i&gt;8&lt;/i&gt;,&lt;i&gt;23&lt;/i&gt;–&lt;i&gt;27&lt;/i&gt;)"},"properties":{"noteIndex":0},"schema":"https://github.com/citation-style-language/schema/raw/master/csl-citation.json"}</w:instrText>
      </w:r>
      <w:r w:rsidR="00586B47">
        <w:rPr>
          <w:rFonts w:cs="Arial"/>
          <w:bCs/>
          <w:color w:val="000000"/>
        </w:rPr>
        <w:fldChar w:fldCharType="separate"/>
      </w:r>
      <w:r w:rsidR="00597F3E" w:rsidRPr="00597F3E">
        <w:rPr>
          <w:rFonts w:cs="Arial"/>
          <w:bCs/>
          <w:noProof/>
          <w:color w:val="000000"/>
        </w:rPr>
        <w:t>(</w:t>
      </w:r>
      <w:r w:rsidR="00597F3E" w:rsidRPr="00597F3E">
        <w:rPr>
          <w:rFonts w:cs="Arial"/>
          <w:bCs/>
          <w:i/>
          <w:noProof/>
          <w:color w:val="000000"/>
        </w:rPr>
        <w:t>8</w:t>
      </w:r>
      <w:r w:rsidR="00597F3E" w:rsidRPr="00597F3E">
        <w:rPr>
          <w:rFonts w:cs="Arial"/>
          <w:bCs/>
          <w:noProof/>
          <w:color w:val="000000"/>
        </w:rPr>
        <w:t>,</w:t>
      </w:r>
      <w:r w:rsidR="00597F3E" w:rsidRPr="00597F3E">
        <w:rPr>
          <w:rFonts w:cs="Arial"/>
          <w:bCs/>
          <w:i/>
          <w:noProof/>
          <w:color w:val="000000"/>
        </w:rPr>
        <w:t>23</w:t>
      </w:r>
      <w:r w:rsidR="00597F3E" w:rsidRPr="00597F3E">
        <w:rPr>
          <w:rFonts w:cs="Arial"/>
          <w:bCs/>
          <w:noProof/>
          <w:color w:val="000000"/>
        </w:rPr>
        <w:t>–</w:t>
      </w:r>
      <w:r w:rsidR="00597F3E" w:rsidRPr="00597F3E">
        <w:rPr>
          <w:rFonts w:cs="Arial"/>
          <w:bCs/>
          <w:i/>
          <w:noProof/>
          <w:color w:val="000000"/>
        </w:rPr>
        <w:t>27</w:t>
      </w:r>
      <w:r w:rsidR="00597F3E" w:rsidRPr="00597F3E">
        <w:rPr>
          <w:rFonts w:cs="Arial"/>
          <w:bCs/>
          <w:noProof/>
          <w:color w:val="000000"/>
        </w:rPr>
        <w:t>)</w:t>
      </w:r>
      <w:r w:rsidR="00586B47">
        <w:rPr>
          <w:rFonts w:cs="Arial"/>
          <w:bCs/>
          <w:color w:val="000000"/>
        </w:rPr>
        <w:fldChar w:fldCharType="end"/>
      </w:r>
      <w:r w:rsidR="008942E3">
        <w:rPr>
          <w:rFonts w:cs="Arial"/>
          <w:bCs/>
          <w:color w:val="000000"/>
        </w:rPr>
        <w:t xml:space="preserve">. </w:t>
      </w:r>
      <w:r w:rsidR="00932801">
        <w:rPr>
          <w:rFonts w:cs="Arial"/>
          <w:bCs/>
          <w:color w:val="000000"/>
        </w:rPr>
        <w:t>Additionally, prior model</w:t>
      </w:r>
      <w:r w:rsidR="008942E3">
        <w:rPr>
          <w:rFonts w:cs="Arial"/>
          <w:bCs/>
          <w:color w:val="000000"/>
        </w:rPr>
        <w:t>ing studies</w:t>
      </w:r>
      <w:r w:rsidR="00932801">
        <w:rPr>
          <w:rFonts w:cs="Arial"/>
          <w:bCs/>
          <w:color w:val="000000"/>
        </w:rPr>
        <w:t xml:space="preserve"> </w:t>
      </w:r>
      <w:r w:rsidR="008942E3">
        <w:rPr>
          <w:rFonts w:cs="Arial"/>
          <w:bCs/>
          <w:color w:val="000000"/>
        </w:rPr>
        <w:t>and in silico analyses have mostly used the assay’s C</w:t>
      </w:r>
      <w:r w:rsidR="008942E3" w:rsidRPr="00DE700A">
        <w:rPr>
          <w:rFonts w:cs="Arial"/>
          <w:bCs/>
          <w:color w:val="000000"/>
          <w:vertAlign w:val="subscript"/>
        </w:rPr>
        <w:t>t</w:t>
      </w:r>
      <w:r w:rsidR="008942E3">
        <w:rPr>
          <w:rFonts w:cs="Arial"/>
          <w:bCs/>
          <w:color w:val="000000"/>
        </w:rPr>
        <w:t xml:space="preserve"> cutoff, assuming 100% detection below the cutoff, and 0% detection above it. </w:t>
      </w:r>
      <w:r w:rsidR="00C34C93" w:rsidRPr="00F929FF">
        <w:rPr>
          <w:rFonts w:cs="Arial"/>
          <w:bCs/>
          <w:color w:val="000000"/>
          <w:highlight w:val="yellow"/>
        </w:rPr>
        <w:t>In contrast, our</w:t>
      </w:r>
      <w:r w:rsidR="008942E3" w:rsidRPr="00F929FF">
        <w:rPr>
          <w:rFonts w:cs="Arial"/>
          <w:bCs/>
          <w:color w:val="000000"/>
          <w:highlight w:val="yellow"/>
        </w:rPr>
        <w:t xml:space="preserve"> model incorporates the probabilistic nature of detection at and above the </w:t>
      </w:r>
      <w:proofErr w:type="spellStart"/>
      <w:r w:rsidR="008942E3" w:rsidRPr="00F929FF">
        <w:rPr>
          <w:rFonts w:cs="Arial"/>
          <w:bCs/>
          <w:color w:val="000000"/>
          <w:highlight w:val="yellow"/>
        </w:rPr>
        <w:t>LoD</w:t>
      </w:r>
      <w:proofErr w:type="spellEnd"/>
      <w:r w:rsidR="008942E3" w:rsidRPr="00F929FF">
        <w:rPr>
          <w:rFonts w:cs="Arial"/>
          <w:bCs/>
          <w:color w:val="000000"/>
          <w:highlight w:val="yellow"/>
        </w:rPr>
        <w:t>, which better approximates reality.</w:t>
      </w:r>
    </w:p>
    <w:p w14:paraId="472EEC5B" w14:textId="57B2619F" w:rsidR="00471F50" w:rsidRPr="0020275E" w:rsidRDefault="00E94E09" w:rsidP="00F82FAE">
      <w:pPr>
        <w:spacing w:line="480" w:lineRule="auto"/>
        <w:ind w:firstLine="720"/>
        <w:rPr>
          <w:rFonts w:cs="Arial"/>
          <w:bCs/>
          <w:color w:val="000000"/>
        </w:rPr>
      </w:pPr>
      <w:r>
        <w:rPr>
          <w:rFonts w:cs="Arial"/>
          <w:bCs/>
          <w:color w:val="000000"/>
        </w:rPr>
        <w:t>Our approach is limited by the generalizability of the probit regression shape and equation estimating dilutional effect</w:t>
      </w:r>
      <w:r w:rsidR="00D019D9">
        <w:rPr>
          <w:rFonts w:cs="Arial"/>
          <w:bCs/>
          <w:color w:val="000000"/>
        </w:rPr>
        <w:t>, as demonstrated by the variability seen on probabilistic and deterministic sensitivity analysis</w:t>
      </w:r>
      <w:r>
        <w:rPr>
          <w:rFonts w:cs="Arial"/>
          <w:bCs/>
          <w:color w:val="000000"/>
        </w:rPr>
        <w:t xml:space="preserve">. </w:t>
      </w:r>
      <w:r w:rsidR="00D019D9">
        <w:rPr>
          <w:rFonts w:cs="Arial"/>
          <w:bCs/>
          <w:color w:val="000000"/>
        </w:rPr>
        <w:t>Furthermore, the</w:t>
      </w:r>
      <w:r w:rsidR="00C26C1A">
        <w:rPr>
          <w:rFonts w:cs="Arial"/>
          <w:bCs/>
          <w:color w:val="000000"/>
        </w:rPr>
        <w:t xml:space="preserve"> model assumes</w:t>
      </w:r>
      <w:r w:rsidR="00993CE3">
        <w:rPr>
          <w:rFonts w:cs="Arial"/>
          <w:bCs/>
          <w:color w:val="000000"/>
        </w:rPr>
        <w:t xml:space="preserve"> that the PCR is</w:t>
      </w:r>
      <w:r w:rsidR="00C26C1A">
        <w:rPr>
          <w:rFonts w:cs="Arial"/>
          <w:bCs/>
          <w:color w:val="000000"/>
        </w:rPr>
        <w:t xml:space="preserve"> </w:t>
      </w:r>
      <w:r w:rsidR="00993CE3">
        <w:rPr>
          <w:rFonts w:cs="Arial"/>
          <w:bCs/>
          <w:color w:val="000000"/>
        </w:rPr>
        <w:t>100% efficient, and that it is devoid of any proportional bias between</w:t>
      </w:r>
      <w:r w:rsidR="00C26C1A">
        <w:rPr>
          <w:rFonts w:cs="Arial"/>
          <w:bCs/>
          <w:color w:val="000000"/>
        </w:rPr>
        <w:t xml:space="preserve"> individual and pooled tests.</w:t>
      </w:r>
      <w:r w:rsidR="00C26C1A" w:rsidRPr="00C26C1A">
        <w:rPr>
          <w:rFonts w:cs="Arial"/>
          <w:bCs/>
          <w:color w:val="000000"/>
        </w:rPr>
        <w:t xml:space="preserve"> </w:t>
      </w:r>
      <w:r w:rsidR="00D019D9">
        <w:rPr>
          <w:rFonts w:cs="Arial"/>
          <w:bCs/>
          <w:color w:val="000000"/>
        </w:rPr>
        <w:t>Additionally, the</w:t>
      </w:r>
      <w:r w:rsidR="00C26C1A">
        <w:rPr>
          <w:rFonts w:cs="Arial"/>
          <w:bCs/>
          <w:color w:val="000000"/>
        </w:rPr>
        <w:t xml:space="preserve"> model may underestimate PPA and efficiency of pooled testing if samples in each pool are not independent; placing samples with higher pre-test probability in the same pool would decrease the total number of positive pools while increasing the likelihood of detection. Indeed, this feature could be leveraged by pooling specimens from individuals in the same household or social distancing pod, such as coworkers on the same shift, or students sharing a classroom.</w:t>
      </w:r>
      <w:r w:rsidR="00D019D9">
        <w:rPr>
          <w:rFonts w:cs="Arial"/>
          <w:bCs/>
          <w:color w:val="000000"/>
        </w:rPr>
        <w:t xml:space="preserve"> These factors, among others, may </w:t>
      </w:r>
      <w:r w:rsidR="00DF4098">
        <w:rPr>
          <w:rFonts w:cs="Arial"/>
          <w:bCs/>
          <w:color w:val="000000"/>
        </w:rPr>
        <w:t xml:space="preserve">be </w:t>
      </w:r>
      <w:r w:rsidR="00D019D9">
        <w:rPr>
          <w:rFonts w:cs="Arial"/>
          <w:bCs/>
          <w:color w:val="000000"/>
        </w:rPr>
        <w:t>the reason</w:t>
      </w:r>
      <w:r w:rsidR="00DF4098">
        <w:rPr>
          <w:rFonts w:cs="Arial"/>
          <w:bCs/>
          <w:color w:val="000000"/>
        </w:rPr>
        <w:t>s</w:t>
      </w:r>
      <w:r w:rsidR="00D019D9">
        <w:rPr>
          <w:rFonts w:cs="Arial"/>
          <w:bCs/>
          <w:color w:val="000000"/>
        </w:rPr>
        <w:t xml:space="preserve"> for which the probabilistic sensitivity analysis confidence intervals </w:t>
      </w:r>
      <w:r w:rsidR="00F82FAE">
        <w:rPr>
          <w:rFonts w:cs="Arial"/>
          <w:bCs/>
          <w:color w:val="000000"/>
        </w:rPr>
        <w:t>often did not contain the empiric point estimate in our validation data. These unaccounted-for factors</w:t>
      </w:r>
      <w:r>
        <w:rPr>
          <w:rFonts w:cs="Arial"/>
          <w:bCs/>
          <w:color w:val="000000"/>
        </w:rPr>
        <w:t xml:space="preserve"> may limit the ability of the model to provide a reliable point estimate.</w:t>
      </w:r>
    </w:p>
    <w:p w14:paraId="1E8180BF" w14:textId="5ADB4F16" w:rsidR="002E6991" w:rsidRPr="006F1059" w:rsidRDefault="00130DEA" w:rsidP="00814D6B">
      <w:pPr>
        <w:spacing w:line="480" w:lineRule="auto"/>
        <w:ind w:firstLine="720"/>
        <w:rPr>
          <w:color w:val="000000"/>
        </w:rPr>
      </w:pPr>
      <w:r>
        <w:rPr>
          <w:color w:val="000000"/>
        </w:rPr>
        <w:lastRenderedPageBreak/>
        <w:t>The strengths of this study include its relative</w:t>
      </w:r>
      <w:r w:rsidR="003772D8">
        <w:rPr>
          <w:color w:val="000000"/>
        </w:rPr>
        <w:t>ly</w:t>
      </w:r>
      <w:r>
        <w:rPr>
          <w:color w:val="000000"/>
        </w:rPr>
        <w:t xml:space="preserve"> large sample size, prospective rather than experimental construction of pools</w:t>
      </w:r>
      <w:r w:rsidR="004D73D5">
        <w:rPr>
          <w:color w:val="000000"/>
        </w:rPr>
        <w:t>, and assessment of two different pool sizes</w:t>
      </w:r>
      <w:r>
        <w:rPr>
          <w:color w:val="000000"/>
        </w:rPr>
        <w:t xml:space="preserve">. </w:t>
      </w:r>
      <w:r w:rsidR="008F74BA" w:rsidRPr="006F1059">
        <w:rPr>
          <w:color w:val="000000"/>
        </w:rPr>
        <w:t xml:space="preserve">It also </w:t>
      </w:r>
      <w:r>
        <w:rPr>
          <w:color w:val="000000"/>
        </w:rPr>
        <w:t>compared</w:t>
      </w:r>
      <w:r w:rsidRPr="006F1059">
        <w:rPr>
          <w:color w:val="000000"/>
        </w:rPr>
        <w:t xml:space="preserve"> </w:t>
      </w:r>
      <w:r w:rsidR="008F74BA" w:rsidRPr="006F1059">
        <w:rPr>
          <w:color w:val="000000"/>
        </w:rPr>
        <w:t xml:space="preserve">three different SARS-CoV-2 assays, two of which are commercially available on highly automated platforms suitable for large-scale testing. </w:t>
      </w:r>
      <w:r w:rsidR="009B50B1" w:rsidRPr="006F1059">
        <w:rPr>
          <w:color w:val="000000"/>
        </w:rPr>
        <w:t xml:space="preserve">The study is limited by its assessment of only a </w:t>
      </w:r>
      <w:r w:rsidR="002E6991">
        <w:rPr>
          <w:color w:val="000000"/>
        </w:rPr>
        <w:t>two-stage pooling strategy. An additional limitation</w:t>
      </w:r>
      <w:r w:rsidR="009B50B1" w:rsidRPr="006F1059">
        <w:rPr>
          <w:color w:val="000000"/>
        </w:rPr>
        <w:t xml:space="preserve"> </w:t>
      </w:r>
      <w:r w:rsidR="008F1F13" w:rsidRPr="006F1059">
        <w:rPr>
          <w:color w:val="000000"/>
        </w:rPr>
        <w:t>include</w:t>
      </w:r>
      <w:r w:rsidR="002E6991">
        <w:rPr>
          <w:color w:val="000000"/>
        </w:rPr>
        <w:t>s</w:t>
      </w:r>
      <w:r w:rsidR="008F1F13" w:rsidRPr="006F1059">
        <w:rPr>
          <w:color w:val="000000"/>
        </w:rPr>
        <w:t xml:space="preserve"> selection bias, as the proportion of positive tests in the study specimens was higher</w:t>
      </w:r>
      <w:r w:rsidR="00DC4CA7">
        <w:rPr>
          <w:color w:val="000000"/>
        </w:rPr>
        <w:t xml:space="preserve"> due to the inclusion of </w:t>
      </w:r>
      <w:r w:rsidR="00692F9A">
        <w:rPr>
          <w:color w:val="000000"/>
        </w:rPr>
        <w:t xml:space="preserve">follow-up </w:t>
      </w:r>
      <w:r w:rsidR="00DC4CA7">
        <w:rPr>
          <w:color w:val="000000"/>
        </w:rPr>
        <w:t xml:space="preserve">samples from </w:t>
      </w:r>
      <w:r w:rsidR="004D73D5">
        <w:rPr>
          <w:color w:val="000000"/>
        </w:rPr>
        <w:t xml:space="preserve">known COVID-19 </w:t>
      </w:r>
      <w:r w:rsidR="00DC4CA7">
        <w:rPr>
          <w:color w:val="000000"/>
        </w:rPr>
        <w:t xml:space="preserve">patients enrolled in clinical research studies. </w:t>
      </w:r>
      <w:r w:rsidR="00A962B8">
        <w:rPr>
          <w:color w:val="000000"/>
        </w:rPr>
        <w:t>Finally, t</w:t>
      </w:r>
      <w:r w:rsidR="00A962B8" w:rsidRPr="006F1059">
        <w:rPr>
          <w:color w:val="000000"/>
        </w:rPr>
        <w:t>est performance may also vary depending on specimen collection medium</w:t>
      </w:r>
      <w:r w:rsidR="00A962B8">
        <w:rPr>
          <w:color w:val="000000"/>
        </w:rPr>
        <w:t xml:space="preserve">, which we did not assess in this study </w:t>
      </w:r>
      <w:r w:rsidR="00A962B8">
        <w:rPr>
          <w:color w:val="000000"/>
        </w:rPr>
        <w:fldChar w:fldCharType="begin" w:fldLock="1"/>
      </w:r>
      <w:r w:rsidR="005927E8">
        <w:rPr>
          <w:color w:val="000000"/>
        </w:rPr>
        <w:instrText>ADDIN CSL_CITATION {"citationItems":[{"id":"ITEM-1","itemData":{"DOI":"10.1101/2020.05.26.118133","abstract":"Accommodating large increases in sample workloads has presented one of the biggest challenges to clinical laboratories during the COVID-19 pandemic. Despite the implementation of new automated detection systems, and previous efficiencies such as barcoding, electronic data transfer and extensive robotics, throughput capacities have struggled to meet the demand. Sample pooling has been suggested as an additional strategy to further address this need. The greatest concern with this approach in a clinical setting is the potential for reduced sensitivity, particularly the risk of false negative results when weak positive samples are pooled. To investigate this possibility, detection rates in pooled samples were evaluated, with extensive assessment of pools containing weak positive specimens. Additionally, the frequency of occurrence of weak positive samples across ten weeks of the pandemic were reviewed. Weak positive specimens were detected in all five-sample pools but failed to be detected in four of the 24 nine-sample pools tested. Weak positive samples comprised an average 16.5% of the positive specimens tested during the pandemic thus far, slightly increasing in frequency during later weeks. Other aspects of the testing process should be considered, however, such as accessioning and reporting, which are not streamlined and may be complicated by pooling procedures. Therefore, the impact on the entire laboratory process needs to be carefully assessed prior to implementing such a strategy.","author":[{"dropping-particle":"","family":"Griesemer","given":"Sara B","non-dropping-particle":"","parse-names":false,"suffix":""},{"dropping-particle":"Van","family":"Slyke","given":"Greta","non-dropping-particle":"","parse-names":false,"suffix":""},{"dropping-particle":"St.","family":"George","given":"Kirsten","non-dropping-particle":"","parse-names":false,"suffix":""}],"container-title":"bioRxiv.. 2020 Jul 12 [date cited].. Epub 2020 May 26.","id":"ITEM-1","issued":{"date-parts":[["0"]]},"title":"Assessment of sample pooling for clinical SARS-CoV-2 testing","type":"article-journal"},"uris":["http://www.mendeley.com/documents/?uuid=65b4ae67-6ed7-4db5-b7fa-5b39b7cb8c50"]}],"mendeley":{"formattedCitation":"(&lt;i&gt;10&lt;/i&gt;)","plainTextFormattedCitation":"(10)","previouslyFormattedCitation":"(&lt;i&gt;10&lt;/i&gt;)"},"properties":{"noteIndex":0},"schema":"https://github.com/citation-style-language/schema/raw/master/csl-citation.json"}</w:instrText>
      </w:r>
      <w:r w:rsidR="00A962B8">
        <w:rPr>
          <w:color w:val="000000"/>
        </w:rPr>
        <w:fldChar w:fldCharType="separate"/>
      </w:r>
      <w:r w:rsidR="007C46D3" w:rsidRPr="007C46D3">
        <w:rPr>
          <w:noProof/>
          <w:color w:val="000000"/>
        </w:rPr>
        <w:t>(</w:t>
      </w:r>
      <w:r w:rsidR="007C46D3" w:rsidRPr="007C46D3">
        <w:rPr>
          <w:i/>
          <w:noProof/>
          <w:color w:val="000000"/>
        </w:rPr>
        <w:t>10</w:t>
      </w:r>
      <w:r w:rsidR="007C46D3" w:rsidRPr="007C46D3">
        <w:rPr>
          <w:noProof/>
          <w:color w:val="000000"/>
        </w:rPr>
        <w:t>)</w:t>
      </w:r>
      <w:r w:rsidR="00A962B8">
        <w:rPr>
          <w:color w:val="000000"/>
        </w:rPr>
        <w:fldChar w:fldCharType="end"/>
      </w:r>
      <w:r w:rsidR="00A962B8">
        <w:rPr>
          <w:color w:val="000000"/>
        </w:rPr>
        <w:t>.</w:t>
      </w:r>
    </w:p>
    <w:p w14:paraId="7F04C867" w14:textId="58748B5F" w:rsidR="008F1F13" w:rsidRDefault="008F1F13" w:rsidP="00575410">
      <w:pPr>
        <w:spacing w:line="480" w:lineRule="auto"/>
        <w:ind w:firstLine="720"/>
        <w:rPr>
          <w:color w:val="000000"/>
        </w:rPr>
      </w:pPr>
      <w:r w:rsidRPr="006F1059">
        <w:rPr>
          <w:color w:val="000000"/>
        </w:rPr>
        <w:t xml:space="preserve">In conclusion, a two-stage pooled testing strategy for detection of SARS-CoV-2 by nucleic acid amplification is feasible and has the potential to significantly increase testing capacity. However, </w:t>
      </w:r>
      <w:r w:rsidR="00D67350" w:rsidRPr="006F1059">
        <w:rPr>
          <w:color w:val="000000"/>
        </w:rPr>
        <w:t xml:space="preserve">increased pool size and efficiency </w:t>
      </w:r>
      <w:r w:rsidR="00FB1A5D">
        <w:rPr>
          <w:color w:val="000000"/>
        </w:rPr>
        <w:t>can compromise</w:t>
      </w:r>
      <w:r w:rsidR="00D67350" w:rsidRPr="006F1059">
        <w:rPr>
          <w:color w:val="000000"/>
        </w:rPr>
        <w:t xml:space="preserve"> </w:t>
      </w:r>
      <w:r w:rsidR="007E21FD">
        <w:rPr>
          <w:color w:val="000000"/>
        </w:rPr>
        <w:t xml:space="preserve">positive percent agreement. </w:t>
      </w:r>
      <w:r w:rsidR="00AF5EB1">
        <w:rPr>
          <w:color w:val="000000"/>
        </w:rPr>
        <w:t>More studies examining early viral load kinetics</w:t>
      </w:r>
      <w:r w:rsidR="00E60F93">
        <w:rPr>
          <w:color w:val="000000"/>
        </w:rPr>
        <w:t xml:space="preserve"> and infectiousness</w:t>
      </w:r>
      <w:r w:rsidR="00AF5EB1">
        <w:rPr>
          <w:color w:val="000000"/>
        </w:rPr>
        <w:t xml:space="preserve"> are needed to fully evaluate the risks versus benefits of pooled testing. </w:t>
      </w:r>
      <w:r w:rsidR="00D67350" w:rsidRPr="00F929FF">
        <w:rPr>
          <w:color w:val="000000"/>
          <w:highlight w:val="yellow"/>
        </w:rPr>
        <w:t>We provide a model to predict optimal pool size</w:t>
      </w:r>
      <w:r w:rsidR="002E6991" w:rsidRPr="00F929FF">
        <w:rPr>
          <w:color w:val="000000"/>
          <w:highlight w:val="yellow"/>
        </w:rPr>
        <w:t xml:space="preserve"> and associated expected </w:t>
      </w:r>
      <w:r w:rsidR="00404106" w:rsidRPr="00F929FF">
        <w:rPr>
          <w:color w:val="000000"/>
          <w:highlight w:val="yellow"/>
        </w:rPr>
        <w:t>positive percent</w:t>
      </w:r>
      <w:r w:rsidR="002E6991" w:rsidRPr="00F929FF">
        <w:rPr>
          <w:color w:val="000000"/>
          <w:highlight w:val="yellow"/>
        </w:rPr>
        <w:t xml:space="preserve"> agreement</w:t>
      </w:r>
      <w:r w:rsidR="00D67350" w:rsidRPr="00F929FF">
        <w:rPr>
          <w:color w:val="000000"/>
          <w:highlight w:val="yellow"/>
        </w:rPr>
        <w:t xml:space="preserve"> based on </w:t>
      </w:r>
      <w:r w:rsidR="002E6991" w:rsidRPr="00F929FF">
        <w:rPr>
          <w:color w:val="000000"/>
          <w:highlight w:val="yellow"/>
        </w:rPr>
        <w:t xml:space="preserve">limit of detection, </w:t>
      </w:r>
      <w:r w:rsidR="002E6991" w:rsidRPr="00F929FF">
        <w:rPr>
          <w:rFonts w:cs="Arial"/>
          <w:bCs/>
          <w:color w:val="000000"/>
          <w:highlight w:val="yellow"/>
        </w:rPr>
        <w:t>C</w:t>
      </w:r>
      <w:r w:rsidR="002E6991" w:rsidRPr="00F929FF">
        <w:rPr>
          <w:rFonts w:cs="Arial"/>
          <w:bCs/>
          <w:color w:val="000000"/>
          <w:highlight w:val="yellow"/>
          <w:vertAlign w:val="subscript"/>
        </w:rPr>
        <w:t>t</w:t>
      </w:r>
      <w:r w:rsidR="002E6991" w:rsidRPr="00F929FF">
        <w:rPr>
          <w:rFonts w:cs="Arial"/>
          <w:bCs/>
          <w:color w:val="000000"/>
          <w:highlight w:val="yellow"/>
        </w:rPr>
        <w:t xml:space="preserve"> value</w:t>
      </w:r>
      <w:r w:rsidR="002E6991" w:rsidRPr="00F929FF">
        <w:rPr>
          <w:bCs/>
          <w:color w:val="000000"/>
          <w:highlight w:val="yellow"/>
        </w:rPr>
        <w:t xml:space="preserve"> </w:t>
      </w:r>
      <w:r w:rsidR="002E6991" w:rsidRPr="00F929FF">
        <w:rPr>
          <w:color w:val="000000"/>
          <w:highlight w:val="yellow"/>
        </w:rPr>
        <w:t>distribution, a</w:t>
      </w:r>
      <w:r w:rsidR="0020275E" w:rsidRPr="00F929FF">
        <w:rPr>
          <w:color w:val="000000"/>
          <w:highlight w:val="yellow"/>
        </w:rPr>
        <w:t xml:space="preserve">nd proportion of positive tests. If this model can be externally validated, </w:t>
      </w:r>
      <w:r w:rsidR="00352C32" w:rsidRPr="00F929FF">
        <w:rPr>
          <w:color w:val="000000"/>
          <w:highlight w:val="yellow"/>
        </w:rPr>
        <w:t xml:space="preserve">it may be </w:t>
      </w:r>
      <w:r w:rsidR="0020275E" w:rsidRPr="00F929FF">
        <w:rPr>
          <w:color w:val="000000"/>
          <w:highlight w:val="yellow"/>
        </w:rPr>
        <w:t xml:space="preserve">useful in guiding </w:t>
      </w:r>
      <w:r w:rsidR="00072B16" w:rsidRPr="00F929FF">
        <w:rPr>
          <w:color w:val="000000"/>
          <w:highlight w:val="yellow"/>
        </w:rPr>
        <w:t xml:space="preserve">SARS-CoV-2 pooled </w:t>
      </w:r>
      <w:r w:rsidR="00D67350" w:rsidRPr="00F929FF">
        <w:rPr>
          <w:color w:val="000000"/>
          <w:highlight w:val="yellow"/>
        </w:rPr>
        <w:t xml:space="preserve">testing </w:t>
      </w:r>
      <w:r w:rsidR="005A626B" w:rsidRPr="00F929FF">
        <w:rPr>
          <w:color w:val="000000"/>
          <w:highlight w:val="yellow"/>
        </w:rPr>
        <w:t>in other laboratories, and as part of an adaptive risk-based strategy</w:t>
      </w:r>
      <w:r w:rsidR="00D67350" w:rsidRPr="006F1059">
        <w:rPr>
          <w:color w:val="000000"/>
        </w:rPr>
        <w:t>.</w:t>
      </w:r>
    </w:p>
    <w:p w14:paraId="6929B0C9" w14:textId="77777777" w:rsidR="00FB1A5D" w:rsidRPr="00687C15" w:rsidRDefault="00FB1A5D" w:rsidP="00F079F2">
      <w:pPr>
        <w:spacing w:line="480" w:lineRule="auto"/>
        <w:rPr>
          <w:color w:val="000000"/>
        </w:rPr>
      </w:pPr>
    </w:p>
    <w:p w14:paraId="296FDB47" w14:textId="78CBACF8" w:rsidR="001A4045" w:rsidRDefault="001A4045" w:rsidP="00814D6B">
      <w:pPr>
        <w:spacing w:line="480" w:lineRule="auto"/>
        <w:rPr>
          <w:b/>
        </w:rPr>
      </w:pPr>
      <w:r w:rsidRPr="006F1059">
        <w:rPr>
          <w:b/>
        </w:rPr>
        <w:t>Acknowledgements</w:t>
      </w:r>
    </w:p>
    <w:p w14:paraId="084518F2" w14:textId="77777777" w:rsidR="002E7D13" w:rsidRPr="007D65D8" w:rsidRDefault="00C2108F" w:rsidP="002E7D13">
      <w:pPr>
        <w:spacing w:line="480" w:lineRule="auto"/>
      </w:pPr>
      <w:r>
        <w:t xml:space="preserve">We </w:t>
      </w:r>
      <w:r w:rsidR="00C71AAF">
        <w:t xml:space="preserve">sincerely </w:t>
      </w:r>
      <w:r>
        <w:t xml:space="preserve">thank the </w:t>
      </w:r>
      <w:r w:rsidR="00C71AAF">
        <w:t>Stanford Clinical Virology Laboratory</w:t>
      </w:r>
      <w:r w:rsidR="00F079F2">
        <w:t xml:space="preserve"> staff for their dedication and commitment to patient care </w:t>
      </w:r>
      <w:r w:rsidR="00C71AAF">
        <w:t xml:space="preserve">in the face of unprecedented </w:t>
      </w:r>
      <w:r w:rsidR="00F079F2">
        <w:t>challenges presented by the COVID-19 pandemic.</w:t>
      </w:r>
      <w:r w:rsidR="002E7D13">
        <w:t xml:space="preserve"> We also thank Hologic, Inc. for graciously providing </w:t>
      </w:r>
      <w:r w:rsidR="002E7D13" w:rsidRPr="00F82FAE">
        <w:rPr>
          <w:iCs/>
        </w:rPr>
        <w:t>in silico</w:t>
      </w:r>
      <w:r w:rsidR="002E7D13">
        <w:t xml:space="preserve"> data from their pooling evaluations.</w:t>
      </w:r>
    </w:p>
    <w:p w14:paraId="552DCDE1" w14:textId="77777777" w:rsidR="00A76304" w:rsidRDefault="00A76304" w:rsidP="00814D6B">
      <w:pPr>
        <w:spacing w:line="480" w:lineRule="auto"/>
      </w:pPr>
    </w:p>
    <w:p w14:paraId="71553532" w14:textId="6E6EFD98" w:rsidR="00A76304" w:rsidRDefault="00331F61" w:rsidP="00331F61">
      <w:pPr>
        <w:spacing w:line="480" w:lineRule="auto"/>
        <w:outlineLvl w:val="0"/>
        <w:rPr>
          <w:b/>
        </w:rPr>
      </w:pPr>
      <w:r>
        <w:rPr>
          <w:b/>
        </w:rPr>
        <w:t>Disclosures</w:t>
      </w:r>
    </w:p>
    <w:p w14:paraId="59E37BB6" w14:textId="09A30617" w:rsidR="00A76304" w:rsidRDefault="00BB09E9" w:rsidP="00A76304">
      <w:pPr>
        <w:spacing w:line="480" w:lineRule="auto"/>
        <w:outlineLvl w:val="0"/>
        <w:rPr>
          <w:bCs/>
        </w:rPr>
      </w:pPr>
      <w:r>
        <w:rPr>
          <w:bCs/>
        </w:rPr>
        <w:t>B.H. is an employee of Google LLC.</w:t>
      </w:r>
    </w:p>
    <w:p w14:paraId="4E2D44B2" w14:textId="77777777" w:rsidR="00A76304" w:rsidRPr="00A76304" w:rsidRDefault="00A76304" w:rsidP="00A76304">
      <w:pPr>
        <w:spacing w:line="480" w:lineRule="auto"/>
        <w:outlineLvl w:val="0"/>
        <w:rPr>
          <w:rFonts w:ascii="Calibri" w:hAnsi="Calibri" w:cs="Calibri"/>
          <w:color w:val="000000"/>
        </w:rPr>
      </w:pPr>
    </w:p>
    <w:p w14:paraId="4E1234C7" w14:textId="77777777" w:rsidR="00331F61" w:rsidRDefault="00331F61" w:rsidP="00331F61">
      <w:pPr>
        <w:spacing w:line="480" w:lineRule="auto"/>
      </w:pPr>
      <w:r>
        <w:rPr>
          <w:b/>
        </w:rPr>
        <w:t>Financial Support</w:t>
      </w:r>
    </w:p>
    <w:p w14:paraId="6579E246" w14:textId="7D2215EF" w:rsidR="00A76304" w:rsidRDefault="7970C872" w:rsidP="00331F61">
      <w:pPr>
        <w:spacing w:line="480" w:lineRule="auto"/>
        <w:outlineLvl w:val="0"/>
      </w:pPr>
      <w:r>
        <w:t>Work done by B.H. in personal time. The views expressed in this article are those of the authors and do not necessarily reflect the official policy or position of Google LLC. N.S.-A. is funded by a Stanford Graduate Fellowship.</w:t>
      </w:r>
    </w:p>
    <w:p w14:paraId="173E9DE9" w14:textId="77777777" w:rsidR="00A76304" w:rsidRPr="00331F61" w:rsidRDefault="00A76304" w:rsidP="00331F61">
      <w:pPr>
        <w:spacing w:line="480" w:lineRule="auto"/>
        <w:outlineLvl w:val="0"/>
        <w:rPr>
          <w:b/>
        </w:rPr>
      </w:pPr>
    </w:p>
    <w:p w14:paraId="75629484" w14:textId="063ED9C5" w:rsidR="001A4045" w:rsidRDefault="001A4045" w:rsidP="00814D6B">
      <w:pPr>
        <w:spacing w:line="480" w:lineRule="auto"/>
        <w:rPr>
          <w:b/>
        </w:rPr>
      </w:pPr>
      <w:r w:rsidRPr="006F1059">
        <w:rPr>
          <w:b/>
        </w:rPr>
        <w:t>Author Bio</w:t>
      </w:r>
    </w:p>
    <w:p w14:paraId="4B65270A" w14:textId="5572702C" w:rsidR="00BB09E9" w:rsidRPr="00A76304" w:rsidRDefault="00F079F2" w:rsidP="003C24DC">
      <w:pPr>
        <w:spacing w:line="480" w:lineRule="auto"/>
      </w:pPr>
      <w:r>
        <w:t xml:space="preserve">Dr. Hannah Wang is a resident physician at Stanford Hospital in the Department of Anatomic and Clinical Pathology. Her clinical </w:t>
      </w:r>
      <w:r w:rsidR="003C24DC">
        <w:t>and research interests focus on infectious disease molecular diagnostics</w:t>
      </w:r>
      <w:r w:rsidR="00130DEA">
        <w:t xml:space="preserve"> and the </w:t>
      </w:r>
      <w:r w:rsidR="00BB09E9">
        <w:t>application</w:t>
      </w:r>
      <w:r w:rsidR="00130DEA">
        <w:t xml:space="preserve"> of machine-learning algorithms </w:t>
      </w:r>
      <w:r w:rsidR="00BB09E9">
        <w:t>and other computational methods to effectively leverage those diagnostics for patient care</w:t>
      </w:r>
      <w:r w:rsidR="003C24DC">
        <w:t xml:space="preserve">. </w:t>
      </w:r>
      <w:r w:rsidR="003C24DC">
        <w:rPr>
          <w:b/>
        </w:rPr>
        <w:br w:type="page"/>
      </w:r>
    </w:p>
    <w:p w14:paraId="452E5AFC" w14:textId="6E0EED4D" w:rsidR="001A4045" w:rsidRDefault="001A4045" w:rsidP="00814D6B">
      <w:pPr>
        <w:spacing w:line="480" w:lineRule="auto"/>
        <w:rPr>
          <w:b/>
        </w:rPr>
      </w:pPr>
      <w:r w:rsidRPr="006F1059">
        <w:rPr>
          <w:b/>
        </w:rPr>
        <w:lastRenderedPageBreak/>
        <w:t>References</w:t>
      </w:r>
    </w:p>
    <w:p w14:paraId="03747276" w14:textId="33AA343E" w:rsidR="00597F3E" w:rsidRPr="00597F3E" w:rsidRDefault="006F1059" w:rsidP="00597F3E">
      <w:pPr>
        <w:widowControl w:val="0"/>
        <w:autoSpaceDE w:val="0"/>
        <w:autoSpaceDN w:val="0"/>
        <w:adjustRightInd w:val="0"/>
        <w:spacing w:line="480" w:lineRule="auto"/>
        <w:ind w:left="640" w:hanging="640"/>
        <w:rPr>
          <w:noProof/>
        </w:rPr>
      </w:pPr>
      <w:r>
        <w:rPr>
          <w:b/>
        </w:rPr>
        <w:fldChar w:fldCharType="begin" w:fldLock="1"/>
      </w:r>
      <w:r>
        <w:rPr>
          <w:b/>
        </w:rPr>
        <w:instrText xml:space="preserve">ADDIN Mendeley Bibliography CSL_BIBLIOGRAPHY </w:instrText>
      </w:r>
      <w:r>
        <w:rPr>
          <w:b/>
        </w:rPr>
        <w:fldChar w:fldCharType="separate"/>
      </w:r>
      <w:r w:rsidR="00597F3E" w:rsidRPr="00597F3E">
        <w:rPr>
          <w:noProof/>
        </w:rPr>
        <w:t xml:space="preserve">1. </w:t>
      </w:r>
      <w:r w:rsidR="00597F3E" w:rsidRPr="00597F3E">
        <w:rPr>
          <w:noProof/>
        </w:rPr>
        <w:tab/>
        <w:t xml:space="preserve">Hogan C, Sahoo M, Pinsky B. Sample Pooling as a Strategy to Detect Community Transmission of SARS-CoV-2. JAMA. 2020;323(19):1967–9. </w:t>
      </w:r>
    </w:p>
    <w:p w14:paraId="2557D855" w14:textId="77777777" w:rsidR="00597F3E" w:rsidRPr="00597F3E" w:rsidRDefault="00597F3E" w:rsidP="00597F3E">
      <w:pPr>
        <w:widowControl w:val="0"/>
        <w:autoSpaceDE w:val="0"/>
        <w:autoSpaceDN w:val="0"/>
        <w:adjustRightInd w:val="0"/>
        <w:spacing w:line="480" w:lineRule="auto"/>
        <w:ind w:left="640" w:hanging="640"/>
        <w:rPr>
          <w:noProof/>
        </w:rPr>
      </w:pPr>
      <w:r w:rsidRPr="00597F3E">
        <w:rPr>
          <w:noProof/>
        </w:rPr>
        <w:t xml:space="preserve">2. </w:t>
      </w:r>
      <w:r w:rsidRPr="00597F3E">
        <w:rPr>
          <w:noProof/>
        </w:rPr>
        <w:tab/>
        <w:t xml:space="preserve">Wacharapluesadee S, Kaewpom T, Ampoot W, Ghai S, Khamhang W, Worachotsueptrakun K, et al. Evaluating the efficiency of specimen pooling for PCR-based detection of COVID-19. J Med Virol 2020 Jul 1 [date cited]. Epub 2020 May 13. </w:t>
      </w:r>
    </w:p>
    <w:p w14:paraId="361308F3" w14:textId="77777777" w:rsidR="00597F3E" w:rsidRPr="00597F3E" w:rsidRDefault="00597F3E" w:rsidP="00597F3E">
      <w:pPr>
        <w:widowControl w:val="0"/>
        <w:autoSpaceDE w:val="0"/>
        <w:autoSpaceDN w:val="0"/>
        <w:adjustRightInd w:val="0"/>
        <w:spacing w:line="480" w:lineRule="auto"/>
        <w:ind w:left="640" w:hanging="640"/>
        <w:rPr>
          <w:noProof/>
        </w:rPr>
      </w:pPr>
      <w:r w:rsidRPr="00597F3E">
        <w:rPr>
          <w:noProof/>
        </w:rPr>
        <w:t xml:space="preserve">3. </w:t>
      </w:r>
      <w:r w:rsidRPr="00597F3E">
        <w:rPr>
          <w:noProof/>
        </w:rPr>
        <w:tab/>
        <w:t xml:space="preserve">Yelin I, Aharony N, Tamar ES, Argoetti A, Messer E, Berenbaum D, et al. Evaluation of COVID-19 RT-qPCR test in multi-sample pools. Clin Infect Dis. 2020 Jul 10 [date cited]. Epub 2020 May 2. </w:t>
      </w:r>
    </w:p>
    <w:p w14:paraId="134B247A" w14:textId="77777777" w:rsidR="00597F3E" w:rsidRPr="00597F3E" w:rsidRDefault="00597F3E" w:rsidP="00597F3E">
      <w:pPr>
        <w:widowControl w:val="0"/>
        <w:autoSpaceDE w:val="0"/>
        <w:autoSpaceDN w:val="0"/>
        <w:adjustRightInd w:val="0"/>
        <w:spacing w:line="480" w:lineRule="auto"/>
        <w:ind w:left="640" w:hanging="640"/>
        <w:rPr>
          <w:noProof/>
        </w:rPr>
      </w:pPr>
      <w:r w:rsidRPr="00597F3E">
        <w:rPr>
          <w:noProof/>
        </w:rPr>
        <w:t xml:space="preserve">4. </w:t>
      </w:r>
      <w:r w:rsidRPr="00597F3E">
        <w:rPr>
          <w:noProof/>
        </w:rPr>
        <w:tab/>
        <w:t xml:space="preserve">Abdalhamid B, Bilder CR, McCutchen EL, Hinrichs SH, Koepsell SA, Iwen PC. Assessment of Specimen Pooling to Conserve SARS CoV-2 Testing Resources. Am J Clin Pathol. 2020;153(6):715–8. </w:t>
      </w:r>
    </w:p>
    <w:p w14:paraId="44C319C3" w14:textId="77777777" w:rsidR="00597F3E" w:rsidRPr="00597F3E" w:rsidRDefault="00597F3E" w:rsidP="00597F3E">
      <w:pPr>
        <w:widowControl w:val="0"/>
        <w:autoSpaceDE w:val="0"/>
        <w:autoSpaceDN w:val="0"/>
        <w:adjustRightInd w:val="0"/>
        <w:spacing w:line="480" w:lineRule="auto"/>
        <w:ind w:left="640" w:hanging="640"/>
        <w:rPr>
          <w:noProof/>
        </w:rPr>
      </w:pPr>
      <w:r w:rsidRPr="00597F3E">
        <w:rPr>
          <w:noProof/>
        </w:rPr>
        <w:t xml:space="preserve">5. </w:t>
      </w:r>
      <w:r w:rsidRPr="00597F3E">
        <w:rPr>
          <w:noProof/>
        </w:rPr>
        <w:tab/>
        <w:t xml:space="preserve">Ben-Ami R, Klochendler A, Seidel M, Sido T, Gurel-Gurevich O, Yassour M, et al. Large-scale implementation of pooled RNA extraction and RT-PCR for SARS-CoV-2 detection. Clin Microbiol Infect. 2020 Jul 13 [date cited]. Epub 2020 Jun 8. </w:t>
      </w:r>
    </w:p>
    <w:p w14:paraId="0BC02596" w14:textId="77777777" w:rsidR="00597F3E" w:rsidRPr="00597F3E" w:rsidRDefault="00597F3E" w:rsidP="00597F3E">
      <w:pPr>
        <w:widowControl w:val="0"/>
        <w:autoSpaceDE w:val="0"/>
        <w:autoSpaceDN w:val="0"/>
        <w:adjustRightInd w:val="0"/>
        <w:spacing w:line="480" w:lineRule="auto"/>
        <w:ind w:left="640" w:hanging="640"/>
        <w:rPr>
          <w:noProof/>
        </w:rPr>
      </w:pPr>
      <w:r w:rsidRPr="00597F3E">
        <w:rPr>
          <w:noProof/>
        </w:rPr>
        <w:t xml:space="preserve">6. </w:t>
      </w:r>
      <w:r w:rsidRPr="00597F3E">
        <w:rPr>
          <w:noProof/>
        </w:rPr>
        <w:tab/>
        <w:t xml:space="preserve">Eberhardt JN, Breuckmann NP, Eberhardt CS. Multi-Stage Group Testing Improves Efficiency of Large-Scale COVID-19 Screening. J Clin Virol. 2020;128(104382). </w:t>
      </w:r>
    </w:p>
    <w:p w14:paraId="656E9380" w14:textId="77777777" w:rsidR="00597F3E" w:rsidRPr="00597F3E" w:rsidRDefault="00597F3E" w:rsidP="00597F3E">
      <w:pPr>
        <w:widowControl w:val="0"/>
        <w:autoSpaceDE w:val="0"/>
        <w:autoSpaceDN w:val="0"/>
        <w:adjustRightInd w:val="0"/>
        <w:spacing w:line="480" w:lineRule="auto"/>
        <w:ind w:left="640" w:hanging="640"/>
        <w:rPr>
          <w:noProof/>
        </w:rPr>
      </w:pPr>
      <w:r w:rsidRPr="00597F3E">
        <w:rPr>
          <w:noProof/>
        </w:rPr>
        <w:t xml:space="preserve">7. </w:t>
      </w:r>
      <w:r w:rsidRPr="00597F3E">
        <w:rPr>
          <w:noProof/>
        </w:rPr>
        <w:tab/>
        <w:t xml:space="preserve">Lohse S, Pfuhl T, Berkó-Göttel B, Rissland J, Geibler T, Gärtner B, et al. Pooling of samples for testing for SARS-CoV-2 in asymptomatic people. Lancet Infect Dis. 2020;3099(20):2019–20. </w:t>
      </w:r>
    </w:p>
    <w:p w14:paraId="5E1D958D" w14:textId="77777777" w:rsidR="00597F3E" w:rsidRPr="00597F3E" w:rsidRDefault="00597F3E" w:rsidP="00597F3E">
      <w:pPr>
        <w:widowControl w:val="0"/>
        <w:autoSpaceDE w:val="0"/>
        <w:autoSpaceDN w:val="0"/>
        <w:adjustRightInd w:val="0"/>
        <w:spacing w:line="480" w:lineRule="auto"/>
        <w:ind w:left="640" w:hanging="640"/>
        <w:rPr>
          <w:noProof/>
        </w:rPr>
      </w:pPr>
      <w:r w:rsidRPr="00597F3E">
        <w:rPr>
          <w:noProof/>
        </w:rPr>
        <w:t xml:space="preserve">8. </w:t>
      </w:r>
      <w:r w:rsidRPr="00597F3E">
        <w:rPr>
          <w:noProof/>
        </w:rPr>
        <w:tab/>
        <w:t xml:space="preserve">Pilcher CD, Westreich D, Hudgens MG. Group Testing for SARS-CoV-2 to Enable Rapid Scale-Up of Testing and Real-Time Surveillance of Incidence. J Infect Dis. 2020 Jul 16 [date cited]. Epub 2020 Jun 27. </w:t>
      </w:r>
    </w:p>
    <w:p w14:paraId="2FFF2C53" w14:textId="77777777" w:rsidR="00597F3E" w:rsidRPr="00597F3E" w:rsidRDefault="00597F3E" w:rsidP="00597F3E">
      <w:pPr>
        <w:widowControl w:val="0"/>
        <w:autoSpaceDE w:val="0"/>
        <w:autoSpaceDN w:val="0"/>
        <w:adjustRightInd w:val="0"/>
        <w:spacing w:line="480" w:lineRule="auto"/>
        <w:ind w:left="640" w:hanging="640"/>
        <w:rPr>
          <w:noProof/>
        </w:rPr>
      </w:pPr>
      <w:r w:rsidRPr="00597F3E">
        <w:rPr>
          <w:noProof/>
        </w:rPr>
        <w:t xml:space="preserve">9. </w:t>
      </w:r>
      <w:r w:rsidRPr="00597F3E">
        <w:rPr>
          <w:noProof/>
        </w:rPr>
        <w:tab/>
        <w:t xml:space="preserve">Eis-Hübinger AM, Hönemann M, Wenzel JJ, Berger A, Widera M, Schmidt B, et al. Ad hoc laboratory-based surveillance of SARS-CoV-2 by real-time RT-PCR using minipools of RNA prepared from routine respiratory samples. J Clin Virol. 2020;127(April). </w:t>
      </w:r>
    </w:p>
    <w:p w14:paraId="6B54276B" w14:textId="77777777" w:rsidR="00597F3E" w:rsidRPr="00597F3E" w:rsidRDefault="00597F3E" w:rsidP="00597F3E">
      <w:pPr>
        <w:widowControl w:val="0"/>
        <w:autoSpaceDE w:val="0"/>
        <w:autoSpaceDN w:val="0"/>
        <w:adjustRightInd w:val="0"/>
        <w:spacing w:line="480" w:lineRule="auto"/>
        <w:ind w:left="640" w:hanging="640"/>
        <w:rPr>
          <w:noProof/>
        </w:rPr>
      </w:pPr>
      <w:r w:rsidRPr="00597F3E">
        <w:rPr>
          <w:noProof/>
        </w:rPr>
        <w:lastRenderedPageBreak/>
        <w:t xml:space="preserve">10. </w:t>
      </w:r>
      <w:r w:rsidRPr="00597F3E">
        <w:rPr>
          <w:noProof/>
        </w:rPr>
        <w:tab/>
        <w:t xml:space="preserve">Griesemer SB, Slyke G Van, George K St. Assessment of sample pooling for clinical SARS-CoV-2 testing. bioRxiv. 2020 Jul 12 [date cited]. Epub 2020 May 26. </w:t>
      </w:r>
    </w:p>
    <w:p w14:paraId="167927B7" w14:textId="77777777" w:rsidR="00597F3E" w:rsidRPr="00597F3E" w:rsidRDefault="00597F3E" w:rsidP="00597F3E">
      <w:pPr>
        <w:widowControl w:val="0"/>
        <w:autoSpaceDE w:val="0"/>
        <w:autoSpaceDN w:val="0"/>
        <w:adjustRightInd w:val="0"/>
        <w:spacing w:line="480" w:lineRule="auto"/>
        <w:ind w:left="640" w:hanging="640"/>
        <w:rPr>
          <w:noProof/>
        </w:rPr>
      </w:pPr>
      <w:r w:rsidRPr="00597F3E">
        <w:rPr>
          <w:noProof/>
        </w:rPr>
        <w:t xml:space="preserve">11. </w:t>
      </w:r>
      <w:r w:rsidRPr="00597F3E">
        <w:rPr>
          <w:noProof/>
        </w:rPr>
        <w:tab/>
        <w:t xml:space="preserve">Busch MP, Kleinman SH. Nucleic acid amplification testing of blood donors for transfusion-transmitted infectious diseases. 2000;40(February):143–59. </w:t>
      </w:r>
    </w:p>
    <w:p w14:paraId="40F54410" w14:textId="77777777" w:rsidR="00597F3E" w:rsidRPr="00597F3E" w:rsidRDefault="00597F3E" w:rsidP="00597F3E">
      <w:pPr>
        <w:widowControl w:val="0"/>
        <w:autoSpaceDE w:val="0"/>
        <w:autoSpaceDN w:val="0"/>
        <w:adjustRightInd w:val="0"/>
        <w:spacing w:line="480" w:lineRule="auto"/>
        <w:ind w:left="640" w:hanging="640"/>
        <w:rPr>
          <w:noProof/>
        </w:rPr>
      </w:pPr>
      <w:r w:rsidRPr="00597F3E">
        <w:rPr>
          <w:noProof/>
        </w:rPr>
        <w:t xml:space="preserve">12. </w:t>
      </w:r>
      <w:r w:rsidRPr="00597F3E">
        <w:rPr>
          <w:noProof/>
        </w:rPr>
        <w:tab/>
        <w:t xml:space="preserve">Custer B, Tomasulo PA, Murphy EL, Caglioti S, Harpool D, McEvoy P, et al. Triggers for switching from minipool testing by nucleic acid technology to individual-donation nucleic acid testing for West Nile virus: Analysis of 2003 data to inform 2004 decision making. Transfusion. 2004; </w:t>
      </w:r>
    </w:p>
    <w:p w14:paraId="1C40F694" w14:textId="77777777" w:rsidR="00597F3E" w:rsidRPr="00597F3E" w:rsidRDefault="00597F3E" w:rsidP="00597F3E">
      <w:pPr>
        <w:widowControl w:val="0"/>
        <w:autoSpaceDE w:val="0"/>
        <w:autoSpaceDN w:val="0"/>
        <w:adjustRightInd w:val="0"/>
        <w:spacing w:line="480" w:lineRule="auto"/>
        <w:ind w:left="640" w:hanging="640"/>
        <w:rPr>
          <w:noProof/>
        </w:rPr>
      </w:pPr>
      <w:r w:rsidRPr="00597F3E">
        <w:rPr>
          <w:noProof/>
        </w:rPr>
        <w:t xml:space="preserve">13. </w:t>
      </w:r>
      <w:r w:rsidRPr="00597F3E">
        <w:rPr>
          <w:noProof/>
        </w:rPr>
        <w:tab/>
        <w:t xml:space="preserve">Food and Drug Administration. Molecular Diagnostic Template for Laboratories. 2020 July 28 [cited 2020 Sep 18). https://www.fda.gov/media/135658/download. </w:t>
      </w:r>
    </w:p>
    <w:p w14:paraId="03403A4D" w14:textId="77777777" w:rsidR="00597F3E" w:rsidRPr="00597F3E" w:rsidRDefault="00597F3E" w:rsidP="00597F3E">
      <w:pPr>
        <w:widowControl w:val="0"/>
        <w:autoSpaceDE w:val="0"/>
        <w:autoSpaceDN w:val="0"/>
        <w:adjustRightInd w:val="0"/>
        <w:spacing w:line="480" w:lineRule="auto"/>
        <w:ind w:left="640" w:hanging="640"/>
        <w:rPr>
          <w:noProof/>
        </w:rPr>
      </w:pPr>
      <w:r w:rsidRPr="00597F3E">
        <w:rPr>
          <w:noProof/>
        </w:rPr>
        <w:t xml:space="preserve">14. </w:t>
      </w:r>
      <w:r w:rsidRPr="00597F3E">
        <w:rPr>
          <w:noProof/>
        </w:rPr>
        <w:tab/>
        <w:t xml:space="preserve">Food and Drug Administration. EUA Summary: SARS-CoV-2 RT-PCR Assay (Stanford Health Care Clinical Virology Laboratory). 2020 April 08 [cited 2020 Jul 11]. https://www.fda.gov/media/136818/download. </w:t>
      </w:r>
    </w:p>
    <w:p w14:paraId="520947BB" w14:textId="77777777" w:rsidR="00597F3E" w:rsidRPr="00597F3E" w:rsidRDefault="00597F3E" w:rsidP="00597F3E">
      <w:pPr>
        <w:widowControl w:val="0"/>
        <w:autoSpaceDE w:val="0"/>
        <w:autoSpaceDN w:val="0"/>
        <w:adjustRightInd w:val="0"/>
        <w:spacing w:line="480" w:lineRule="auto"/>
        <w:ind w:left="640" w:hanging="640"/>
        <w:rPr>
          <w:noProof/>
        </w:rPr>
      </w:pPr>
      <w:r w:rsidRPr="00597F3E">
        <w:rPr>
          <w:noProof/>
        </w:rPr>
        <w:t xml:space="preserve">15. </w:t>
      </w:r>
      <w:r w:rsidRPr="00597F3E">
        <w:rPr>
          <w:noProof/>
        </w:rPr>
        <w:tab/>
        <w:t xml:space="preserve">Bulterys PL, Garamani N, Stevens B, Sahoo MK, Huang CH, Hogan CA, et al. Comparison of a laboratory-developed test targeting the envelope gene with three nucleic acid amplification tests for detection of SARS-CoV-2. J Clin Virol. 2020;129(April):10–3. </w:t>
      </w:r>
    </w:p>
    <w:p w14:paraId="4911ADC6" w14:textId="77777777" w:rsidR="00597F3E" w:rsidRPr="00597F3E" w:rsidRDefault="00597F3E" w:rsidP="00597F3E">
      <w:pPr>
        <w:widowControl w:val="0"/>
        <w:autoSpaceDE w:val="0"/>
        <w:autoSpaceDN w:val="0"/>
        <w:adjustRightInd w:val="0"/>
        <w:spacing w:line="480" w:lineRule="auto"/>
        <w:ind w:left="640" w:hanging="640"/>
        <w:rPr>
          <w:noProof/>
        </w:rPr>
      </w:pPr>
      <w:r w:rsidRPr="00597F3E">
        <w:rPr>
          <w:noProof/>
        </w:rPr>
        <w:t xml:space="preserve">16. </w:t>
      </w:r>
      <w:r w:rsidRPr="00597F3E">
        <w:rPr>
          <w:noProof/>
        </w:rPr>
        <w:tab/>
        <w:t xml:space="preserve">Corman VM, Landt O, Kaiser M, Molenkamp R, Meijer A, Chu DKW, et al. Detection of 2019 novel coronavirus (2019-nCoV) by real-time RT-PCR. Eurosurveillance. 2020;25(3):1–8. </w:t>
      </w:r>
    </w:p>
    <w:p w14:paraId="4644516E" w14:textId="77777777" w:rsidR="00597F3E" w:rsidRPr="00597F3E" w:rsidRDefault="00597F3E" w:rsidP="00597F3E">
      <w:pPr>
        <w:widowControl w:val="0"/>
        <w:autoSpaceDE w:val="0"/>
        <w:autoSpaceDN w:val="0"/>
        <w:adjustRightInd w:val="0"/>
        <w:spacing w:line="480" w:lineRule="auto"/>
        <w:ind w:left="640" w:hanging="640"/>
        <w:rPr>
          <w:noProof/>
        </w:rPr>
      </w:pPr>
      <w:r w:rsidRPr="00597F3E">
        <w:rPr>
          <w:noProof/>
        </w:rPr>
        <w:t xml:space="preserve">17. </w:t>
      </w:r>
      <w:r w:rsidRPr="00597F3E">
        <w:rPr>
          <w:noProof/>
        </w:rPr>
        <w:tab/>
        <w:t xml:space="preserve">Food and Drug Administration. EUA Summary: SARS-CoV-2 Assay (Panther Fusion System). 2020 April 24 [cited 2020 Jul 11]. https://www.fda.gov/media/136156/download. </w:t>
      </w:r>
    </w:p>
    <w:p w14:paraId="45F4D442" w14:textId="77777777" w:rsidR="00597F3E" w:rsidRPr="00597F3E" w:rsidRDefault="00597F3E" w:rsidP="00597F3E">
      <w:pPr>
        <w:widowControl w:val="0"/>
        <w:autoSpaceDE w:val="0"/>
        <w:autoSpaceDN w:val="0"/>
        <w:adjustRightInd w:val="0"/>
        <w:spacing w:line="480" w:lineRule="auto"/>
        <w:ind w:left="640" w:hanging="640"/>
        <w:rPr>
          <w:noProof/>
        </w:rPr>
      </w:pPr>
      <w:r w:rsidRPr="00597F3E">
        <w:rPr>
          <w:noProof/>
        </w:rPr>
        <w:t xml:space="preserve">18. </w:t>
      </w:r>
      <w:r w:rsidRPr="00597F3E">
        <w:rPr>
          <w:noProof/>
        </w:rPr>
        <w:tab/>
        <w:t xml:space="preserve">Food and Drug Administration. EUA Summary: Aptima SARS-CoV-2. 2020 May 14 [cited 2020 Jul 11]. https://www.fda.gov/media/138096/download. </w:t>
      </w:r>
    </w:p>
    <w:p w14:paraId="5C7FC603" w14:textId="77777777" w:rsidR="00597F3E" w:rsidRPr="00597F3E" w:rsidRDefault="00597F3E" w:rsidP="00597F3E">
      <w:pPr>
        <w:widowControl w:val="0"/>
        <w:autoSpaceDE w:val="0"/>
        <w:autoSpaceDN w:val="0"/>
        <w:adjustRightInd w:val="0"/>
        <w:spacing w:line="480" w:lineRule="auto"/>
        <w:ind w:left="640" w:hanging="640"/>
        <w:rPr>
          <w:noProof/>
        </w:rPr>
      </w:pPr>
      <w:r w:rsidRPr="00597F3E">
        <w:rPr>
          <w:noProof/>
        </w:rPr>
        <w:t xml:space="preserve">19. </w:t>
      </w:r>
      <w:r w:rsidRPr="00597F3E">
        <w:rPr>
          <w:noProof/>
        </w:rPr>
        <w:tab/>
        <w:t xml:space="preserve">Robin X, Turck N, Hainard A, Tiberti N, Lisacek F, Sanchez JC, et al. pROC: An open-source package for R and S+ to analyze and compare ROC curves. BMC Bioinformatics. 2011;12. </w:t>
      </w:r>
    </w:p>
    <w:p w14:paraId="2CDC395B" w14:textId="77777777" w:rsidR="00597F3E" w:rsidRPr="00597F3E" w:rsidRDefault="00597F3E" w:rsidP="00597F3E">
      <w:pPr>
        <w:widowControl w:val="0"/>
        <w:autoSpaceDE w:val="0"/>
        <w:autoSpaceDN w:val="0"/>
        <w:adjustRightInd w:val="0"/>
        <w:spacing w:line="480" w:lineRule="auto"/>
        <w:ind w:left="640" w:hanging="640"/>
        <w:rPr>
          <w:noProof/>
        </w:rPr>
      </w:pPr>
      <w:r w:rsidRPr="00597F3E">
        <w:rPr>
          <w:noProof/>
        </w:rPr>
        <w:t xml:space="preserve">20. </w:t>
      </w:r>
      <w:r w:rsidRPr="00597F3E">
        <w:rPr>
          <w:noProof/>
        </w:rPr>
        <w:tab/>
        <w:t xml:space="preserve">Altman D, Machin D, Bryant T, Gardner M, Editors. Statistics With Confidence. 2nd ed. British </w:t>
      </w:r>
      <w:r w:rsidRPr="00597F3E">
        <w:rPr>
          <w:noProof/>
        </w:rPr>
        <w:lastRenderedPageBreak/>
        <w:t xml:space="preserve">Medical Journal. London: British Medical Journal Books; 2000. </w:t>
      </w:r>
    </w:p>
    <w:p w14:paraId="179130DA" w14:textId="77777777" w:rsidR="00597F3E" w:rsidRPr="00597F3E" w:rsidRDefault="00597F3E" w:rsidP="00597F3E">
      <w:pPr>
        <w:widowControl w:val="0"/>
        <w:autoSpaceDE w:val="0"/>
        <w:autoSpaceDN w:val="0"/>
        <w:adjustRightInd w:val="0"/>
        <w:spacing w:line="480" w:lineRule="auto"/>
        <w:ind w:left="640" w:hanging="640"/>
        <w:rPr>
          <w:noProof/>
        </w:rPr>
      </w:pPr>
      <w:r w:rsidRPr="00597F3E">
        <w:rPr>
          <w:noProof/>
        </w:rPr>
        <w:t xml:space="preserve">21. </w:t>
      </w:r>
      <w:r w:rsidRPr="00597F3E">
        <w:rPr>
          <w:noProof/>
        </w:rPr>
        <w:tab/>
        <w:t xml:space="preserve">La Scola B, Le Bideau M, Andreani J, Hoang VT, Grimaldier C, Colson P, et al. Viral RNA load as determined by cell culture as a management tool for discharge of SARS-CoV-2 patients from infectious disease wards. Eur J Clin Microbiol Infect Dis. 2020;39(6):1059–61. </w:t>
      </w:r>
    </w:p>
    <w:p w14:paraId="380BD80A" w14:textId="77777777" w:rsidR="00597F3E" w:rsidRPr="00597F3E" w:rsidRDefault="00597F3E" w:rsidP="00597F3E">
      <w:pPr>
        <w:widowControl w:val="0"/>
        <w:autoSpaceDE w:val="0"/>
        <w:autoSpaceDN w:val="0"/>
        <w:adjustRightInd w:val="0"/>
        <w:spacing w:line="480" w:lineRule="auto"/>
        <w:ind w:left="640" w:hanging="640"/>
        <w:rPr>
          <w:noProof/>
        </w:rPr>
      </w:pPr>
      <w:r w:rsidRPr="00597F3E">
        <w:rPr>
          <w:noProof/>
        </w:rPr>
        <w:t xml:space="preserve">22. </w:t>
      </w:r>
      <w:r w:rsidRPr="00597F3E">
        <w:rPr>
          <w:noProof/>
        </w:rPr>
        <w:tab/>
        <w:t xml:space="preserve">Aragón-Caqueo D, Fernández-Salinas J, Laroze D. Optimization of group size in pool testing strategy for SARS-CoV-2: A simple mathematical model. J Med Virol. 2020 Jul 13 [date cited]. Epub 2020 Apr. </w:t>
      </w:r>
    </w:p>
    <w:p w14:paraId="396BBDFE" w14:textId="77777777" w:rsidR="00597F3E" w:rsidRPr="00597F3E" w:rsidRDefault="00597F3E" w:rsidP="00597F3E">
      <w:pPr>
        <w:widowControl w:val="0"/>
        <w:autoSpaceDE w:val="0"/>
        <w:autoSpaceDN w:val="0"/>
        <w:adjustRightInd w:val="0"/>
        <w:spacing w:line="480" w:lineRule="auto"/>
        <w:ind w:left="640" w:hanging="640"/>
        <w:rPr>
          <w:noProof/>
        </w:rPr>
      </w:pPr>
      <w:r w:rsidRPr="00597F3E">
        <w:rPr>
          <w:noProof/>
        </w:rPr>
        <w:t xml:space="preserve">23. </w:t>
      </w:r>
      <w:r w:rsidRPr="00597F3E">
        <w:rPr>
          <w:noProof/>
        </w:rPr>
        <w:tab/>
        <w:t xml:space="preserve">Verdun CM, Fuchs T, Harar P, Elbrächter D, Fischer DS, Berner J, et al. Group testing for SARS-CoV-2 allows for up to 10-fold efficiency increase across realistic scenarios and testing strategies. medRxiv. 2020 Jul 15 [date cited]. Epub 2020 May 5. </w:t>
      </w:r>
    </w:p>
    <w:p w14:paraId="75648240" w14:textId="77777777" w:rsidR="00597F3E" w:rsidRPr="00597F3E" w:rsidRDefault="00597F3E" w:rsidP="00597F3E">
      <w:pPr>
        <w:widowControl w:val="0"/>
        <w:autoSpaceDE w:val="0"/>
        <w:autoSpaceDN w:val="0"/>
        <w:adjustRightInd w:val="0"/>
        <w:spacing w:line="480" w:lineRule="auto"/>
        <w:ind w:left="640" w:hanging="640"/>
        <w:rPr>
          <w:noProof/>
        </w:rPr>
      </w:pPr>
      <w:r w:rsidRPr="00597F3E">
        <w:rPr>
          <w:noProof/>
        </w:rPr>
        <w:t xml:space="preserve">24. </w:t>
      </w:r>
      <w:r w:rsidRPr="00597F3E">
        <w:rPr>
          <w:noProof/>
        </w:rPr>
        <w:tab/>
        <w:t xml:space="preserve">Pan Y, Zhang D, Yang P, Poon LLM, Wang Q. Viral load of SARS-CoV-2 in clinical samples. Lancet Infect Dis. 2020;20(4):411–2. </w:t>
      </w:r>
    </w:p>
    <w:p w14:paraId="2BE5CE4F" w14:textId="77777777" w:rsidR="00597F3E" w:rsidRPr="00597F3E" w:rsidRDefault="00597F3E" w:rsidP="00597F3E">
      <w:pPr>
        <w:widowControl w:val="0"/>
        <w:autoSpaceDE w:val="0"/>
        <w:autoSpaceDN w:val="0"/>
        <w:adjustRightInd w:val="0"/>
        <w:spacing w:line="480" w:lineRule="auto"/>
        <w:ind w:left="640" w:hanging="640"/>
        <w:rPr>
          <w:noProof/>
        </w:rPr>
      </w:pPr>
      <w:r w:rsidRPr="00597F3E">
        <w:rPr>
          <w:noProof/>
        </w:rPr>
        <w:t xml:space="preserve">25. </w:t>
      </w:r>
      <w:r w:rsidRPr="00597F3E">
        <w:rPr>
          <w:noProof/>
        </w:rPr>
        <w:tab/>
        <w:t xml:space="preserve">Xu T, Chen C, Zhu Z, Cui M, Chen C, Dai H, et al. Clinical features and dynamics of viral load in imported and non-imported patients with COVID-19. Int J Infect Dis. 2020;94(300):68–71. </w:t>
      </w:r>
    </w:p>
    <w:p w14:paraId="2A286652" w14:textId="77777777" w:rsidR="00597F3E" w:rsidRPr="00597F3E" w:rsidRDefault="00597F3E" w:rsidP="00597F3E">
      <w:pPr>
        <w:widowControl w:val="0"/>
        <w:autoSpaceDE w:val="0"/>
        <w:autoSpaceDN w:val="0"/>
        <w:adjustRightInd w:val="0"/>
        <w:spacing w:line="480" w:lineRule="auto"/>
        <w:ind w:left="640" w:hanging="640"/>
        <w:rPr>
          <w:noProof/>
        </w:rPr>
      </w:pPr>
      <w:r w:rsidRPr="00597F3E">
        <w:rPr>
          <w:noProof/>
        </w:rPr>
        <w:t xml:space="preserve">26. </w:t>
      </w:r>
      <w:r w:rsidRPr="00597F3E">
        <w:rPr>
          <w:noProof/>
        </w:rPr>
        <w:tab/>
        <w:t xml:space="preserve">To KKW, Tsang OTY, Leung WS, Tam AR, Wu TC, Lung DC, et al. Temporal profiles of viral load in posterior oropharyngeal saliva samples and serum antibody responses during infection by SARS-CoV-2: an observational cohort study. Lancet Infect Dis. 2020;20(5):565–74. </w:t>
      </w:r>
    </w:p>
    <w:p w14:paraId="6AEA256A" w14:textId="77777777" w:rsidR="00597F3E" w:rsidRPr="00597F3E" w:rsidRDefault="00597F3E" w:rsidP="00597F3E">
      <w:pPr>
        <w:widowControl w:val="0"/>
        <w:autoSpaceDE w:val="0"/>
        <w:autoSpaceDN w:val="0"/>
        <w:adjustRightInd w:val="0"/>
        <w:spacing w:line="480" w:lineRule="auto"/>
        <w:ind w:left="640" w:hanging="640"/>
        <w:rPr>
          <w:noProof/>
        </w:rPr>
      </w:pPr>
      <w:r w:rsidRPr="00597F3E">
        <w:rPr>
          <w:noProof/>
        </w:rPr>
        <w:t xml:space="preserve">27. </w:t>
      </w:r>
      <w:r w:rsidRPr="00597F3E">
        <w:rPr>
          <w:noProof/>
        </w:rPr>
        <w:tab/>
        <w:t xml:space="preserve">Wölfel R, Corman VM, Guggemos W, Seilmaier M, Zange S, Müller MA, et al. Virological assessment of hospitalized patients with COVID-2019. Nature. 2020;581(7809):465–9. </w:t>
      </w:r>
    </w:p>
    <w:p w14:paraId="3B67B1D9" w14:textId="0AEBF658" w:rsidR="003C24DC" w:rsidRDefault="006F1059" w:rsidP="00597F3E">
      <w:pPr>
        <w:widowControl w:val="0"/>
        <w:autoSpaceDE w:val="0"/>
        <w:autoSpaceDN w:val="0"/>
        <w:adjustRightInd w:val="0"/>
        <w:spacing w:line="480" w:lineRule="auto"/>
        <w:ind w:left="640" w:hanging="640"/>
        <w:rPr>
          <w:b/>
        </w:rPr>
      </w:pPr>
      <w:r>
        <w:rPr>
          <w:b/>
        </w:rPr>
        <w:fldChar w:fldCharType="end"/>
      </w:r>
      <w:r w:rsidR="003C24DC">
        <w:rPr>
          <w:b/>
        </w:rPr>
        <w:br w:type="page"/>
      </w:r>
    </w:p>
    <w:p w14:paraId="634CB4DF" w14:textId="3FD3CCE1" w:rsidR="5885873D" w:rsidRPr="00687C15" w:rsidRDefault="001A4045" w:rsidP="00814D6B">
      <w:pPr>
        <w:spacing w:line="480" w:lineRule="auto"/>
        <w:rPr>
          <w:b/>
        </w:rPr>
      </w:pPr>
      <w:r w:rsidRPr="006F1059">
        <w:rPr>
          <w:b/>
        </w:rPr>
        <w:lastRenderedPageBreak/>
        <w:t>Tables</w:t>
      </w:r>
    </w:p>
    <w:p w14:paraId="70CFC184" w14:textId="68D32A88" w:rsidR="001A4045" w:rsidRPr="00687C15" w:rsidRDefault="5885873D" w:rsidP="00814D6B">
      <w:pPr>
        <w:spacing w:line="480" w:lineRule="auto"/>
      </w:pPr>
      <w:r w:rsidRPr="00B1770D">
        <w:rPr>
          <w:b/>
          <w:bCs/>
        </w:rPr>
        <w:t>Table 1.</w:t>
      </w:r>
      <w:r w:rsidRPr="006F1059">
        <w:t xml:space="preserve"> </w:t>
      </w:r>
      <w:r w:rsidR="00CA0330">
        <w:t>Summary of nucleic acid amplification tests and pooled testing strategies evaluated, by testing platform</w:t>
      </w:r>
    </w:p>
    <w:tbl>
      <w:tblPr>
        <w:tblStyle w:val="PlainTable21"/>
        <w:tblW w:w="10364" w:type="dxa"/>
        <w:tblInd w:w="-72" w:type="dxa"/>
        <w:tblLayout w:type="fixed"/>
        <w:tblLook w:val="06A0" w:firstRow="1" w:lastRow="0" w:firstColumn="1" w:lastColumn="0" w:noHBand="1" w:noVBand="1"/>
      </w:tblPr>
      <w:tblGrid>
        <w:gridCol w:w="1710"/>
        <w:gridCol w:w="1260"/>
        <w:gridCol w:w="1620"/>
        <w:gridCol w:w="1080"/>
        <w:gridCol w:w="3470"/>
        <w:gridCol w:w="1224"/>
      </w:tblGrid>
      <w:tr w:rsidR="004870D5" w:rsidRPr="006D5215" w14:paraId="49B1CFC4" w14:textId="3F11B465" w:rsidTr="00037F13">
        <w:trPr>
          <w:cnfStyle w:val="100000000000" w:firstRow="1" w:lastRow="0" w:firstColumn="0" w:lastColumn="0" w:oddVBand="0" w:evenVBand="0" w:oddHBand="0"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1710" w:type="dxa"/>
            <w:vAlign w:val="center"/>
          </w:tcPr>
          <w:p w14:paraId="03398081" w14:textId="0E499FB2" w:rsidR="004870D5" w:rsidRPr="006D5215" w:rsidRDefault="004870D5" w:rsidP="005B7B9C">
            <w:pPr>
              <w:rPr>
                <w:rFonts w:ascii="Arial" w:eastAsia="Arial" w:hAnsi="Arial" w:cs="Arial"/>
                <w:b w:val="0"/>
                <w:bCs w:val="0"/>
                <w:sz w:val="16"/>
                <w:szCs w:val="16"/>
              </w:rPr>
            </w:pPr>
            <w:r w:rsidRPr="006D5215">
              <w:rPr>
                <w:rFonts w:ascii="Arial" w:eastAsia="Arial" w:hAnsi="Arial" w:cs="Arial"/>
                <w:b w:val="0"/>
                <w:bCs w:val="0"/>
                <w:sz w:val="16"/>
                <w:szCs w:val="16"/>
              </w:rPr>
              <w:t>Name</w:t>
            </w:r>
          </w:p>
        </w:tc>
        <w:tc>
          <w:tcPr>
            <w:tcW w:w="1260" w:type="dxa"/>
            <w:vAlign w:val="center"/>
          </w:tcPr>
          <w:p w14:paraId="11DC931A" w14:textId="104462E0" w:rsidR="004870D5" w:rsidRPr="006D5215" w:rsidRDefault="004870D5" w:rsidP="005B7B9C">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16"/>
                <w:szCs w:val="16"/>
              </w:rPr>
            </w:pPr>
            <w:r w:rsidRPr="006D5215">
              <w:rPr>
                <w:rFonts w:ascii="Arial" w:eastAsia="Arial" w:hAnsi="Arial" w:cs="Arial"/>
                <w:b w:val="0"/>
                <w:bCs w:val="0"/>
                <w:sz w:val="16"/>
                <w:szCs w:val="16"/>
              </w:rPr>
              <w:t>Gene target(s)</w:t>
            </w:r>
          </w:p>
        </w:tc>
        <w:tc>
          <w:tcPr>
            <w:tcW w:w="1620" w:type="dxa"/>
            <w:vAlign w:val="center"/>
          </w:tcPr>
          <w:p w14:paraId="0A8CF4F4" w14:textId="1D03A22F" w:rsidR="004870D5" w:rsidRPr="006D5215" w:rsidRDefault="004870D5" w:rsidP="005B7B9C">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16"/>
                <w:szCs w:val="16"/>
              </w:rPr>
            </w:pPr>
            <w:r w:rsidRPr="006D5215">
              <w:rPr>
                <w:rFonts w:ascii="Arial" w:eastAsia="Arial" w:hAnsi="Arial" w:cs="Arial"/>
                <w:b w:val="0"/>
                <w:bCs w:val="0"/>
                <w:sz w:val="16"/>
                <w:szCs w:val="16"/>
              </w:rPr>
              <w:t>Internal control</w:t>
            </w:r>
          </w:p>
        </w:tc>
        <w:tc>
          <w:tcPr>
            <w:tcW w:w="1080" w:type="dxa"/>
            <w:vAlign w:val="center"/>
          </w:tcPr>
          <w:p w14:paraId="436C27E9" w14:textId="560D3A77" w:rsidR="004870D5" w:rsidRPr="006D5215" w:rsidRDefault="004870D5" w:rsidP="005B7B9C">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16"/>
                <w:szCs w:val="16"/>
              </w:rPr>
            </w:pPr>
            <w:r w:rsidRPr="006D5215">
              <w:rPr>
                <w:rFonts w:ascii="Arial" w:eastAsia="Arial" w:hAnsi="Arial" w:cs="Arial"/>
                <w:b w:val="0"/>
                <w:bCs w:val="0"/>
                <w:sz w:val="16"/>
                <w:szCs w:val="16"/>
              </w:rPr>
              <w:t>Method</w:t>
            </w:r>
          </w:p>
        </w:tc>
        <w:tc>
          <w:tcPr>
            <w:tcW w:w="3470" w:type="dxa"/>
            <w:vAlign w:val="center"/>
          </w:tcPr>
          <w:p w14:paraId="542EA765" w14:textId="367487E1" w:rsidR="004870D5" w:rsidRPr="006D5215" w:rsidRDefault="004870D5" w:rsidP="005B7B9C">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16"/>
                <w:szCs w:val="16"/>
              </w:rPr>
            </w:pPr>
            <w:r w:rsidRPr="006D5215">
              <w:rPr>
                <w:rFonts w:ascii="Arial" w:eastAsia="Arial" w:hAnsi="Arial" w:cs="Arial"/>
                <w:b w:val="0"/>
                <w:bCs w:val="0"/>
                <w:sz w:val="16"/>
                <w:szCs w:val="16"/>
              </w:rPr>
              <w:t>Strategy</w:t>
            </w:r>
          </w:p>
        </w:tc>
        <w:tc>
          <w:tcPr>
            <w:tcW w:w="1224" w:type="dxa"/>
            <w:vAlign w:val="center"/>
          </w:tcPr>
          <w:p w14:paraId="25425511" w14:textId="68781618" w:rsidR="004870D5" w:rsidRPr="006D5215" w:rsidRDefault="004870D5" w:rsidP="005B7B9C">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val="0"/>
                <w:sz w:val="16"/>
                <w:szCs w:val="16"/>
              </w:rPr>
            </w:pPr>
            <w:r>
              <w:rPr>
                <w:rFonts w:ascii="Arial" w:eastAsia="Arial" w:hAnsi="Arial" w:cs="Arial"/>
                <w:b w:val="0"/>
                <w:bCs w:val="0"/>
                <w:sz w:val="16"/>
                <w:szCs w:val="16"/>
              </w:rPr>
              <w:t>References</w:t>
            </w:r>
          </w:p>
        </w:tc>
      </w:tr>
      <w:tr w:rsidR="004870D5" w:rsidRPr="006D5215" w14:paraId="1FA1A742" w14:textId="7CC646DD" w:rsidTr="00037F13">
        <w:trPr>
          <w:trHeight w:val="224"/>
        </w:trPr>
        <w:tc>
          <w:tcPr>
            <w:cnfStyle w:val="001000000000" w:firstRow="0" w:lastRow="0" w:firstColumn="1" w:lastColumn="0" w:oddVBand="0" w:evenVBand="0" w:oddHBand="0" w:evenHBand="0" w:firstRowFirstColumn="0" w:firstRowLastColumn="0" w:lastRowFirstColumn="0" w:lastRowLastColumn="0"/>
            <w:tcW w:w="1710" w:type="dxa"/>
            <w:vAlign w:val="center"/>
          </w:tcPr>
          <w:p w14:paraId="1F503FF3" w14:textId="45AAD7A7" w:rsidR="004870D5" w:rsidRPr="006D5215" w:rsidRDefault="004870D5" w:rsidP="005B7B9C">
            <w:r w:rsidRPr="006D5215">
              <w:rPr>
                <w:rFonts w:ascii="Arial" w:eastAsia="Arial" w:hAnsi="Arial" w:cs="Arial"/>
                <w:b w:val="0"/>
                <w:bCs w:val="0"/>
                <w:sz w:val="16"/>
                <w:szCs w:val="16"/>
              </w:rPr>
              <w:t>LDT</w:t>
            </w:r>
          </w:p>
        </w:tc>
        <w:tc>
          <w:tcPr>
            <w:tcW w:w="1260" w:type="dxa"/>
            <w:vAlign w:val="center"/>
          </w:tcPr>
          <w:p w14:paraId="3093A1FD" w14:textId="2DDE0651" w:rsidR="004870D5" w:rsidRPr="00806A89" w:rsidRDefault="004870D5" w:rsidP="005B7B9C">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i/>
                <w:iCs/>
                <w:sz w:val="16"/>
                <w:szCs w:val="16"/>
              </w:rPr>
            </w:pPr>
            <w:r w:rsidRPr="00806A89">
              <w:rPr>
                <w:rFonts w:ascii="Arial" w:eastAsia="Arial" w:hAnsi="Arial" w:cs="Arial"/>
                <w:i/>
                <w:iCs/>
                <w:sz w:val="16"/>
                <w:szCs w:val="16"/>
              </w:rPr>
              <w:t>E</w:t>
            </w:r>
          </w:p>
        </w:tc>
        <w:tc>
          <w:tcPr>
            <w:tcW w:w="1620" w:type="dxa"/>
            <w:vAlign w:val="center"/>
          </w:tcPr>
          <w:p w14:paraId="60535F7D" w14:textId="71B197DD" w:rsidR="004870D5" w:rsidRPr="00806A89" w:rsidRDefault="004870D5" w:rsidP="005B7B9C">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i/>
                <w:iCs/>
                <w:sz w:val="16"/>
                <w:szCs w:val="16"/>
              </w:rPr>
            </w:pPr>
            <w:r w:rsidRPr="00806A89">
              <w:rPr>
                <w:rFonts w:ascii="Arial" w:eastAsia="Arial" w:hAnsi="Arial" w:cs="Arial"/>
                <w:i/>
                <w:iCs/>
                <w:sz w:val="16"/>
                <w:szCs w:val="16"/>
              </w:rPr>
              <w:t>R</w:t>
            </w:r>
            <w:r>
              <w:rPr>
                <w:rFonts w:ascii="Arial" w:eastAsia="Arial" w:hAnsi="Arial" w:cs="Arial"/>
                <w:i/>
                <w:iCs/>
                <w:sz w:val="16"/>
                <w:szCs w:val="16"/>
              </w:rPr>
              <w:t>N</w:t>
            </w:r>
            <w:r w:rsidRPr="00806A89">
              <w:rPr>
                <w:rFonts w:ascii="Arial" w:eastAsia="Arial" w:hAnsi="Arial" w:cs="Arial"/>
                <w:i/>
                <w:iCs/>
                <w:sz w:val="16"/>
                <w:szCs w:val="16"/>
              </w:rPr>
              <w:t>ase P</w:t>
            </w:r>
          </w:p>
        </w:tc>
        <w:tc>
          <w:tcPr>
            <w:tcW w:w="1080" w:type="dxa"/>
            <w:vAlign w:val="center"/>
          </w:tcPr>
          <w:p w14:paraId="2F15802F" w14:textId="18DB791F" w:rsidR="004870D5" w:rsidRPr="006D5215" w:rsidRDefault="004870D5" w:rsidP="005B7B9C">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proofErr w:type="spellStart"/>
            <w:r w:rsidRPr="006D5215">
              <w:rPr>
                <w:rFonts w:ascii="Arial" w:eastAsia="Arial" w:hAnsi="Arial" w:cs="Arial"/>
                <w:sz w:val="16"/>
                <w:szCs w:val="16"/>
              </w:rPr>
              <w:t>rRT</w:t>
            </w:r>
            <w:proofErr w:type="spellEnd"/>
            <w:r w:rsidRPr="006D5215">
              <w:rPr>
                <w:rFonts w:ascii="Arial" w:eastAsia="Arial" w:hAnsi="Arial" w:cs="Arial"/>
                <w:sz w:val="16"/>
                <w:szCs w:val="16"/>
              </w:rPr>
              <w:t>-PCR</w:t>
            </w:r>
          </w:p>
        </w:tc>
        <w:tc>
          <w:tcPr>
            <w:tcW w:w="3470" w:type="dxa"/>
            <w:vAlign w:val="center"/>
          </w:tcPr>
          <w:p w14:paraId="1D4CF9E1" w14:textId="2B339F9C" w:rsidR="004870D5" w:rsidRPr="006D5215" w:rsidRDefault="004870D5" w:rsidP="005B7B9C">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6D5215">
              <w:rPr>
                <w:rFonts w:ascii="Arial" w:eastAsia="Arial" w:hAnsi="Arial" w:cs="Arial"/>
                <w:sz w:val="16"/>
                <w:szCs w:val="16"/>
              </w:rPr>
              <w:t xml:space="preserve">Pools of </w:t>
            </w:r>
            <w:r>
              <w:rPr>
                <w:rFonts w:ascii="Arial" w:eastAsia="Arial" w:hAnsi="Arial" w:cs="Arial"/>
                <w:sz w:val="16"/>
                <w:szCs w:val="16"/>
              </w:rPr>
              <w:t>8*, Pools of 4*</w:t>
            </w:r>
          </w:p>
        </w:tc>
        <w:tc>
          <w:tcPr>
            <w:tcW w:w="1224" w:type="dxa"/>
            <w:vAlign w:val="center"/>
          </w:tcPr>
          <w:p w14:paraId="5D997662" w14:textId="6D4B9EBB" w:rsidR="004870D5" w:rsidRPr="006D5215" w:rsidRDefault="003665EA" w:rsidP="005B7B9C">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fldChar w:fldCharType="begin" w:fldLock="1"/>
            </w:r>
            <w:r w:rsidR="00597F3E">
              <w:rPr>
                <w:rFonts w:ascii="Arial" w:eastAsia="Arial" w:hAnsi="Arial" w:cs="Arial"/>
                <w:sz w:val="16"/>
                <w:szCs w:val="16"/>
              </w:rPr>
              <w:instrText>ADDIN CSL_CITATION {"citationItems":[{"id":"ITEM-1","itemData":{"DOI":"10.1016/j.jcv.2020.104427","ISSN":"18735967","abstract":"Background: Numerous nucleic acid amplification tests, including real-time, reverse transcription PCR (rRT-PCR) and isothermal amplification methods, have been developed to detect SARS-CoV-2 RNA, including many that have received emergency use authorization (EUA). There is a need to assess their test performance relative to one another. Objectives: The aim of this study was to compare the test performance of a high complexity laboratory-developed rRT-PCR EUA from Stanford Health Care (SHC) targeting the SARS-CoV-2 envelope (E) gene with other tests: the Atila isothermal amplification assay targeting the nucleocapsid (N) gene and open reading frame 1ab (ORF1ab), the Altona E and spike (S) multiplex, real-time RT-PCR, and the US Centers for Disease Control and Prevention (CDC) N1 and N2 rRT-PCRs. Study Design: A diagnostic comparison study was performed by testing nasopharyngeal samples from persons under investigation for coronavirus disease 2019 (COVID-19). Assay performance was assessed by percent agreement and Cohen's kappa coefficient. Results: Positive percent agreement with the SHC EUA reference assay was 82.8 % (95 % confidence interval (CI) 65.0 to 92.9) for Atila, 86.7 % (95 % CI 69.7 to 95.3) for the Altona E and S targets, and 86.7 % (95 % CI 69.7 to 95.3) and 90.0 % (95 % CI 73.6 to 97.3), for the CDC N1 and N2 targets, respectively. All assays demonstrated 100 % negative percent agreement. Kappa coefficients ranged from 0.86 to 0.92, indicating excellent agreement. Conclusions: Performance was comparable among the SARS-CoV-2 nucleic acid amplification methods tested, with a limited number of discrepancies observed in specimens with low viral loads.","author":[{"dropping-particle":"","family":"Bulterys","given":"Philip L.","non-dropping-particle":"","parse-names":false,"suffix":""},{"dropping-particle":"","family":"Garamani","given":"Natasha","non-dropping-particle":"","parse-names":false,"suffix":""},{"dropping-particle":"","family":"Stevens","given":"Bryan","non-dropping-particle":"","parse-names":false,"suffix":""},{"dropping-particle":"","family":"Sahoo","given":"Malaya K.","non-dropping-particle":"","parse-names":false,"suffix":""},{"dropping-particle":"","family":"Huang","given":"Chun Hong","non-dropping-particle":"","parse-names":false,"suffix":""},{"dropping-particle":"","family":"Hogan","given":"Catherine A.","non-dropping-particle":"","parse-names":false,"suffix":""},{"dropping-particle":"","family":"Zehnder","given":"James","non-dropping-particle":"","parse-names":false,"suffix":""},{"dropping-particle":"","family":"Pinsky","given":"Benjamin A.","non-dropping-particle":"","parse-names":false,"suffix":""}],"container-title":"Journal of Clinical Virology","id":"ITEM-1","issue":"April","issued":{"date-parts":[["2020"]]},"page":"10-13","title":"Comparison of a laboratory-developed test targeting the envelope gene with three nucleic acid amplification tests for detection of SARS-CoV-2","type":"article-journal","volume":"129"},"uris":["http://www.mendeley.com/documents/?uuid=f193a7d2-7425-45fd-8ebb-0c4f81f16cf1"]},{"id":"ITEM-2","itemData":{"DOI":"10.1001/jama.2020.5445","PMID":"32250394","author":[{"dropping-particle":"","family":"Hogan","given":"CA","non-dropping-particle":"","parse-names":false,"suffix":""},{"dropping-particle":"","family":"Sahoo","given":"MK","non-dropping-particle":"","parse-names":false,"suffix":""},{"dropping-particle":"","family":"Pinsky","given":"BA","non-dropping-particle":"","parse-names":false,"suffix":""}],"container-title":"JAMA","id":"ITEM-2","issue":"19","issued":{"date-parts":[["2020"]]},"page":"1967-9","title":"Sample Pooling as a Strategy to Detect Community Transmission of SARS-CoV-2","type":"article-journal","volume":"323"},"uris":["http://www.mendeley.com/documents/?uuid=8332f2c8-641d-4299-8996-537ba2179235"]},{"id":"ITEM-3","itemData":{"DOI":"10.2807/1560-7917.ES.2020.25.3.2000045","ISSN":"15607917","PMID":"31992387","abstract":"Background: The ongoing outbreak of the recently emerged novel coronavirus (2019-nCoV) poses a challenge for public health laboratories as virus isolates are unavailable while there is growing evidence that the outbreak is more widespread than initially thought, and international spread through travellers does already occur. Aim: We aimed to develop and deploy robust diagnostic methodology for use in public health laboratory settings without having virus material available. Methods: Here we present a validated diagnostic workflow for 2019-nCoV, its design relying on close genetic relatedness of 2019-nCoV with SARS coronavirus, making use of synthetic nucleic acid technology. Results: The workflow reliably detects 2019-nCoV, and further discriminates 2019-nCoV from SARS-CoV. Through coordination between academic and public laboratories, we confirmed assay exclusivity based on 297 original clinical specimens containing a full spectrum of human respiratory viruses. Control material is made available through European Virus Archive Global (EVAg), a European Union infrastructure project. Conclusion: The present study demonstrates the enormous response capacity achieved through coordination of academic and public laboratories in national and European research networks.","author":[{"dropping-particle":"","family":"Corman","given":"Victor M.","non-dropping-particle":"","parse-names":false,"suffix":""},{"dropping-particle":"","family":"Landt","given":"Olfert","non-dropping-particle":"","parse-names":false,"suffix":""},{"dropping-particle":"","family":"Kaiser","given":"Marco","non-dropping-particle":"","parse-names":false,"suffix":""},{"dropping-particle":"","family":"Molenkamp","given":"Richard","non-dropping-particle":"","parse-names":false,"suffix":""},{"dropping-particle":"","family":"Meijer","given":"Adam","non-dropping-particle":"","parse-names":false,"suffix":""},{"dropping-particle":"","family":"Chu","given":"Daniel K.W.","non-dropping-particle":"","parse-names":false,"suffix":""},{"dropping-particle":"","family":"Bleicker","given":"Tobias","non-dropping-particle":"","parse-names":false,"suffix":""},{"dropping-particle":"","family":"Brünink","given":"Sebastian","non-dropping-particle":"","parse-names":false,"suffix":""},{"dropping-particle":"","family":"Schneider","given":"Julia","non-dropping-particle":"","parse-names":false,"suffix":""},{"dropping-particle":"","family":"Schmidt","given":"Marie Luisa","non-dropping-particle":"","parse-names":false,"suffix":""},{"dropping-particle":"","family":"Mulders","given":"Daphne G.J.C.","non-dropping-particle":"","parse-names":false,"suffix":""},{"dropping-particle":"","family":"Haagmans","given":"Bart L.","non-dropping-particle":"","parse-names":false,"suffix":""},{"dropping-particle":"","family":"Veer","given":"Bas","non-dropping-particle":"Van Der","parse-names":false,"suffix":""},{"dropping-particle":"","family":"Brink","given":"Sharon","non-dropping-particle":"Van Den","parse-names":false,"suffix":""},{"dropping-particle":"","family":"Wijsman","given":"Lisa","non-dropping-particle":"","parse-names":false,"suffix":""},{"dropping-particle":"","family":"Goderski","given":"Gabriel","non-dropping-particle":"","parse-names":false,"suffix":""},{"dropping-particle":"","family":"Romette","given":"Jean Louis","non-dropping-particle":"","parse-names":false,"suffix":""},{"dropping-particle":"","family":"Ellis","given":"Joanna","non-dropping-particle":"","parse-names":false,"suffix":""},{"dropping-particle":"","family":"Zambon","given":"Maria","non-dropping-particle":"","parse-names":false,"suffix":""},{"dropping-particle":"","family":"Peiris","given":"Malik","non-dropping-particle":"","parse-names":false,"suffix":""},{"dropping-particle":"","family":"Goossens","given":"Herman","non-dropping-particle":"","parse-names":false,"suffix":""},{"dropping-particle":"","family":"Reusken","given":"Chantal","non-dropping-particle":"","parse-names":false,"suffix":""},{"dropping-particle":"","family":"Koopmans","given":"Marion P.G.","non-dropping-particle":"","parse-names":false,"suffix":""},{"dropping-particle":"","family":"Drosten","given":"Christian","non-dropping-particle":"","parse-names":false,"suffix":""}],"container-title":"Eurosurveillance","id":"ITEM-3","issue":"3","issued":{"date-parts":[["2020"]]},"page":"1-8","title":"Detection of 2019 novel coronavirus (2019-nCoV) by real-time RT-PCR","type":"article-journal","volume":"25"},"uris":["http://www.mendeley.com/documents/?uuid=d56c10d1-e8ff-4e96-8b37-0b3a461edbdc"]},{"id":"ITEM-4","itemData":{"id":"ITEM-4","issued":{"date-parts":[["0"]]},"title":"Food and Drug Administration. EUA Summary: SARS-CoV-2 RT-PCR Assay (Stanford Health Care Clinical Virology Laboratory). 2020 April 08 [cited 2020 Jul 11]. https://www.fda.gov/media/136818/download","type":"webpage"},"uris":["http://www.mendeley.com/documents/?uuid=b61c91f9-c43e-4eef-9878-d7749b233c7f"]}],"mendeley":{"formattedCitation":"(&lt;i&gt;1&lt;/i&gt;,&lt;i&gt;14&lt;/i&gt;–&lt;i&gt;16&lt;/i&gt;)","plainTextFormattedCitation":"(1,14–16)","previouslyFormattedCitation":"(&lt;i&gt;1&lt;/i&gt;,&lt;i&gt;14&lt;/i&gt;–&lt;i&gt;16&lt;/i&gt;)"},"properties":{"noteIndex":0},"schema":"https://github.com/citation-style-language/schema/raw/master/csl-citation.json"}</w:instrText>
            </w:r>
            <w:r>
              <w:rPr>
                <w:rFonts w:ascii="Arial" w:eastAsia="Arial" w:hAnsi="Arial" w:cs="Arial"/>
                <w:sz w:val="16"/>
                <w:szCs w:val="16"/>
              </w:rPr>
              <w:fldChar w:fldCharType="separate"/>
            </w:r>
            <w:r w:rsidR="00597F3E" w:rsidRPr="00597F3E">
              <w:rPr>
                <w:rFonts w:ascii="Arial" w:eastAsia="Arial" w:hAnsi="Arial" w:cs="Arial"/>
                <w:noProof/>
                <w:sz w:val="16"/>
                <w:szCs w:val="16"/>
              </w:rPr>
              <w:t>(</w:t>
            </w:r>
            <w:r w:rsidR="00597F3E" w:rsidRPr="00597F3E">
              <w:rPr>
                <w:rFonts w:ascii="Arial" w:eastAsia="Arial" w:hAnsi="Arial" w:cs="Arial"/>
                <w:i/>
                <w:noProof/>
                <w:sz w:val="16"/>
                <w:szCs w:val="16"/>
              </w:rPr>
              <w:t>1</w:t>
            </w:r>
            <w:r w:rsidR="00597F3E" w:rsidRPr="00597F3E">
              <w:rPr>
                <w:rFonts w:ascii="Arial" w:eastAsia="Arial" w:hAnsi="Arial" w:cs="Arial"/>
                <w:noProof/>
                <w:sz w:val="16"/>
                <w:szCs w:val="16"/>
              </w:rPr>
              <w:t>,</w:t>
            </w:r>
            <w:r w:rsidR="00597F3E" w:rsidRPr="00597F3E">
              <w:rPr>
                <w:rFonts w:ascii="Arial" w:eastAsia="Arial" w:hAnsi="Arial" w:cs="Arial"/>
                <w:i/>
                <w:noProof/>
                <w:sz w:val="16"/>
                <w:szCs w:val="16"/>
              </w:rPr>
              <w:t>14</w:t>
            </w:r>
            <w:r w:rsidR="00597F3E" w:rsidRPr="00597F3E">
              <w:rPr>
                <w:rFonts w:ascii="Arial" w:eastAsia="Arial" w:hAnsi="Arial" w:cs="Arial"/>
                <w:noProof/>
                <w:sz w:val="16"/>
                <w:szCs w:val="16"/>
              </w:rPr>
              <w:t>–</w:t>
            </w:r>
            <w:r w:rsidR="00597F3E" w:rsidRPr="00597F3E">
              <w:rPr>
                <w:rFonts w:ascii="Arial" w:eastAsia="Arial" w:hAnsi="Arial" w:cs="Arial"/>
                <w:i/>
                <w:noProof/>
                <w:sz w:val="16"/>
                <w:szCs w:val="16"/>
              </w:rPr>
              <w:t>16</w:t>
            </w:r>
            <w:r w:rsidR="00597F3E" w:rsidRPr="00597F3E">
              <w:rPr>
                <w:rFonts w:ascii="Arial" w:eastAsia="Arial" w:hAnsi="Arial" w:cs="Arial"/>
                <w:noProof/>
                <w:sz w:val="16"/>
                <w:szCs w:val="16"/>
              </w:rPr>
              <w:t>)</w:t>
            </w:r>
            <w:r>
              <w:rPr>
                <w:rFonts w:ascii="Arial" w:eastAsia="Arial" w:hAnsi="Arial" w:cs="Arial"/>
                <w:sz w:val="16"/>
                <w:szCs w:val="16"/>
              </w:rPr>
              <w:fldChar w:fldCharType="end"/>
            </w:r>
          </w:p>
        </w:tc>
      </w:tr>
      <w:tr w:rsidR="004870D5" w:rsidRPr="006D5215" w14:paraId="075E5BDA" w14:textId="7A053639" w:rsidTr="00037F13">
        <w:trPr>
          <w:trHeight w:val="216"/>
        </w:trPr>
        <w:tc>
          <w:tcPr>
            <w:cnfStyle w:val="001000000000" w:firstRow="0" w:lastRow="0" w:firstColumn="1" w:lastColumn="0" w:oddVBand="0" w:evenVBand="0" w:oddHBand="0" w:evenHBand="0" w:firstRowFirstColumn="0" w:firstRowLastColumn="0" w:lastRowFirstColumn="0" w:lastRowLastColumn="0"/>
            <w:tcW w:w="1710" w:type="dxa"/>
            <w:vAlign w:val="center"/>
          </w:tcPr>
          <w:p w14:paraId="61A0A94C" w14:textId="68B34755" w:rsidR="004870D5" w:rsidRPr="006D5215" w:rsidRDefault="004870D5" w:rsidP="005B7B9C">
            <w:pPr>
              <w:rPr>
                <w:rFonts w:ascii="Arial" w:eastAsia="Arial" w:hAnsi="Arial" w:cs="Arial"/>
                <w:b w:val="0"/>
                <w:bCs w:val="0"/>
                <w:sz w:val="16"/>
                <w:szCs w:val="16"/>
              </w:rPr>
            </w:pPr>
            <w:r w:rsidRPr="006D5215">
              <w:rPr>
                <w:rFonts w:ascii="Arial" w:eastAsia="Arial" w:hAnsi="Arial" w:cs="Arial"/>
                <w:b w:val="0"/>
                <w:bCs w:val="0"/>
                <w:sz w:val="16"/>
                <w:szCs w:val="16"/>
              </w:rPr>
              <w:t>Panther Fusion</w:t>
            </w:r>
          </w:p>
        </w:tc>
        <w:tc>
          <w:tcPr>
            <w:tcW w:w="1260" w:type="dxa"/>
            <w:vAlign w:val="center"/>
          </w:tcPr>
          <w:p w14:paraId="150E3C7A" w14:textId="45CA6765" w:rsidR="004870D5" w:rsidRPr="00B25D95" w:rsidRDefault="004870D5" w:rsidP="005B7B9C">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B25D95">
              <w:rPr>
                <w:rFonts w:ascii="Arial" w:eastAsia="Arial" w:hAnsi="Arial" w:cs="Arial"/>
                <w:sz w:val="16"/>
                <w:szCs w:val="16"/>
              </w:rPr>
              <w:t>ORF1ab</w:t>
            </w:r>
          </w:p>
        </w:tc>
        <w:tc>
          <w:tcPr>
            <w:tcW w:w="1620" w:type="dxa"/>
            <w:vAlign w:val="center"/>
          </w:tcPr>
          <w:p w14:paraId="06AF939B" w14:textId="4382E79A" w:rsidR="004870D5" w:rsidRPr="006D5215" w:rsidRDefault="004870D5" w:rsidP="005B7B9C">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6D5215">
              <w:rPr>
                <w:rFonts w:ascii="Arial" w:eastAsia="Arial" w:hAnsi="Arial" w:cs="Arial"/>
                <w:sz w:val="16"/>
                <w:szCs w:val="16"/>
              </w:rPr>
              <w:t>Reagent Spike-in</w:t>
            </w:r>
          </w:p>
        </w:tc>
        <w:tc>
          <w:tcPr>
            <w:tcW w:w="1080" w:type="dxa"/>
            <w:vAlign w:val="center"/>
          </w:tcPr>
          <w:p w14:paraId="2117E782" w14:textId="560266EE" w:rsidR="004870D5" w:rsidRPr="006D5215" w:rsidRDefault="004870D5" w:rsidP="005B7B9C">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proofErr w:type="spellStart"/>
            <w:r w:rsidRPr="006D5215">
              <w:rPr>
                <w:rFonts w:ascii="Arial" w:eastAsia="Arial" w:hAnsi="Arial" w:cs="Arial"/>
                <w:sz w:val="16"/>
                <w:szCs w:val="16"/>
              </w:rPr>
              <w:t>rRT</w:t>
            </w:r>
            <w:proofErr w:type="spellEnd"/>
            <w:r w:rsidRPr="006D5215">
              <w:rPr>
                <w:rFonts w:ascii="Arial" w:eastAsia="Arial" w:hAnsi="Arial" w:cs="Arial"/>
                <w:sz w:val="16"/>
                <w:szCs w:val="16"/>
              </w:rPr>
              <w:t>-PCR</w:t>
            </w:r>
          </w:p>
        </w:tc>
        <w:tc>
          <w:tcPr>
            <w:tcW w:w="3470" w:type="dxa"/>
            <w:vAlign w:val="center"/>
          </w:tcPr>
          <w:p w14:paraId="2EB04166" w14:textId="767EFEEE" w:rsidR="004870D5" w:rsidRPr="00277EF0" w:rsidRDefault="004870D5" w:rsidP="005B7B9C">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6D5215">
              <w:rPr>
                <w:rFonts w:ascii="Arial" w:eastAsia="Arial" w:hAnsi="Arial" w:cs="Arial"/>
                <w:sz w:val="16"/>
                <w:szCs w:val="16"/>
              </w:rPr>
              <w:t xml:space="preserve">Pools of </w:t>
            </w:r>
            <w:r>
              <w:rPr>
                <w:rFonts w:ascii="Arial" w:eastAsia="Arial" w:hAnsi="Arial" w:cs="Arial"/>
                <w:sz w:val="16"/>
                <w:szCs w:val="16"/>
              </w:rPr>
              <w:t>8*, Pools of 5</w:t>
            </w:r>
            <w:r w:rsidRPr="00C14A24">
              <w:rPr>
                <w:rFonts w:ascii="Arial" w:eastAsia="Arial" w:hAnsi="Arial" w:cs="Arial"/>
                <w:sz w:val="16"/>
                <w:szCs w:val="16"/>
                <w:vertAlign w:val="superscript"/>
              </w:rPr>
              <w:t>†</w:t>
            </w:r>
            <w:r>
              <w:rPr>
                <w:rFonts w:ascii="Arial" w:eastAsia="Arial" w:hAnsi="Arial" w:cs="Arial"/>
                <w:sz w:val="16"/>
                <w:szCs w:val="16"/>
              </w:rPr>
              <w:t>, Pools of 3</w:t>
            </w:r>
            <w:r w:rsidRPr="00C14A24">
              <w:rPr>
                <w:rFonts w:ascii="Arial" w:eastAsia="Arial" w:hAnsi="Arial" w:cs="Arial"/>
                <w:sz w:val="16"/>
                <w:szCs w:val="16"/>
                <w:vertAlign w:val="superscript"/>
              </w:rPr>
              <w:t>†</w:t>
            </w:r>
          </w:p>
        </w:tc>
        <w:tc>
          <w:tcPr>
            <w:tcW w:w="1224" w:type="dxa"/>
            <w:vAlign w:val="center"/>
          </w:tcPr>
          <w:p w14:paraId="34FE1DE5" w14:textId="3197B22B" w:rsidR="004870D5" w:rsidRPr="006D5215" w:rsidRDefault="00813988" w:rsidP="005B7B9C">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fldChar w:fldCharType="begin" w:fldLock="1"/>
            </w:r>
            <w:r w:rsidR="00597F3E">
              <w:rPr>
                <w:rFonts w:ascii="Arial" w:eastAsia="Arial" w:hAnsi="Arial" w:cs="Arial"/>
                <w:sz w:val="16"/>
                <w:szCs w:val="16"/>
              </w:rPr>
              <w:instrText>ADDIN CSL_CITATION {"citationItems":[{"id":"ITEM-1","itemData":{"id":"ITEM-1","issued":{"date-parts":[["0"]]},"title":"Food and Drug Administration. EUA Summary: SARS-CoV-2 Assay (Panther Fusion System). 2020 April 24 [cited 2020 Jul 11]. https://www.fda.gov/media/136156/download","type":"article-journal"},"uris":["http://www.mendeley.com/documents/?uuid=54c09098-03b1-49d4-ba54-83bcc8397239"]}],"mendeley":{"formattedCitation":"(&lt;i&gt;17&lt;/i&gt;)","plainTextFormattedCitation":"(17)","previouslyFormattedCitation":"(&lt;i&gt;17&lt;/i&gt;)"},"properties":{"noteIndex":0},"schema":"https://github.com/citation-style-language/schema/raw/master/csl-citation.json"}</w:instrText>
            </w:r>
            <w:r>
              <w:rPr>
                <w:rFonts w:ascii="Arial" w:eastAsia="Arial" w:hAnsi="Arial" w:cs="Arial"/>
                <w:sz w:val="16"/>
                <w:szCs w:val="16"/>
              </w:rPr>
              <w:fldChar w:fldCharType="separate"/>
            </w:r>
            <w:r w:rsidR="00597F3E" w:rsidRPr="00597F3E">
              <w:rPr>
                <w:rFonts w:ascii="Arial" w:eastAsia="Arial" w:hAnsi="Arial" w:cs="Arial"/>
                <w:noProof/>
                <w:sz w:val="16"/>
                <w:szCs w:val="16"/>
              </w:rPr>
              <w:t>(</w:t>
            </w:r>
            <w:r w:rsidR="00597F3E" w:rsidRPr="00597F3E">
              <w:rPr>
                <w:rFonts w:ascii="Arial" w:eastAsia="Arial" w:hAnsi="Arial" w:cs="Arial"/>
                <w:i/>
                <w:noProof/>
                <w:sz w:val="16"/>
                <w:szCs w:val="16"/>
              </w:rPr>
              <w:t>17</w:t>
            </w:r>
            <w:r w:rsidR="00597F3E" w:rsidRPr="00597F3E">
              <w:rPr>
                <w:rFonts w:ascii="Arial" w:eastAsia="Arial" w:hAnsi="Arial" w:cs="Arial"/>
                <w:noProof/>
                <w:sz w:val="16"/>
                <w:szCs w:val="16"/>
              </w:rPr>
              <w:t>)</w:t>
            </w:r>
            <w:r>
              <w:rPr>
                <w:rFonts w:ascii="Arial" w:eastAsia="Arial" w:hAnsi="Arial" w:cs="Arial"/>
                <w:sz w:val="16"/>
                <w:szCs w:val="16"/>
              </w:rPr>
              <w:fldChar w:fldCharType="end"/>
            </w:r>
          </w:p>
        </w:tc>
      </w:tr>
      <w:tr w:rsidR="004870D5" w:rsidRPr="006D5215" w14:paraId="3E0CDD49" w14:textId="13CDB755" w:rsidTr="00037F13">
        <w:trPr>
          <w:trHeight w:val="216"/>
        </w:trPr>
        <w:tc>
          <w:tcPr>
            <w:cnfStyle w:val="001000000000" w:firstRow="0" w:lastRow="0" w:firstColumn="1" w:lastColumn="0" w:oddVBand="0" w:evenVBand="0" w:oddHBand="0" w:evenHBand="0" w:firstRowFirstColumn="0" w:firstRowLastColumn="0" w:lastRowFirstColumn="0" w:lastRowLastColumn="0"/>
            <w:tcW w:w="1710" w:type="dxa"/>
            <w:vAlign w:val="center"/>
          </w:tcPr>
          <w:p w14:paraId="0237E6EF" w14:textId="7CD1232E" w:rsidR="004870D5" w:rsidRPr="006D5215" w:rsidRDefault="004870D5" w:rsidP="005B7B9C">
            <w:pPr>
              <w:rPr>
                <w:rFonts w:ascii="Arial" w:eastAsia="Arial" w:hAnsi="Arial" w:cs="Arial"/>
                <w:b w:val="0"/>
                <w:bCs w:val="0"/>
                <w:sz w:val="16"/>
                <w:szCs w:val="16"/>
              </w:rPr>
            </w:pPr>
            <w:r w:rsidRPr="006D5215">
              <w:rPr>
                <w:rFonts w:ascii="Arial" w:eastAsia="Arial" w:hAnsi="Arial" w:cs="Arial"/>
                <w:b w:val="0"/>
                <w:bCs w:val="0"/>
                <w:sz w:val="16"/>
                <w:szCs w:val="16"/>
              </w:rPr>
              <w:t>Panther Aptima</w:t>
            </w:r>
            <w:r>
              <w:rPr>
                <w:rFonts w:ascii="Arial" w:eastAsia="Arial" w:hAnsi="Arial" w:cs="Arial"/>
                <w:b w:val="0"/>
                <w:bCs w:val="0"/>
                <w:sz w:val="16"/>
                <w:szCs w:val="16"/>
              </w:rPr>
              <w:t>-M</w:t>
            </w:r>
          </w:p>
        </w:tc>
        <w:tc>
          <w:tcPr>
            <w:tcW w:w="1260" w:type="dxa"/>
            <w:vAlign w:val="center"/>
          </w:tcPr>
          <w:p w14:paraId="0FDE41D5" w14:textId="2A2ACCD6" w:rsidR="004870D5" w:rsidRPr="00B25D95" w:rsidRDefault="004870D5" w:rsidP="005B7B9C">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B25D95">
              <w:rPr>
                <w:rFonts w:ascii="Arial" w:eastAsia="Arial" w:hAnsi="Arial" w:cs="Arial"/>
                <w:sz w:val="16"/>
                <w:szCs w:val="16"/>
              </w:rPr>
              <w:t>ORF1ab</w:t>
            </w:r>
          </w:p>
        </w:tc>
        <w:tc>
          <w:tcPr>
            <w:tcW w:w="1620" w:type="dxa"/>
            <w:vAlign w:val="center"/>
          </w:tcPr>
          <w:p w14:paraId="38DBCB60" w14:textId="03449F86" w:rsidR="004870D5" w:rsidRPr="006D5215" w:rsidRDefault="004870D5" w:rsidP="005B7B9C">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6D5215">
              <w:rPr>
                <w:rFonts w:ascii="Arial" w:eastAsia="Arial" w:hAnsi="Arial" w:cs="Arial"/>
                <w:sz w:val="16"/>
                <w:szCs w:val="16"/>
              </w:rPr>
              <w:t>Reagent Spike-in</w:t>
            </w:r>
          </w:p>
        </w:tc>
        <w:tc>
          <w:tcPr>
            <w:tcW w:w="1080" w:type="dxa"/>
            <w:vAlign w:val="center"/>
          </w:tcPr>
          <w:p w14:paraId="24F6C426" w14:textId="662FC09E" w:rsidR="004870D5" w:rsidRPr="006D5215" w:rsidRDefault="004870D5" w:rsidP="005B7B9C">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6D5215">
              <w:rPr>
                <w:rFonts w:ascii="Arial" w:eastAsia="Arial" w:hAnsi="Arial" w:cs="Arial"/>
                <w:sz w:val="16"/>
                <w:szCs w:val="16"/>
              </w:rPr>
              <w:t>TMA</w:t>
            </w:r>
          </w:p>
        </w:tc>
        <w:tc>
          <w:tcPr>
            <w:tcW w:w="3470" w:type="dxa"/>
            <w:vAlign w:val="center"/>
          </w:tcPr>
          <w:p w14:paraId="24D6E458" w14:textId="03AA2BBB" w:rsidR="004870D5" w:rsidRPr="006D5215" w:rsidRDefault="004870D5" w:rsidP="005B7B9C">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6D5215">
              <w:rPr>
                <w:rFonts w:ascii="Arial" w:eastAsia="Arial" w:hAnsi="Arial" w:cs="Arial"/>
                <w:sz w:val="16"/>
                <w:szCs w:val="16"/>
              </w:rPr>
              <w:t xml:space="preserve">Pools of </w:t>
            </w:r>
            <w:r>
              <w:rPr>
                <w:rFonts w:ascii="Arial" w:eastAsia="Arial" w:hAnsi="Arial" w:cs="Arial"/>
                <w:sz w:val="16"/>
                <w:szCs w:val="16"/>
              </w:rPr>
              <w:t>8 with manufacturer-set RLU cutoff*</w:t>
            </w:r>
          </w:p>
        </w:tc>
        <w:tc>
          <w:tcPr>
            <w:tcW w:w="1224" w:type="dxa"/>
            <w:vAlign w:val="center"/>
          </w:tcPr>
          <w:p w14:paraId="55FEE2E3" w14:textId="6080899E" w:rsidR="004870D5" w:rsidRPr="006D5215" w:rsidRDefault="003665EA" w:rsidP="005B7B9C">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fldChar w:fldCharType="begin" w:fldLock="1"/>
            </w:r>
            <w:r w:rsidR="00597F3E">
              <w:rPr>
                <w:rFonts w:ascii="Arial" w:eastAsia="Arial" w:hAnsi="Arial" w:cs="Arial"/>
                <w:sz w:val="16"/>
                <w:szCs w:val="16"/>
              </w:rPr>
              <w:instrText>ADDIN CSL_CITATION {"citationItems":[{"id":"ITEM-1","itemData":{"abstract":"The Aptima® SARS-CoV-2 assay is a nucleic acid amplification in vitro diagnostic test intended for the qualitative detection of RNA from SARS-CoV-2 isolated and purified from nasopharyngeal (NP), nasal, mid-turbinate and oropharyngeal (OP) swab specimens, nasopharyngeal wash/ aspirate or nasal aspirates obtained from individuals meeting COVID-19 clinical and/or epidemiological criteria. The Aptima SARS-CoV-2 assay is for use only under Emergency Use Authorization (EUA) in the US laboratories certified under the Clinical Laboratory Improvement Amendments of 1988 (CLIA), 42 U.S.C. §263a, to perform high complexity tests. Results are for the identification of SARS-CoV-2 RNA. The SARS-CoV-2 RNA is generally detectable in upper respiratory specimens during the acute phase of infection. Positive results are indicative of the presence of SARS-CoV-2 RNA, clinical correlation with patient history and other diagnostic information is necessary to determine patient infection status. Positive results do not rule out bacterial infection or co-infection with other viruses. Laboratories within the United States and its territories are required to report all positive results to the appropriate public health authorities. Negative results do not preclude SARS-CoV-2 infection and should not be used as the sole basis for patient management decisions. Negative results must be combined with clinical observations, patient history, and epidemiological information. The Aptima SARS-CoV-2 assay on the Panther® and Panther Fusion® system is intended for use by qualified clinical laboratory personnel specifically instructed and trained in the operation of the Panther and Panther Fusion systems and in vitro diagnostic procedures. The Aptima SARS- CoV-2 assay is only for use under the Food and Drug Administration’s Emergency Use Authorization.","id":"ITEM-1","issued":{"date-parts":[["0"]]},"title":"Food and Drug Administration. EUA Summary: Aptima SARS-CoV-2. 2020 May 14 [cited 2020 Jul 11]. https://www.fda.gov/media/138096/download","type":"article-journal"},"uris":["http://www.mendeley.com/documents/?uuid=f0b2691e-5966-4449-98ba-3cccf00255cc"]}],"mendeley":{"formattedCitation":"(&lt;i&gt;18&lt;/i&gt;)","plainTextFormattedCitation":"(18)","previouslyFormattedCitation":"(&lt;i&gt;18&lt;/i&gt;)"},"properties":{"noteIndex":0},"schema":"https://github.com/citation-style-language/schema/raw/master/csl-citation.json"}</w:instrText>
            </w:r>
            <w:r>
              <w:rPr>
                <w:rFonts w:ascii="Arial" w:eastAsia="Arial" w:hAnsi="Arial" w:cs="Arial"/>
                <w:sz w:val="16"/>
                <w:szCs w:val="16"/>
              </w:rPr>
              <w:fldChar w:fldCharType="separate"/>
            </w:r>
            <w:r w:rsidR="00597F3E" w:rsidRPr="00597F3E">
              <w:rPr>
                <w:rFonts w:ascii="Arial" w:eastAsia="Arial" w:hAnsi="Arial" w:cs="Arial"/>
                <w:noProof/>
                <w:sz w:val="16"/>
                <w:szCs w:val="16"/>
              </w:rPr>
              <w:t>(</w:t>
            </w:r>
            <w:r w:rsidR="00597F3E" w:rsidRPr="00597F3E">
              <w:rPr>
                <w:rFonts w:ascii="Arial" w:eastAsia="Arial" w:hAnsi="Arial" w:cs="Arial"/>
                <w:i/>
                <w:noProof/>
                <w:sz w:val="16"/>
                <w:szCs w:val="16"/>
              </w:rPr>
              <w:t>18</w:t>
            </w:r>
            <w:r w:rsidR="00597F3E" w:rsidRPr="00597F3E">
              <w:rPr>
                <w:rFonts w:ascii="Arial" w:eastAsia="Arial" w:hAnsi="Arial" w:cs="Arial"/>
                <w:noProof/>
                <w:sz w:val="16"/>
                <w:szCs w:val="16"/>
              </w:rPr>
              <w:t>)</w:t>
            </w:r>
            <w:r>
              <w:rPr>
                <w:rFonts w:ascii="Arial" w:eastAsia="Arial" w:hAnsi="Arial" w:cs="Arial"/>
                <w:sz w:val="16"/>
                <w:szCs w:val="16"/>
              </w:rPr>
              <w:fldChar w:fldCharType="end"/>
            </w:r>
          </w:p>
        </w:tc>
      </w:tr>
      <w:tr w:rsidR="004870D5" w:rsidRPr="006D5215" w14:paraId="3315D510" w14:textId="2E530258" w:rsidTr="00037F13">
        <w:trPr>
          <w:trHeight w:val="234"/>
        </w:trPr>
        <w:tc>
          <w:tcPr>
            <w:cnfStyle w:val="001000000000" w:firstRow="0" w:lastRow="0" w:firstColumn="1" w:lastColumn="0" w:oddVBand="0" w:evenVBand="0" w:oddHBand="0" w:evenHBand="0" w:firstRowFirstColumn="0" w:firstRowLastColumn="0" w:lastRowFirstColumn="0" w:lastRowLastColumn="0"/>
            <w:tcW w:w="1710" w:type="dxa"/>
            <w:tcBorders>
              <w:bottom w:val="single" w:sz="4" w:space="0" w:color="auto"/>
            </w:tcBorders>
            <w:vAlign w:val="center"/>
          </w:tcPr>
          <w:p w14:paraId="18653405" w14:textId="45C1DC95" w:rsidR="004870D5" w:rsidRPr="006D5215" w:rsidRDefault="004870D5" w:rsidP="005B7B9C">
            <w:pPr>
              <w:rPr>
                <w:rFonts w:ascii="Arial" w:eastAsia="Arial" w:hAnsi="Arial" w:cs="Arial"/>
                <w:b w:val="0"/>
                <w:bCs w:val="0"/>
                <w:sz w:val="16"/>
                <w:szCs w:val="16"/>
              </w:rPr>
            </w:pPr>
            <w:r>
              <w:rPr>
                <w:rFonts w:ascii="Arial" w:eastAsia="Arial" w:hAnsi="Arial" w:cs="Arial"/>
                <w:b w:val="0"/>
                <w:bCs w:val="0"/>
                <w:sz w:val="16"/>
                <w:szCs w:val="16"/>
              </w:rPr>
              <w:t>Panther Aptima-350</w:t>
            </w:r>
          </w:p>
        </w:tc>
        <w:tc>
          <w:tcPr>
            <w:tcW w:w="1260" w:type="dxa"/>
            <w:tcBorders>
              <w:bottom w:val="single" w:sz="4" w:space="0" w:color="auto"/>
            </w:tcBorders>
            <w:vAlign w:val="center"/>
          </w:tcPr>
          <w:p w14:paraId="7D89624E" w14:textId="6C741264" w:rsidR="004870D5" w:rsidRPr="00B25D95" w:rsidRDefault="004870D5" w:rsidP="005B7B9C">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B25D95">
              <w:rPr>
                <w:rFonts w:ascii="Arial" w:eastAsia="Arial" w:hAnsi="Arial" w:cs="Arial"/>
                <w:sz w:val="16"/>
                <w:szCs w:val="16"/>
              </w:rPr>
              <w:t>ORF1ab</w:t>
            </w:r>
          </w:p>
        </w:tc>
        <w:tc>
          <w:tcPr>
            <w:tcW w:w="1620" w:type="dxa"/>
            <w:tcBorders>
              <w:bottom w:val="single" w:sz="4" w:space="0" w:color="auto"/>
            </w:tcBorders>
            <w:vAlign w:val="center"/>
          </w:tcPr>
          <w:p w14:paraId="1A8D36E9" w14:textId="37B4E9CE" w:rsidR="004870D5" w:rsidRPr="006D5215" w:rsidRDefault="004870D5" w:rsidP="005B7B9C">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Reagent Spike-in</w:t>
            </w:r>
          </w:p>
        </w:tc>
        <w:tc>
          <w:tcPr>
            <w:tcW w:w="1080" w:type="dxa"/>
            <w:tcBorders>
              <w:bottom w:val="single" w:sz="4" w:space="0" w:color="auto"/>
            </w:tcBorders>
            <w:vAlign w:val="center"/>
          </w:tcPr>
          <w:p w14:paraId="368043C4" w14:textId="46C663F8" w:rsidR="004870D5" w:rsidRPr="006D5215" w:rsidRDefault="004870D5" w:rsidP="005B7B9C">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TMA</w:t>
            </w:r>
          </w:p>
        </w:tc>
        <w:tc>
          <w:tcPr>
            <w:tcW w:w="3470" w:type="dxa"/>
            <w:tcBorders>
              <w:bottom w:val="single" w:sz="4" w:space="0" w:color="auto"/>
            </w:tcBorders>
            <w:vAlign w:val="center"/>
          </w:tcPr>
          <w:p w14:paraId="71B475BD" w14:textId="325C5AE2" w:rsidR="004870D5" w:rsidRPr="006D5215" w:rsidRDefault="004870D5" w:rsidP="005B7B9C">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Pools of 8 with RLU cutoff of &gt;350*</w:t>
            </w:r>
            <w:r w:rsidRPr="00C14A24">
              <w:rPr>
                <w:rFonts w:ascii="Arial" w:eastAsia="Arial" w:hAnsi="Arial" w:cs="Arial"/>
                <w:sz w:val="16"/>
                <w:szCs w:val="16"/>
                <w:vertAlign w:val="superscript"/>
              </w:rPr>
              <w:t>‡</w:t>
            </w:r>
          </w:p>
        </w:tc>
        <w:tc>
          <w:tcPr>
            <w:tcW w:w="1224" w:type="dxa"/>
            <w:tcBorders>
              <w:bottom w:val="single" w:sz="4" w:space="0" w:color="auto"/>
            </w:tcBorders>
            <w:vAlign w:val="center"/>
          </w:tcPr>
          <w:p w14:paraId="418DC8AE" w14:textId="509532E2" w:rsidR="004870D5" w:rsidRDefault="00813988" w:rsidP="005B7B9C">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fldChar w:fldCharType="begin" w:fldLock="1"/>
            </w:r>
            <w:r w:rsidR="00597F3E">
              <w:rPr>
                <w:rFonts w:ascii="Arial" w:eastAsia="Arial" w:hAnsi="Arial" w:cs="Arial"/>
                <w:sz w:val="16"/>
                <w:szCs w:val="16"/>
              </w:rPr>
              <w:instrText>ADDIN CSL_CITATION {"citationItems":[{"id":"ITEM-1","itemData":{"abstract":"The Aptima® SARS-CoV-2 assay is a nucleic acid amplification in vitro diagnostic test intended for the qualitative detection of RNA from SARS-CoV-2 isolated and purified from nasopharyngeal (NP), nasal, mid-turbinate and oropharyngeal (OP) swab specimens, nasopharyngeal wash/ aspirate or nasal aspirates obtained from individuals meeting COVID-19 clinical and/or epidemiological criteria. The Aptima SARS-CoV-2 assay is for use only under Emergency Use Authorization (EUA) in the US laboratories certified under the Clinical Laboratory Improvement Amendments of 1988 (CLIA), 42 U.S.C. §263a, to perform high complexity tests. Results are for the identification of SARS-CoV-2 RNA. The SARS-CoV-2 RNA is generally detectable in upper respiratory specimens during the acute phase of infection. Positive results are indicative of the presence of SARS-CoV-2 RNA, clinical correlation with patient history and other diagnostic information is necessary to determine patient infection status. Positive results do not rule out bacterial infection or co-infection with other viruses. Laboratories within the United States and its territories are required to report all positive results to the appropriate public health authorities. Negative results do not preclude SARS-CoV-2 infection and should not be used as the sole basis for patient management decisions. Negative results must be combined with clinical observations, patient history, and epidemiological information. The Aptima SARS-CoV-2 assay on the Panther® and Panther Fusion® system is intended for use by qualified clinical laboratory personnel specifically instructed and trained in the operation of the Panther and Panther Fusion systems and in vitro diagnostic procedures. The Aptima SARS- CoV-2 assay is only for use under the Food and Drug Administration’s Emergency Use Authorization.","id":"ITEM-1","issued":{"date-parts":[["0"]]},"title":"Food and Drug Administration. EUA Summary: Aptima SARS-CoV-2. 2020 May 14 [cited 2020 Jul 11]. https://www.fda.gov/media/138096/download","type":"article-journal"},"uris":["http://www.mendeley.com/documents/?uuid=f0b2691e-5966-4449-98ba-3cccf00255cc"]}],"mendeley":{"formattedCitation":"(&lt;i&gt;18&lt;/i&gt;)","plainTextFormattedCitation":"(18)","previouslyFormattedCitation":"(&lt;i&gt;18&lt;/i&gt;)"},"properties":{"noteIndex":0},"schema":"https://github.com/citation-style-language/schema/raw/master/csl-citation.json"}</w:instrText>
            </w:r>
            <w:r>
              <w:rPr>
                <w:rFonts w:ascii="Arial" w:eastAsia="Arial" w:hAnsi="Arial" w:cs="Arial"/>
                <w:sz w:val="16"/>
                <w:szCs w:val="16"/>
              </w:rPr>
              <w:fldChar w:fldCharType="separate"/>
            </w:r>
            <w:r w:rsidR="00597F3E" w:rsidRPr="00597F3E">
              <w:rPr>
                <w:rFonts w:ascii="Arial" w:eastAsia="Arial" w:hAnsi="Arial" w:cs="Arial"/>
                <w:noProof/>
                <w:sz w:val="16"/>
                <w:szCs w:val="16"/>
              </w:rPr>
              <w:t>(</w:t>
            </w:r>
            <w:r w:rsidR="00597F3E" w:rsidRPr="00597F3E">
              <w:rPr>
                <w:rFonts w:ascii="Arial" w:eastAsia="Arial" w:hAnsi="Arial" w:cs="Arial"/>
                <w:i/>
                <w:noProof/>
                <w:sz w:val="16"/>
                <w:szCs w:val="16"/>
              </w:rPr>
              <w:t>18</w:t>
            </w:r>
            <w:r w:rsidR="00597F3E" w:rsidRPr="00597F3E">
              <w:rPr>
                <w:rFonts w:ascii="Arial" w:eastAsia="Arial" w:hAnsi="Arial" w:cs="Arial"/>
                <w:noProof/>
                <w:sz w:val="16"/>
                <w:szCs w:val="16"/>
              </w:rPr>
              <w:t>)</w:t>
            </w:r>
            <w:r>
              <w:rPr>
                <w:rFonts w:ascii="Arial" w:eastAsia="Arial" w:hAnsi="Arial" w:cs="Arial"/>
                <w:sz w:val="16"/>
                <w:szCs w:val="16"/>
              </w:rPr>
              <w:fldChar w:fldCharType="end"/>
            </w:r>
          </w:p>
        </w:tc>
      </w:tr>
      <w:tr w:rsidR="004870D5" w:rsidRPr="006D5215" w14:paraId="3C8B2E7E" w14:textId="77588576" w:rsidTr="00037F13">
        <w:trPr>
          <w:trHeight w:val="1367"/>
        </w:trPr>
        <w:tc>
          <w:tcPr>
            <w:cnfStyle w:val="001000000000" w:firstRow="0" w:lastRow="0" w:firstColumn="1" w:lastColumn="0" w:oddVBand="0" w:evenVBand="0" w:oddHBand="0" w:evenHBand="0" w:firstRowFirstColumn="0" w:firstRowLastColumn="0" w:lastRowFirstColumn="0" w:lastRowLastColumn="0"/>
            <w:tcW w:w="0" w:type="dxa"/>
            <w:gridSpan w:val="6"/>
            <w:tcBorders>
              <w:top w:val="single" w:sz="4" w:space="0" w:color="auto"/>
              <w:bottom w:val="nil"/>
            </w:tcBorders>
            <w:vAlign w:val="bottom"/>
          </w:tcPr>
          <w:p w14:paraId="06691DF2" w14:textId="73BDC0B3" w:rsidR="004870D5" w:rsidRPr="00037F13" w:rsidRDefault="004870D5" w:rsidP="005B7B9C">
            <w:pPr>
              <w:rPr>
                <w:rFonts w:ascii="Arial" w:eastAsia="Arial" w:hAnsi="Arial" w:cs="Arial"/>
                <w:bCs w:val="0"/>
                <w:sz w:val="16"/>
                <w:szCs w:val="16"/>
              </w:rPr>
            </w:pPr>
            <w:r>
              <w:rPr>
                <w:rFonts w:ascii="Arial" w:eastAsia="Arial" w:hAnsi="Arial" w:cs="Arial"/>
                <w:b w:val="0"/>
                <w:sz w:val="16"/>
                <w:szCs w:val="16"/>
              </w:rPr>
              <w:t>*Pooled testing strategy assessed empirically at Stanford Clinical Virology Laboratory, with individual samples evaluated by LDT.</w:t>
            </w:r>
          </w:p>
          <w:p w14:paraId="09AE7B26" w14:textId="77777777" w:rsidR="004870D5" w:rsidRPr="004870D5" w:rsidRDefault="004870D5" w:rsidP="005B7B9C">
            <w:pPr>
              <w:rPr>
                <w:rFonts w:ascii="Arial" w:eastAsia="Arial" w:hAnsi="Arial" w:cs="Arial"/>
                <w:b w:val="0"/>
                <w:sz w:val="16"/>
                <w:szCs w:val="16"/>
              </w:rPr>
            </w:pPr>
            <w:r w:rsidRPr="00C14A24">
              <w:rPr>
                <w:rFonts w:ascii="Arial" w:eastAsia="Arial" w:hAnsi="Arial" w:cs="Arial"/>
                <w:sz w:val="16"/>
                <w:szCs w:val="16"/>
                <w:vertAlign w:val="superscript"/>
              </w:rPr>
              <w:t>†</w:t>
            </w:r>
            <w:r>
              <w:rPr>
                <w:rFonts w:ascii="Arial" w:eastAsia="Arial" w:hAnsi="Arial" w:cs="Arial"/>
                <w:b w:val="0"/>
                <w:sz w:val="16"/>
                <w:szCs w:val="16"/>
              </w:rPr>
              <w:t xml:space="preserve">Pooled testing strategy assessed via </w:t>
            </w:r>
            <w:r>
              <w:rPr>
                <w:rFonts w:ascii="Arial" w:eastAsia="Arial" w:hAnsi="Arial" w:cs="Arial"/>
                <w:b w:val="0"/>
                <w:i/>
                <w:sz w:val="16"/>
                <w:szCs w:val="16"/>
              </w:rPr>
              <w:t>in-silico</w:t>
            </w:r>
            <w:r>
              <w:rPr>
                <w:rFonts w:ascii="Arial" w:eastAsia="Arial" w:hAnsi="Arial" w:cs="Arial"/>
                <w:b w:val="0"/>
                <w:sz w:val="16"/>
                <w:szCs w:val="16"/>
              </w:rPr>
              <w:t xml:space="preserve"> sensitivity analysis, with individual samples evaluated by Panther Fusion.</w:t>
            </w:r>
          </w:p>
          <w:p w14:paraId="05B7170F" w14:textId="77777777" w:rsidR="004870D5" w:rsidRPr="00037F13" w:rsidRDefault="004870D5" w:rsidP="005B7B9C">
            <w:pPr>
              <w:rPr>
                <w:rFonts w:ascii="Arial" w:eastAsia="Arial" w:hAnsi="Arial" w:cs="Arial"/>
                <w:b w:val="0"/>
                <w:sz w:val="16"/>
                <w:szCs w:val="16"/>
              </w:rPr>
            </w:pPr>
            <w:r w:rsidRPr="00C14A24">
              <w:rPr>
                <w:rFonts w:ascii="Arial" w:eastAsia="Arial" w:hAnsi="Arial" w:cs="Arial"/>
                <w:sz w:val="16"/>
                <w:szCs w:val="16"/>
                <w:vertAlign w:val="superscript"/>
              </w:rPr>
              <w:t>‡</w:t>
            </w:r>
            <w:r w:rsidRPr="00687C15">
              <w:rPr>
                <w:rFonts w:ascii="Arial" w:eastAsia="Arial" w:hAnsi="Arial" w:cs="Arial"/>
                <w:b w:val="0"/>
                <w:sz w:val="16"/>
                <w:szCs w:val="16"/>
              </w:rPr>
              <w:t xml:space="preserve"> Panther Aptima RLU cutoff of 350 selected based on receiver operating characteristic</w:t>
            </w:r>
            <w:r>
              <w:rPr>
                <w:rFonts w:ascii="Arial" w:eastAsia="Arial" w:hAnsi="Arial" w:cs="Arial"/>
                <w:b w:val="0"/>
                <w:sz w:val="16"/>
                <w:szCs w:val="16"/>
              </w:rPr>
              <w:t xml:space="preserve"> curve</w:t>
            </w:r>
            <w:r w:rsidRPr="00687C15">
              <w:rPr>
                <w:rFonts w:ascii="Arial" w:eastAsia="Arial" w:hAnsi="Arial" w:cs="Arial"/>
                <w:b w:val="0"/>
                <w:sz w:val="16"/>
                <w:szCs w:val="16"/>
              </w:rPr>
              <w:t xml:space="preserve"> (Appendix Figure 1).</w:t>
            </w:r>
          </w:p>
          <w:p w14:paraId="1A05004C" w14:textId="5BFC3B0B" w:rsidR="004870D5" w:rsidRPr="00687C15" w:rsidDel="004870D5" w:rsidRDefault="004870D5" w:rsidP="005B7B9C">
            <w:pPr>
              <w:rPr>
                <w:rFonts w:ascii="Arial" w:eastAsia="Arial" w:hAnsi="Arial" w:cs="Arial"/>
                <w:b w:val="0"/>
                <w:sz w:val="16"/>
                <w:szCs w:val="16"/>
              </w:rPr>
            </w:pPr>
            <w:r w:rsidRPr="00687C15">
              <w:rPr>
                <w:rFonts w:ascii="Arial" w:eastAsia="Arial" w:hAnsi="Arial" w:cs="Arial"/>
                <w:b w:val="0"/>
                <w:sz w:val="16"/>
                <w:szCs w:val="16"/>
              </w:rPr>
              <w:t xml:space="preserve">LDT, lab developed test; </w:t>
            </w:r>
            <w:r w:rsidRPr="00687C15">
              <w:rPr>
                <w:rFonts w:ascii="Arial" w:eastAsia="Arial" w:hAnsi="Arial" w:cs="Arial"/>
                <w:b w:val="0"/>
                <w:i/>
                <w:sz w:val="16"/>
                <w:szCs w:val="16"/>
              </w:rPr>
              <w:t xml:space="preserve">E </w:t>
            </w:r>
            <w:r w:rsidRPr="00687C15">
              <w:rPr>
                <w:rFonts w:ascii="Arial" w:eastAsia="Arial" w:hAnsi="Arial" w:cs="Arial"/>
                <w:b w:val="0"/>
                <w:sz w:val="16"/>
                <w:szCs w:val="16"/>
              </w:rPr>
              <w:t xml:space="preserve">gene, gene encoding SARS-CoV-2 envelope protein; </w:t>
            </w:r>
            <w:r w:rsidRPr="00687C15">
              <w:rPr>
                <w:rFonts w:ascii="Arial" w:eastAsia="Arial" w:hAnsi="Arial" w:cs="Arial"/>
                <w:b w:val="0"/>
                <w:i/>
                <w:sz w:val="16"/>
                <w:szCs w:val="16"/>
              </w:rPr>
              <w:t>R</w:t>
            </w:r>
            <w:r>
              <w:rPr>
                <w:rFonts w:ascii="Arial" w:eastAsia="Arial" w:hAnsi="Arial" w:cs="Arial"/>
                <w:b w:val="0"/>
                <w:i/>
                <w:sz w:val="16"/>
                <w:szCs w:val="16"/>
              </w:rPr>
              <w:t>N</w:t>
            </w:r>
            <w:r w:rsidRPr="00687C15">
              <w:rPr>
                <w:rFonts w:ascii="Arial" w:eastAsia="Arial" w:hAnsi="Arial" w:cs="Arial"/>
                <w:b w:val="0"/>
                <w:i/>
                <w:sz w:val="16"/>
                <w:szCs w:val="16"/>
              </w:rPr>
              <w:t>ase P</w:t>
            </w:r>
            <w:r w:rsidRPr="00687C15">
              <w:rPr>
                <w:rFonts w:ascii="Arial" w:eastAsia="Arial" w:hAnsi="Arial" w:cs="Arial"/>
                <w:b w:val="0"/>
                <w:sz w:val="16"/>
                <w:szCs w:val="16"/>
              </w:rPr>
              <w:t xml:space="preserve">, gene encoding ribonuclease P; </w:t>
            </w:r>
            <w:proofErr w:type="spellStart"/>
            <w:r w:rsidRPr="00687C15">
              <w:rPr>
                <w:rFonts w:ascii="Arial" w:eastAsia="Arial" w:hAnsi="Arial" w:cs="Arial"/>
                <w:b w:val="0"/>
                <w:sz w:val="16"/>
                <w:szCs w:val="16"/>
              </w:rPr>
              <w:t>rRT</w:t>
            </w:r>
            <w:proofErr w:type="spellEnd"/>
            <w:r w:rsidRPr="00687C15">
              <w:rPr>
                <w:rFonts w:ascii="Arial" w:eastAsia="Arial" w:hAnsi="Arial" w:cs="Arial"/>
                <w:b w:val="0"/>
                <w:sz w:val="16"/>
                <w:szCs w:val="16"/>
              </w:rPr>
              <w:t xml:space="preserve">-PCR, real-time reverse transcription polymerase chain reaction; </w:t>
            </w:r>
            <w:r w:rsidRPr="00B25D95">
              <w:rPr>
                <w:rFonts w:ascii="Arial" w:eastAsia="Arial" w:hAnsi="Arial" w:cs="Arial"/>
                <w:b w:val="0"/>
                <w:bCs w:val="0"/>
                <w:iCs/>
                <w:sz w:val="16"/>
                <w:szCs w:val="16"/>
              </w:rPr>
              <w:t>ORF1ab</w:t>
            </w:r>
            <w:r w:rsidRPr="00687C15">
              <w:rPr>
                <w:rFonts w:ascii="Arial" w:eastAsia="Arial" w:hAnsi="Arial" w:cs="Arial"/>
                <w:b w:val="0"/>
                <w:i/>
                <w:sz w:val="16"/>
                <w:szCs w:val="16"/>
              </w:rPr>
              <w:t>,</w:t>
            </w:r>
            <w:r w:rsidRPr="00687C15">
              <w:rPr>
                <w:rFonts w:ascii="Arial" w:eastAsia="Arial" w:hAnsi="Arial" w:cs="Arial"/>
                <w:b w:val="0"/>
                <w:sz w:val="16"/>
                <w:szCs w:val="16"/>
              </w:rPr>
              <w:t xml:space="preserve"> gene encoding SARS-CoV-2 replicase polyprotein 1 ab;</w:t>
            </w:r>
            <w:r w:rsidRPr="00687C15">
              <w:rPr>
                <w:rFonts w:ascii="Arial" w:eastAsia="Arial" w:hAnsi="Arial" w:cs="Arial"/>
                <w:b w:val="0"/>
                <w:i/>
                <w:sz w:val="16"/>
                <w:szCs w:val="16"/>
              </w:rPr>
              <w:t xml:space="preserve"> </w:t>
            </w:r>
            <w:r w:rsidRPr="00687C15">
              <w:rPr>
                <w:rFonts w:ascii="Arial" w:eastAsia="Arial" w:hAnsi="Arial" w:cs="Arial"/>
                <w:b w:val="0"/>
                <w:sz w:val="16"/>
                <w:szCs w:val="16"/>
              </w:rPr>
              <w:t>TMA, transcription-mediated amplification; RLU, relative light unit; Panther Aptima-M, Panther Aptima with manufacturer-set relative light unit cutoff; Panther Aptima-350, Panther Aptima with relative light unit cutoff of &gt;350 considered positive.</w:t>
            </w:r>
          </w:p>
        </w:tc>
      </w:tr>
    </w:tbl>
    <w:p w14:paraId="50F5049C" w14:textId="59695206" w:rsidR="00B25D95" w:rsidRDefault="00B25D95">
      <w:pPr>
        <w:rPr>
          <w:rFonts w:eastAsia="Arial"/>
        </w:rPr>
      </w:pPr>
      <w:r>
        <w:rPr>
          <w:rFonts w:eastAsia="Arial"/>
        </w:rPr>
        <w:br w:type="page"/>
      </w:r>
    </w:p>
    <w:p w14:paraId="32551E7E" w14:textId="23176CA1" w:rsidR="00492F59" w:rsidRPr="00687C15" w:rsidRDefault="00492F59" w:rsidP="00492F59">
      <w:pPr>
        <w:spacing w:line="480" w:lineRule="auto"/>
        <w:rPr>
          <w:rFonts w:eastAsia="Arial"/>
        </w:rPr>
      </w:pPr>
      <w:r w:rsidRPr="00B1770D">
        <w:rPr>
          <w:rFonts w:eastAsia="Arial"/>
          <w:b/>
          <w:bCs/>
        </w:rPr>
        <w:lastRenderedPageBreak/>
        <w:t xml:space="preserve">Table </w:t>
      </w:r>
      <w:r>
        <w:rPr>
          <w:rFonts w:eastAsia="Arial"/>
          <w:b/>
          <w:bCs/>
        </w:rPr>
        <w:t>2</w:t>
      </w:r>
      <w:r w:rsidRPr="00B1770D">
        <w:rPr>
          <w:rFonts w:eastAsia="Arial"/>
          <w:b/>
          <w:bCs/>
        </w:rPr>
        <w:t>.</w:t>
      </w:r>
      <w:r w:rsidRPr="006F1059">
        <w:rPr>
          <w:rFonts w:eastAsia="Arial"/>
        </w:rPr>
        <w:t xml:space="preserve"> </w:t>
      </w:r>
      <w:r w:rsidR="00CA0330">
        <w:rPr>
          <w:rFonts w:eastAsia="Arial"/>
        </w:rPr>
        <w:t xml:space="preserve">Proportion of positive SARS-CoV-2 tests </w:t>
      </w:r>
      <w:r w:rsidR="00D005ED">
        <w:rPr>
          <w:rFonts w:eastAsia="Arial"/>
        </w:rPr>
        <w:t>with</w:t>
      </w:r>
      <w:r w:rsidR="00CA0330">
        <w:rPr>
          <w:rFonts w:eastAsia="Arial"/>
        </w:rPr>
        <w:t xml:space="preserve"> median </w:t>
      </w:r>
      <w:r w:rsidR="00CA0330" w:rsidRPr="00CA0330">
        <w:rPr>
          <w:rFonts w:eastAsia="Arial"/>
        </w:rPr>
        <w:t>C</w:t>
      </w:r>
      <w:r w:rsidR="00CA0330" w:rsidRPr="00CA0330">
        <w:rPr>
          <w:rFonts w:eastAsia="Arial"/>
          <w:vertAlign w:val="subscript"/>
        </w:rPr>
        <w:t>t</w:t>
      </w:r>
      <w:r w:rsidR="00CA0330">
        <w:rPr>
          <w:rFonts w:eastAsia="Arial"/>
        </w:rPr>
        <w:t xml:space="preserve"> values</w:t>
      </w:r>
      <w:r w:rsidR="00D005ED">
        <w:rPr>
          <w:rFonts w:eastAsia="Arial"/>
        </w:rPr>
        <w:t xml:space="preserve"> in pooled testing and laboratory-wide clinical testing datasets, subset by testing indication</w:t>
      </w:r>
    </w:p>
    <w:tbl>
      <w:tblPr>
        <w:tblStyle w:val="PlainTable21"/>
        <w:tblW w:w="9720" w:type="dxa"/>
        <w:tblInd w:w="-151" w:type="dxa"/>
        <w:tblLayout w:type="fixed"/>
        <w:tblCellMar>
          <w:left w:w="29" w:type="dxa"/>
          <w:right w:w="29" w:type="dxa"/>
        </w:tblCellMar>
        <w:tblLook w:val="06A0" w:firstRow="1" w:lastRow="0" w:firstColumn="1" w:lastColumn="0" w:noHBand="1" w:noVBand="1"/>
      </w:tblPr>
      <w:tblGrid>
        <w:gridCol w:w="79"/>
        <w:gridCol w:w="1250"/>
        <w:gridCol w:w="1607"/>
        <w:gridCol w:w="1428"/>
        <w:gridCol w:w="1339"/>
        <w:gridCol w:w="1339"/>
        <w:gridCol w:w="1339"/>
        <w:gridCol w:w="1339"/>
      </w:tblGrid>
      <w:tr w:rsidR="00492F59" w:rsidRPr="004F5C12" w14:paraId="63335F0A" w14:textId="77777777" w:rsidTr="00224E1A">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260" w:type="dxa"/>
            <w:gridSpan w:val="2"/>
            <w:vMerge w:val="restart"/>
            <w:vAlign w:val="center"/>
          </w:tcPr>
          <w:p w14:paraId="067F8B36" w14:textId="3A590921" w:rsidR="00492F59" w:rsidRPr="004F5C12" w:rsidRDefault="00492F59" w:rsidP="00224E1A">
            <w:pPr>
              <w:rPr>
                <w:rFonts w:ascii="Arial" w:eastAsia="Arial" w:hAnsi="Arial" w:cs="Arial"/>
                <w:b w:val="0"/>
                <w:sz w:val="16"/>
                <w:szCs w:val="16"/>
              </w:rPr>
            </w:pPr>
            <w:r>
              <w:rPr>
                <w:rFonts w:ascii="Arial" w:eastAsia="Arial" w:hAnsi="Arial" w:cs="Arial"/>
                <w:b w:val="0"/>
                <w:sz w:val="16"/>
                <w:szCs w:val="16"/>
              </w:rPr>
              <w:t>Dataset</w:t>
            </w:r>
          </w:p>
        </w:tc>
        <w:tc>
          <w:tcPr>
            <w:tcW w:w="4410" w:type="dxa"/>
            <w:gridSpan w:val="3"/>
            <w:vAlign w:val="center"/>
          </w:tcPr>
          <w:p w14:paraId="660C5C60" w14:textId="77777777" w:rsidR="00492F59" w:rsidRPr="004F5C12" w:rsidRDefault="00492F59" w:rsidP="00224E1A">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sz w:val="16"/>
                <w:szCs w:val="16"/>
              </w:rPr>
            </w:pPr>
            <w:r w:rsidRPr="004F5C12">
              <w:rPr>
                <w:rFonts w:ascii="Arial" w:eastAsia="Arial" w:hAnsi="Arial" w:cs="Arial"/>
                <w:b w:val="0"/>
                <w:sz w:val="16"/>
                <w:szCs w:val="16"/>
              </w:rPr>
              <w:t>No. positive samples/No. total samples (%)</w:t>
            </w:r>
          </w:p>
        </w:tc>
        <w:tc>
          <w:tcPr>
            <w:tcW w:w="4050" w:type="dxa"/>
            <w:gridSpan w:val="3"/>
            <w:vAlign w:val="center"/>
          </w:tcPr>
          <w:p w14:paraId="0340ACD7" w14:textId="77777777" w:rsidR="00492F59" w:rsidRPr="004F5C12" w:rsidRDefault="00492F59" w:rsidP="00224E1A">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sz w:val="16"/>
                <w:szCs w:val="16"/>
              </w:rPr>
            </w:pPr>
            <w:r w:rsidRPr="004F5C12">
              <w:rPr>
                <w:rFonts w:ascii="Arial" w:eastAsia="Arial" w:hAnsi="Arial" w:cs="Arial"/>
                <w:b w:val="0"/>
                <w:sz w:val="16"/>
                <w:szCs w:val="16"/>
              </w:rPr>
              <w:t xml:space="preserve">Median </w:t>
            </w:r>
            <w:r w:rsidRPr="004F5C12">
              <w:rPr>
                <w:rFonts w:ascii="Arial" w:eastAsia="Arial" w:hAnsi="Arial" w:cs="Arial"/>
                <w:b w:val="0"/>
                <w:bCs w:val="0"/>
                <w:sz w:val="16"/>
                <w:szCs w:val="16"/>
              </w:rPr>
              <w:t>C</w:t>
            </w:r>
            <w:r w:rsidRPr="004F5C12">
              <w:rPr>
                <w:rFonts w:ascii="Arial" w:eastAsia="Arial" w:hAnsi="Arial" w:cs="Arial"/>
                <w:b w:val="0"/>
                <w:bCs w:val="0"/>
                <w:sz w:val="16"/>
                <w:szCs w:val="16"/>
                <w:vertAlign w:val="subscript"/>
              </w:rPr>
              <w:t>t</w:t>
            </w:r>
            <w:r w:rsidRPr="004F5C12">
              <w:rPr>
                <w:rFonts w:ascii="Arial" w:eastAsia="Arial" w:hAnsi="Arial" w:cs="Arial"/>
                <w:b w:val="0"/>
                <w:bCs w:val="0"/>
                <w:sz w:val="16"/>
                <w:szCs w:val="16"/>
              </w:rPr>
              <w:t xml:space="preserve"> value</w:t>
            </w:r>
            <w:r w:rsidRPr="004F5C12">
              <w:rPr>
                <w:rFonts w:ascii="Arial" w:eastAsia="Arial" w:hAnsi="Arial" w:cs="Arial"/>
                <w:b w:val="0"/>
                <w:sz w:val="16"/>
                <w:szCs w:val="16"/>
              </w:rPr>
              <w:t xml:space="preserve"> (IQR)</w:t>
            </w:r>
          </w:p>
        </w:tc>
      </w:tr>
      <w:tr w:rsidR="00492F59" w:rsidRPr="004F5C12" w14:paraId="7F15BB98" w14:textId="77777777" w:rsidTr="00224E1A">
        <w:trPr>
          <w:trHeight w:val="242"/>
        </w:trPr>
        <w:tc>
          <w:tcPr>
            <w:cnfStyle w:val="001000000000" w:firstRow="0" w:lastRow="0" w:firstColumn="1" w:lastColumn="0" w:oddVBand="0" w:evenVBand="0" w:oddHBand="0" w:evenHBand="0" w:firstRowFirstColumn="0" w:firstRowLastColumn="0" w:lastRowFirstColumn="0" w:lastRowLastColumn="0"/>
            <w:tcW w:w="1260" w:type="dxa"/>
            <w:gridSpan w:val="2"/>
            <w:vMerge/>
            <w:tcBorders>
              <w:bottom w:val="single" w:sz="4" w:space="0" w:color="auto"/>
            </w:tcBorders>
            <w:vAlign w:val="center"/>
          </w:tcPr>
          <w:p w14:paraId="44D1DF8C" w14:textId="77777777" w:rsidR="00492F59" w:rsidRPr="004F5C12" w:rsidRDefault="00492F59" w:rsidP="00224E1A">
            <w:pPr>
              <w:rPr>
                <w:rFonts w:ascii="Arial" w:eastAsia="Arial" w:hAnsi="Arial" w:cs="Arial"/>
                <w:b w:val="0"/>
                <w:sz w:val="16"/>
                <w:szCs w:val="16"/>
              </w:rPr>
            </w:pPr>
          </w:p>
        </w:tc>
        <w:tc>
          <w:tcPr>
            <w:tcW w:w="1620" w:type="dxa"/>
            <w:tcBorders>
              <w:bottom w:val="single" w:sz="4" w:space="0" w:color="auto"/>
            </w:tcBorders>
            <w:vAlign w:val="center"/>
          </w:tcPr>
          <w:p w14:paraId="4279D154"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4F5C12">
              <w:rPr>
                <w:rFonts w:ascii="Arial" w:eastAsia="Arial" w:hAnsi="Arial" w:cs="Arial"/>
                <w:sz w:val="16"/>
                <w:szCs w:val="16"/>
              </w:rPr>
              <w:t>All</w:t>
            </w:r>
          </w:p>
        </w:tc>
        <w:tc>
          <w:tcPr>
            <w:tcW w:w="1440" w:type="dxa"/>
            <w:tcBorders>
              <w:bottom w:val="single" w:sz="4" w:space="0" w:color="auto"/>
            </w:tcBorders>
            <w:vAlign w:val="center"/>
          </w:tcPr>
          <w:p w14:paraId="56606AB1"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4F5C12">
              <w:rPr>
                <w:rFonts w:ascii="Arial" w:eastAsia="Arial" w:hAnsi="Arial" w:cs="Arial"/>
                <w:sz w:val="16"/>
                <w:szCs w:val="16"/>
              </w:rPr>
              <w:t>First</w:t>
            </w:r>
          </w:p>
        </w:tc>
        <w:tc>
          <w:tcPr>
            <w:tcW w:w="1350" w:type="dxa"/>
            <w:tcBorders>
              <w:bottom w:val="single" w:sz="4" w:space="0" w:color="auto"/>
            </w:tcBorders>
            <w:vAlign w:val="center"/>
          </w:tcPr>
          <w:p w14:paraId="4BE9E6B6"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4F5C12">
              <w:rPr>
                <w:rFonts w:ascii="Arial" w:eastAsia="Arial" w:hAnsi="Arial" w:cs="Arial"/>
                <w:sz w:val="16"/>
                <w:szCs w:val="16"/>
              </w:rPr>
              <w:t>Follow-up</w:t>
            </w:r>
          </w:p>
        </w:tc>
        <w:tc>
          <w:tcPr>
            <w:tcW w:w="1350" w:type="dxa"/>
            <w:tcBorders>
              <w:bottom w:val="single" w:sz="4" w:space="0" w:color="auto"/>
            </w:tcBorders>
            <w:vAlign w:val="center"/>
          </w:tcPr>
          <w:p w14:paraId="6744A8DC"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4F5C12">
              <w:rPr>
                <w:rFonts w:ascii="Arial" w:eastAsia="Arial" w:hAnsi="Arial" w:cs="Arial"/>
                <w:sz w:val="16"/>
                <w:szCs w:val="16"/>
              </w:rPr>
              <w:t>All</w:t>
            </w:r>
          </w:p>
        </w:tc>
        <w:tc>
          <w:tcPr>
            <w:tcW w:w="1350" w:type="dxa"/>
            <w:tcBorders>
              <w:bottom w:val="single" w:sz="4" w:space="0" w:color="auto"/>
            </w:tcBorders>
            <w:vAlign w:val="center"/>
          </w:tcPr>
          <w:p w14:paraId="500EEA78"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4F5C12">
              <w:rPr>
                <w:rFonts w:ascii="Arial" w:eastAsia="Arial" w:hAnsi="Arial" w:cs="Arial"/>
                <w:sz w:val="16"/>
                <w:szCs w:val="16"/>
              </w:rPr>
              <w:t>First</w:t>
            </w:r>
          </w:p>
        </w:tc>
        <w:tc>
          <w:tcPr>
            <w:tcW w:w="1350" w:type="dxa"/>
            <w:tcBorders>
              <w:bottom w:val="single" w:sz="4" w:space="0" w:color="auto"/>
            </w:tcBorders>
            <w:vAlign w:val="center"/>
          </w:tcPr>
          <w:p w14:paraId="6745E2AC"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4F5C12">
              <w:rPr>
                <w:rFonts w:ascii="Arial" w:eastAsia="Arial" w:hAnsi="Arial" w:cs="Arial"/>
                <w:sz w:val="16"/>
                <w:szCs w:val="16"/>
              </w:rPr>
              <w:t>Follow-up</w:t>
            </w:r>
          </w:p>
        </w:tc>
      </w:tr>
      <w:tr w:rsidR="00492F59" w:rsidRPr="004F5C12" w14:paraId="6C0AA064" w14:textId="77777777" w:rsidTr="00224E1A">
        <w:trPr>
          <w:trHeight w:val="269"/>
        </w:trPr>
        <w:tc>
          <w:tcPr>
            <w:cnfStyle w:val="001000000000" w:firstRow="0" w:lastRow="0" w:firstColumn="1" w:lastColumn="0" w:oddVBand="0" w:evenVBand="0" w:oddHBand="0" w:evenHBand="0" w:firstRowFirstColumn="0" w:firstRowLastColumn="0" w:lastRowFirstColumn="0" w:lastRowLastColumn="0"/>
            <w:tcW w:w="1260" w:type="dxa"/>
            <w:gridSpan w:val="2"/>
            <w:tcBorders>
              <w:top w:val="single" w:sz="4" w:space="0" w:color="auto"/>
              <w:bottom w:val="single" w:sz="4" w:space="0" w:color="auto"/>
            </w:tcBorders>
            <w:vAlign w:val="center"/>
          </w:tcPr>
          <w:p w14:paraId="7FCAB19F" w14:textId="77777777" w:rsidR="00492F59" w:rsidRPr="004F5C12" w:rsidRDefault="00492F59" w:rsidP="00224E1A">
            <w:pPr>
              <w:rPr>
                <w:rFonts w:ascii="Arial" w:eastAsia="Arial" w:hAnsi="Arial" w:cs="Arial"/>
                <w:sz w:val="16"/>
                <w:szCs w:val="16"/>
              </w:rPr>
            </w:pPr>
            <w:r>
              <w:rPr>
                <w:rFonts w:ascii="Arial" w:eastAsia="Arial" w:hAnsi="Arial" w:cs="Arial"/>
                <w:b w:val="0"/>
                <w:sz w:val="16"/>
                <w:szCs w:val="16"/>
              </w:rPr>
              <w:t>Pools of 8*</w:t>
            </w:r>
          </w:p>
        </w:tc>
        <w:tc>
          <w:tcPr>
            <w:tcW w:w="1620" w:type="dxa"/>
            <w:tcBorders>
              <w:top w:val="single" w:sz="4" w:space="0" w:color="auto"/>
              <w:bottom w:val="single" w:sz="4" w:space="0" w:color="auto"/>
            </w:tcBorders>
            <w:vAlign w:val="center"/>
          </w:tcPr>
          <w:p w14:paraId="1E0D2743"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4F5C12">
              <w:rPr>
                <w:rFonts w:ascii="Arial" w:eastAsia="Arial" w:hAnsi="Arial" w:cs="Arial"/>
                <w:sz w:val="16"/>
                <w:szCs w:val="16"/>
              </w:rPr>
              <w:t>5</w:t>
            </w:r>
            <w:r>
              <w:rPr>
                <w:rFonts w:ascii="Arial" w:eastAsia="Arial" w:hAnsi="Arial" w:cs="Arial"/>
                <w:sz w:val="16"/>
                <w:szCs w:val="16"/>
              </w:rPr>
              <w:t>8</w:t>
            </w:r>
            <w:r w:rsidRPr="004F5C12">
              <w:rPr>
                <w:rFonts w:ascii="Arial" w:eastAsia="Arial" w:hAnsi="Arial" w:cs="Arial"/>
                <w:sz w:val="16"/>
                <w:szCs w:val="16"/>
              </w:rPr>
              <w:t>/880 (6.</w:t>
            </w:r>
            <w:r>
              <w:rPr>
                <w:rFonts w:ascii="Arial" w:eastAsia="Arial" w:hAnsi="Arial" w:cs="Arial"/>
                <w:sz w:val="16"/>
                <w:szCs w:val="16"/>
              </w:rPr>
              <w:t>6</w:t>
            </w:r>
            <w:r w:rsidRPr="004F5C12">
              <w:rPr>
                <w:rFonts w:ascii="Arial" w:eastAsia="Arial" w:hAnsi="Arial" w:cs="Arial"/>
                <w:sz w:val="16"/>
                <w:szCs w:val="16"/>
              </w:rPr>
              <w:t>%)</w:t>
            </w:r>
          </w:p>
        </w:tc>
        <w:tc>
          <w:tcPr>
            <w:tcW w:w="1440" w:type="dxa"/>
            <w:tcBorders>
              <w:top w:val="single" w:sz="4" w:space="0" w:color="auto"/>
              <w:bottom w:val="single" w:sz="4" w:space="0" w:color="auto"/>
            </w:tcBorders>
            <w:vAlign w:val="center"/>
          </w:tcPr>
          <w:p w14:paraId="79A7EA9C"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24/657 (3.7%)</w:t>
            </w:r>
          </w:p>
        </w:tc>
        <w:tc>
          <w:tcPr>
            <w:tcW w:w="1350" w:type="dxa"/>
            <w:tcBorders>
              <w:top w:val="single" w:sz="4" w:space="0" w:color="auto"/>
              <w:bottom w:val="single" w:sz="4" w:space="0" w:color="auto"/>
            </w:tcBorders>
            <w:vAlign w:val="center"/>
          </w:tcPr>
          <w:p w14:paraId="39E0687F"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34/223 (15.2%)</w:t>
            </w:r>
          </w:p>
        </w:tc>
        <w:tc>
          <w:tcPr>
            <w:tcW w:w="1350" w:type="dxa"/>
            <w:tcBorders>
              <w:top w:val="single" w:sz="4" w:space="0" w:color="auto"/>
              <w:bottom w:val="single" w:sz="4" w:space="0" w:color="auto"/>
            </w:tcBorders>
            <w:vAlign w:val="center"/>
          </w:tcPr>
          <w:p w14:paraId="7115937F"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134629">
              <w:rPr>
                <w:rFonts w:ascii="Arial" w:eastAsia="Arial" w:hAnsi="Arial" w:cs="Arial"/>
                <w:bCs/>
                <w:sz w:val="16"/>
                <w:szCs w:val="16"/>
              </w:rPr>
              <w:t>31.4 (22.1-35.5)</w:t>
            </w:r>
          </w:p>
        </w:tc>
        <w:tc>
          <w:tcPr>
            <w:tcW w:w="1350" w:type="dxa"/>
            <w:tcBorders>
              <w:top w:val="single" w:sz="4" w:space="0" w:color="auto"/>
              <w:bottom w:val="single" w:sz="4" w:space="0" w:color="auto"/>
            </w:tcBorders>
            <w:vAlign w:val="center"/>
          </w:tcPr>
          <w:p w14:paraId="63C8544A"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24.4 (18.4-33.1)</w:t>
            </w:r>
          </w:p>
        </w:tc>
        <w:tc>
          <w:tcPr>
            <w:tcW w:w="1350" w:type="dxa"/>
            <w:tcBorders>
              <w:top w:val="single" w:sz="4" w:space="0" w:color="auto"/>
              <w:bottom w:val="single" w:sz="4" w:space="0" w:color="auto"/>
            </w:tcBorders>
            <w:vAlign w:val="center"/>
          </w:tcPr>
          <w:p w14:paraId="17567D1E"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34.1 (29.0-36.8)</w:t>
            </w:r>
          </w:p>
        </w:tc>
      </w:tr>
      <w:tr w:rsidR="00492F59" w:rsidRPr="004F5C12" w14:paraId="1BFAA351" w14:textId="77777777" w:rsidTr="00224E1A">
        <w:trPr>
          <w:trHeight w:val="260"/>
        </w:trPr>
        <w:tc>
          <w:tcPr>
            <w:cnfStyle w:val="001000000000" w:firstRow="0" w:lastRow="0" w:firstColumn="1" w:lastColumn="0" w:oddVBand="0" w:evenVBand="0" w:oddHBand="0" w:evenHBand="0" w:firstRowFirstColumn="0" w:firstRowLastColumn="0" w:lastRowFirstColumn="0" w:lastRowLastColumn="0"/>
            <w:tcW w:w="1260" w:type="dxa"/>
            <w:gridSpan w:val="2"/>
            <w:tcBorders>
              <w:top w:val="single" w:sz="4" w:space="0" w:color="auto"/>
            </w:tcBorders>
            <w:vAlign w:val="center"/>
          </w:tcPr>
          <w:p w14:paraId="6EB81AE1" w14:textId="77777777" w:rsidR="00492F59" w:rsidRPr="004F5C12" w:rsidRDefault="00492F59" w:rsidP="00224E1A">
            <w:pPr>
              <w:rPr>
                <w:rFonts w:ascii="Arial" w:eastAsia="Arial" w:hAnsi="Arial" w:cs="Arial"/>
                <w:b w:val="0"/>
                <w:sz w:val="16"/>
                <w:szCs w:val="16"/>
              </w:rPr>
            </w:pPr>
            <w:r>
              <w:rPr>
                <w:rFonts w:ascii="Arial" w:eastAsia="Arial" w:hAnsi="Arial" w:cs="Arial"/>
                <w:b w:val="0"/>
                <w:sz w:val="16"/>
                <w:szCs w:val="16"/>
              </w:rPr>
              <w:t>Pools of 4</w:t>
            </w:r>
            <w:r w:rsidRPr="00C55F63">
              <w:rPr>
                <w:rFonts w:ascii="Arial" w:eastAsia="Arial" w:hAnsi="Arial" w:cs="Arial"/>
                <w:b w:val="0"/>
                <w:sz w:val="16"/>
                <w:szCs w:val="16"/>
                <w:vertAlign w:val="superscript"/>
              </w:rPr>
              <w:t>†</w:t>
            </w:r>
          </w:p>
        </w:tc>
        <w:tc>
          <w:tcPr>
            <w:tcW w:w="1620" w:type="dxa"/>
            <w:tcBorders>
              <w:top w:val="single" w:sz="4" w:space="0" w:color="auto"/>
            </w:tcBorders>
            <w:vAlign w:val="center"/>
          </w:tcPr>
          <w:p w14:paraId="27EC2200"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38/768 (4.9%)</w:t>
            </w:r>
          </w:p>
        </w:tc>
        <w:tc>
          <w:tcPr>
            <w:tcW w:w="1440" w:type="dxa"/>
            <w:tcBorders>
              <w:top w:val="single" w:sz="4" w:space="0" w:color="auto"/>
            </w:tcBorders>
            <w:vAlign w:val="center"/>
          </w:tcPr>
          <w:p w14:paraId="28E12202"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28/491 (5.7%)</w:t>
            </w:r>
          </w:p>
        </w:tc>
        <w:tc>
          <w:tcPr>
            <w:tcW w:w="1350" w:type="dxa"/>
            <w:tcBorders>
              <w:top w:val="single" w:sz="4" w:space="0" w:color="auto"/>
            </w:tcBorders>
            <w:vAlign w:val="center"/>
          </w:tcPr>
          <w:p w14:paraId="5FE26F8E"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10/277 (3.6%)</w:t>
            </w:r>
          </w:p>
        </w:tc>
        <w:tc>
          <w:tcPr>
            <w:tcW w:w="1350" w:type="dxa"/>
            <w:tcBorders>
              <w:top w:val="single" w:sz="4" w:space="0" w:color="auto"/>
            </w:tcBorders>
            <w:vAlign w:val="center"/>
          </w:tcPr>
          <w:p w14:paraId="0CDE89B5"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29.3 (20.3-33.9)</w:t>
            </w:r>
          </w:p>
        </w:tc>
        <w:tc>
          <w:tcPr>
            <w:tcW w:w="1350" w:type="dxa"/>
            <w:tcBorders>
              <w:top w:val="single" w:sz="4" w:space="0" w:color="auto"/>
            </w:tcBorders>
            <w:vAlign w:val="center"/>
          </w:tcPr>
          <w:p w14:paraId="5055A68A"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27.5 (19.4-32.6)</w:t>
            </w:r>
          </w:p>
        </w:tc>
        <w:tc>
          <w:tcPr>
            <w:tcW w:w="1350" w:type="dxa"/>
            <w:tcBorders>
              <w:top w:val="single" w:sz="4" w:space="0" w:color="auto"/>
            </w:tcBorders>
            <w:vAlign w:val="center"/>
          </w:tcPr>
          <w:p w14:paraId="00E2E869"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32.2 (24.9-34.5)</w:t>
            </w:r>
          </w:p>
        </w:tc>
      </w:tr>
      <w:tr w:rsidR="00492F59" w:rsidRPr="004F5C12" w14:paraId="4FBA7D5F" w14:textId="77777777" w:rsidTr="00224E1A">
        <w:trPr>
          <w:trHeight w:val="269"/>
        </w:trPr>
        <w:tc>
          <w:tcPr>
            <w:cnfStyle w:val="001000000000" w:firstRow="0" w:lastRow="0" w:firstColumn="1" w:lastColumn="0" w:oddVBand="0" w:evenVBand="0" w:oddHBand="0" w:evenHBand="0" w:firstRowFirstColumn="0" w:firstRowLastColumn="0" w:lastRowFirstColumn="0" w:lastRowLastColumn="0"/>
            <w:tcW w:w="1260" w:type="dxa"/>
            <w:gridSpan w:val="2"/>
            <w:tcBorders>
              <w:top w:val="single" w:sz="4" w:space="0" w:color="auto"/>
            </w:tcBorders>
            <w:vAlign w:val="center"/>
          </w:tcPr>
          <w:p w14:paraId="7958237B" w14:textId="77777777" w:rsidR="00492F59" w:rsidRPr="00D162C1" w:rsidRDefault="00492F59" w:rsidP="00224E1A">
            <w:pPr>
              <w:rPr>
                <w:rFonts w:ascii="Arial" w:eastAsia="Arial" w:hAnsi="Arial" w:cs="Arial"/>
                <w:b w:val="0"/>
                <w:sz w:val="16"/>
                <w:szCs w:val="16"/>
              </w:rPr>
            </w:pPr>
            <w:r>
              <w:rPr>
                <w:rFonts w:ascii="Arial" w:eastAsia="Arial" w:hAnsi="Arial" w:cs="Arial"/>
                <w:b w:val="0"/>
                <w:sz w:val="16"/>
                <w:szCs w:val="16"/>
              </w:rPr>
              <w:t>Hologic</w:t>
            </w:r>
            <w:r w:rsidRPr="00723E55">
              <w:rPr>
                <w:rFonts w:ascii="Arial" w:eastAsia="Arial" w:hAnsi="Arial" w:cs="Arial"/>
                <w:b w:val="0"/>
                <w:sz w:val="16"/>
                <w:szCs w:val="16"/>
                <w:vertAlign w:val="superscript"/>
              </w:rPr>
              <w:t>‡</w:t>
            </w:r>
          </w:p>
        </w:tc>
        <w:tc>
          <w:tcPr>
            <w:tcW w:w="1620" w:type="dxa"/>
            <w:tcBorders>
              <w:top w:val="single" w:sz="4" w:space="0" w:color="auto"/>
            </w:tcBorders>
            <w:vAlign w:val="center"/>
          </w:tcPr>
          <w:p w14:paraId="45560ED8"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10000/52272 (19.1%)</w:t>
            </w:r>
          </w:p>
        </w:tc>
        <w:tc>
          <w:tcPr>
            <w:tcW w:w="1440" w:type="dxa"/>
            <w:tcBorders>
              <w:top w:val="single" w:sz="4" w:space="0" w:color="auto"/>
            </w:tcBorders>
            <w:vAlign w:val="center"/>
          </w:tcPr>
          <w:p w14:paraId="11845EF2"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1350" w:type="dxa"/>
            <w:tcBorders>
              <w:top w:val="single" w:sz="4" w:space="0" w:color="auto"/>
            </w:tcBorders>
            <w:vAlign w:val="center"/>
          </w:tcPr>
          <w:p w14:paraId="1E3B21AA"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1350" w:type="dxa"/>
            <w:tcBorders>
              <w:top w:val="single" w:sz="4" w:space="0" w:color="auto"/>
            </w:tcBorders>
            <w:vAlign w:val="center"/>
          </w:tcPr>
          <w:p w14:paraId="5D872FA0"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26.2 (20.7-32.6)</w:t>
            </w:r>
          </w:p>
        </w:tc>
        <w:tc>
          <w:tcPr>
            <w:tcW w:w="1350" w:type="dxa"/>
            <w:tcBorders>
              <w:top w:val="single" w:sz="4" w:space="0" w:color="auto"/>
            </w:tcBorders>
            <w:vAlign w:val="center"/>
          </w:tcPr>
          <w:p w14:paraId="263B0829"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w:t>
            </w:r>
          </w:p>
        </w:tc>
        <w:tc>
          <w:tcPr>
            <w:tcW w:w="1350" w:type="dxa"/>
            <w:tcBorders>
              <w:top w:val="single" w:sz="4" w:space="0" w:color="auto"/>
            </w:tcBorders>
            <w:vAlign w:val="center"/>
          </w:tcPr>
          <w:p w14:paraId="41B4CA1C"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w:t>
            </w:r>
          </w:p>
        </w:tc>
      </w:tr>
      <w:tr w:rsidR="00492F59" w:rsidRPr="004F5C12" w14:paraId="7D8B80DD" w14:textId="77777777" w:rsidTr="00224E1A">
        <w:trPr>
          <w:trHeight w:val="269"/>
        </w:trPr>
        <w:tc>
          <w:tcPr>
            <w:cnfStyle w:val="001000000000" w:firstRow="0" w:lastRow="0" w:firstColumn="1" w:lastColumn="0" w:oddVBand="0" w:evenVBand="0" w:oddHBand="0" w:evenHBand="0" w:firstRowFirstColumn="0" w:firstRowLastColumn="0" w:lastRowFirstColumn="0" w:lastRowLastColumn="0"/>
            <w:tcW w:w="1260" w:type="dxa"/>
            <w:gridSpan w:val="2"/>
            <w:tcBorders>
              <w:top w:val="single" w:sz="4" w:space="0" w:color="auto"/>
            </w:tcBorders>
            <w:vAlign w:val="center"/>
          </w:tcPr>
          <w:p w14:paraId="40688040" w14:textId="77777777" w:rsidR="00492F59" w:rsidRPr="004F5C12" w:rsidRDefault="00492F59" w:rsidP="00224E1A">
            <w:pPr>
              <w:rPr>
                <w:rFonts w:ascii="Arial" w:eastAsia="Arial" w:hAnsi="Arial" w:cs="Arial"/>
                <w:sz w:val="16"/>
                <w:szCs w:val="16"/>
              </w:rPr>
            </w:pPr>
            <w:r w:rsidRPr="004F5C12">
              <w:rPr>
                <w:rFonts w:ascii="Arial" w:eastAsia="Arial" w:hAnsi="Arial" w:cs="Arial"/>
                <w:b w:val="0"/>
                <w:sz w:val="16"/>
                <w:szCs w:val="16"/>
              </w:rPr>
              <w:t>Lab-wide</w:t>
            </w:r>
            <w:r w:rsidRPr="004550AC">
              <w:rPr>
                <w:rFonts w:ascii="Arial" w:eastAsia="Arial" w:hAnsi="Arial" w:cs="Arial"/>
                <w:b w:val="0"/>
                <w:sz w:val="16"/>
                <w:szCs w:val="16"/>
                <w:vertAlign w:val="superscript"/>
              </w:rPr>
              <w:t>§</w:t>
            </w:r>
          </w:p>
        </w:tc>
        <w:tc>
          <w:tcPr>
            <w:tcW w:w="1620" w:type="dxa"/>
            <w:tcBorders>
              <w:top w:val="single" w:sz="4" w:space="0" w:color="auto"/>
            </w:tcBorders>
            <w:vAlign w:val="center"/>
          </w:tcPr>
          <w:p w14:paraId="040CEFD2"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4F5C12">
              <w:rPr>
                <w:rFonts w:ascii="Arial" w:eastAsia="Arial" w:hAnsi="Arial" w:cs="Arial"/>
                <w:sz w:val="16"/>
                <w:szCs w:val="16"/>
              </w:rPr>
              <w:t>1358/74162 (1.8%)</w:t>
            </w:r>
          </w:p>
        </w:tc>
        <w:tc>
          <w:tcPr>
            <w:tcW w:w="1440" w:type="dxa"/>
            <w:tcBorders>
              <w:top w:val="single" w:sz="4" w:space="0" w:color="auto"/>
            </w:tcBorders>
            <w:vAlign w:val="center"/>
          </w:tcPr>
          <w:p w14:paraId="7F58F339"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4F5C12">
              <w:rPr>
                <w:rFonts w:ascii="Arial" w:eastAsia="Arial" w:hAnsi="Arial" w:cs="Arial"/>
                <w:sz w:val="16"/>
                <w:szCs w:val="16"/>
              </w:rPr>
              <w:t>1109/66070 (1.7%)</w:t>
            </w:r>
          </w:p>
        </w:tc>
        <w:tc>
          <w:tcPr>
            <w:tcW w:w="1350" w:type="dxa"/>
            <w:tcBorders>
              <w:top w:val="single" w:sz="4" w:space="0" w:color="auto"/>
            </w:tcBorders>
            <w:vAlign w:val="center"/>
          </w:tcPr>
          <w:p w14:paraId="1277CACB"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4F5C12">
              <w:rPr>
                <w:rFonts w:ascii="Arial" w:eastAsia="Arial" w:hAnsi="Arial" w:cs="Arial"/>
                <w:sz w:val="16"/>
                <w:szCs w:val="16"/>
              </w:rPr>
              <w:t>249/8092 (3.1%)</w:t>
            </w:r>
          </w:p>
        </w:tc>
        <w:tc>
          <w:tcPr>
            <w:tcW w:w="1350" w:type="dxa"/>
            <w:tcBorders>
              <w:top w:val="single" w:sz="4" w:space="0" w:color="auto"/>
            </w:tcBorders>
            <w:vAlign w:val="center"/>
          </w:tcPr>
          <w:p w14:paraId="18AB959B"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4F5C12">
              <w:rPr>
                <w:rFonts w:ascii="Arial" w:eastAsia="Arial" w:hAnsi="Arial" w:cs="Arial"/>
                <w:sz w:val="16"/>
                <w:szCs w:val="16"/>
              </w:rPr>
              <w:t>28.5 (23.0-34.3)</w:t>
            </w:r>
          </w:p>
        </w:tc>
        <w:tc>
          <w:tcPr>
            <w:tcW w:w="1350" w:type="dxa"/>
            <w:tcBorders>
              <w:top w:val="single" w:sz="4" w:space="0" w:color="auto"/>
            </w:tcBorders>
            <w:vAlign w:val="center"/>
          </w:tcPr>
          <w:p w14:paraId="09971635"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4F5C12">
              <w:rPr>
                <w:rFonts w:ascii="Arial" w:eastAsia="Arial" w:hAnsi="Arial" w:cs="Arial"/>
                <w:bCs/>
                <w:sz w:val="16"/>
                <w:szCs w:val="16"/>
              </w:rPr>
              <w:t>27.2 (22.2-32.4)</w:t>
            </w:r>
          </w:p>
        </w:tc>
        <w:tc>
          <w:tcPr>
            <w:tcW w:w="1350" w:type="dxa"/>
            <w:tcBorders>
              <w:top w:val="single" w:sz="4" w:space="0" w:color="auto"/>
            </w:tcBorders>
            <w:vAlign w:val="center"/>
          </w:tcPr>
          <w:p w14:paraId="043B99E4"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4F5C12">
              <w:rPr>
                <w:rFonts w:ascii="Arial" w:eastAsia="Arial" w:hAnsi="Arial" w:cs="Arial"/>
                <w:bCs/>
                <w:sz w:val="16"/>
                <w:szCs w:val="16"/>
              </w:rPr>
              <w:t>34.2 (29.0-37.4)</w:t>
            </w:r>
          </w:p>
        </w:tc>
      </w:tr>
      <w:tr w:rsidR="00492F59" w:rsidRPr="004F5C12" w14:paraId="3511F0E4" w14:textId="77777777" w:rsidTr="00224E1A">
        <w:trPr>
          <w:trHeight w:val="270"/>
        </w:trPr>
        <w:tc>
          <w:tcPr>
            <w:cnfStyle w:val="001000000000" w:firstRow="0" w:lastRow="0" w:firstColumn="1" w:lastColumn="0" w:oddVBand="0" w:evenVBand="0" w:oddHBand="0" w:evenHBand="0" w:firstRowFirstColumn="0" w:firstRowLastColumn="0" w:lastRowFirstColumn="0" w:lastRowLastColumn="0"/>
            <w:tcW w:w="0" w:type="dxa"/>
            <w:vAlign w:val="center"/>
          </w:tcPr>
          <w:p w14:paraId="6BDB9199" w14:textId="77777777" w:rsidR="00492F59" w:rsidRPr="004F5C12" w:rsidRDefault="00492F59" w:rsidP="00224E1A">
            <w:pPr>
              <w:rPr>
                <w:rFonts w:ascii="Arial" w:eastAsia="Arial" w:hAnsi="Arial" w:cs="Arial"/>
                <w:b w:val="0"/>
                <w:sz w:val="16"/>
                <w:szCs w:val="16"/>
              </w:rPr>
            </w:pPr>
          </w:p>
        </w:tc>
        <w:tc>
          <w:tcPr>
            <w:tcW w:w="1137" w:type="dxa"/>
            <w:vAlign w:val="center"/>
          </w:tcPr>
          <w:p w14:paraId="616D8966" w14:textId="77777777" w:rsidR="00492F59" w:rsidRPr="004F5C12" w:rsidRDefault="00492F59" w:rsidP="00224E1A">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4F5C12">
              <w:rPr>
                <w:rFonts w:ascii="Arial" w:eastAsia="Arial" w:hAnsi="Arial" w:cs="Arial"/>
                <w:sz w:val="16"/>
                <w:szCs w:val="16"/>
              </w:rPr>
              <w:t>March</w:t>
            </w:r>
          </w:p>
        </w:tc>
        <w:tc>
          <w:tcPr>
            <w:tcW w:w="1620" w:type="dxa"/>
            <w:vAlign w:val="center"/>
          </w:tcPr>
          <w:p w14:paraId="423D00C5"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4F5C12">
              <w:rPr>
                <w:rFonts w:ascii="Arial" w:eastAsia="Arial" w:hAnsi="Arial" w:cs="Arial"/>
                <w:sz w:val="16"/>
                <w:szCs w:val="16"/>
              </w:rPr>
              <w:t>555/8896 (6.2%)</w:t>
            </w:r>
          </w:p>
        </w:tc>
        <w:tc>
          <w:tcPr>
            <w:tcW w:w="1440" w:type="dxa"/>
            <w:vAlign w:val="center"/>
          </w:tcPr>
          <w:p w14:paraId="395362EE"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4F5C12">
              <w:rPr>
                <w:rFonts w:ascii="Arial" w:eastAsia="Arial" w:hAnsi="Arial" w:cs="Arial"/>
                <w:bCs/>
                <w:sz w:val="16"/>
                <w:szCs w:val="16"/>
              </w:rPr>
              <w:t>489/8557 (5.7%)</w:t>
            </w:r>
          </w:p>
        </w:tc>
        <w:tc>
          <w:tcPr>
            <w:tcW w:w="1350" w:type="dxa"/>
            <w:vAlign w:val="center"/>
          </w:tcPr>
          <w:p w14:paraId="4F070460"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4F5C12">
              <w:rPr>
                <w:rFonts w:ascii="Arial" w:eastAsia="Arial" w:hAnsi="Arial" w:cs="Arial"/>
                <w:bCs/>
                <w:sz w:val="16"/>
                <w:szCs w:val="16"/>
              </w:rPr>
              <w:t>66/339 (19.5%)</w:t>
            </w:r>
          </w:p>
        </w:tc>
        <w:tc>
          <w:tcPr>
            <w:tcW w:w="1350" w:type="dxa"/>
            <w:vAlign w:val="center"/>
          </w:tcPr>
          <w:p w14:paraId="5B3FAE64"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4F5C12">
              <w:rPr>
                <w:rFonts w:ascii="Arial" w:eastAsia="Arial" w:hAnsi="Arial" w:cs="Arial"/>
                <w:bCs/>
                <w:sz w:val="16"/>
                <w:szCs w:val="16"/>
              </w:rPr>
              <w:t>26.7 (21.9-31.5)</w:t>
            </w:r>
          </w:p>
        </w:tc>
        <w:tc>
          <w:tcPr>
            <w:tcW w:w="1350" w:type="dxa"/>
            <w:vAlign w:val="center"/>
          </w:tcPr>
          <w:p w14:paraId="3512122A"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4F5C12">
              <w:rPr>
                <w:rFonts w:ascii="Arial" w:eastAsia="Arial" w:hAnsi="Arial" w:cs="Arial"/>
                <w:bCs/>
                <w:sz w:val="16"/>
                <w:szCs w:val="16"/>
              </w:rPr>
              <w:t>26.4 (21.8-31.2)</w:t>
            </w:r>
          </w:p>
        </w:tc>
        <w:tc>
          <w:tcPr>
            <w:tcW w:w="1350" w:type="dxa"/>
            <w:vAlign w:val="center"/>
          </w:tcPr>
          <w:p w14:paraId="114F94F3"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4F5C12">
              <w:rPr>
                <w:rFonts w:ascii="Arial" w:eastAsia="Arial" w:hAnsi="Arial" w:cs="Arial"/>
                <w:bCs/>
                <w:sz w:val="16"/>
                <w:szCs w:val="16"/>
              </w:rPr>
              <w:t>28.6 (22.6-35.2)</w:t>
            </w:r>
          </w:p>
        </w:tc>
      </w:tr>
      <w:tr w:rsidR="00492F59" w:rsidRPr="004F5C12" w14:paraId="0F2B05C3" w14:textId="77777777" w:rsidTr="00224E1A">
        <w:trPr>
          <w:trHeight w:val="261"/>
        </w:trPr>
        <w:tc>
          <w:tcPr>
            <w:cnfStyle w:val="001000000000" w:firstRow="0" w:lastRow="0" w:firstColumn="1" w:lastColumn="0" w:oddVBand="0" w:evenVBand="0" w:oddHBand="0" w:evenHBand="0" w:firstRowFirstColumn="0" w:firstRowLastColumn="0" w:lastRowFirstColumn="0" w:lastRowLastColumn="0"/>
            <w:tcW w:w="0" w:type="dxa"/>
            <w:vAlign w:val="center"/>
          </w:tcPr>
          <w:p w14:paraId="0C5320AA" w14:textId="77777777" w:rsidR="00492F59" w:rsidRPr="004F5C12" w:rsidRDefault="00492F59" w:rsidP="00224E1A">
            <w:pPr>
              <w:rPr>
                <w:rFonts w:ascii="Arial" w:eastAsia="Arial" w:hAnsi="Arial" w:cs="Arial"/>
                <w:b w:val="0"/>
                <w:sz w:val="16"/>
                <w:szCs w:val="16"/>
              </w:rPr>
            </w:pPr>
          </w:p>
        </w:tc>
        <w:tc>
          <w:tcPr>
            <w:tcW w:w="1137" w:type="dxa"/>
            <w:vAlign w:val="center"/>
          </w:tcPr>
          <w:p w14:paraId="6C18D852" w14:textId="77777777" w:rsidR="00492F59" w:rsidRPr="004F5C12" w:rsidRDefault="00492F59" w:rsidP="00224E1A">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4F5C12">
              <w:rPr>
                <w:rFonts w:ascii="Arial" w:eastAsia="Arial" w:hAnsi="Arial" w:cs="Arial"/>
                <w:sz w:val="16"/>
                <w:szCs w:val="16"/>
              </w:rPr>
              <w:t>April</w:t>
            </w:r>
          </w:p>
        </w:tc>
        <w:tc>
          <w:tcPr>
            <w:tcW w:w="1620" w:type="dxa"/>
            <w:vAlign w:val="center"/>
          </w:tcPr>
          <w:p w14:paraId="102FB555"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4F5C12">
              <w:rPr>
                <w:rFonts w:ascii="Arial" w:eastAsia="Arial" w:hAnsi="Arial" w:cs="Arial"/>
                <w:sz w:val="16"/>
                <w:szCs w:val="16"/>
              </w:rPr>
              <w:t>518/22671 (2.3%)</w:t>
            </w:r>
          </w:p>
        </w:tc>
        <w:tc>
          <w:tcPr>
            <w:tcW w:w="1440" w:type="dxa"/>
            <w:vAlign w:val="center"/>
          </w:tcPr>
          <w:p w14:paraId="114C34F4"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4F5C12">
              <w:rPr>
                <w:rFonts w:ascii="Arial" w:eastAsia="Arial" w:hAnsi="Arial" w:cs="Arial"/>
                <w:bCs/>
                <w:sz w:val="16"/>
                <w:szCs w:val="16"/>
              </w:rPr>
              <w:t>404/21167 (1.9%)</w:t>
            </w:r>
          </w:p>
        </w:tc>
        <w:tc>
          <w:tcPr>
            <w:tcW w:w="1350" w:type="dxa"/>
            <w:vAlign w:val="center"/>
          </w:tcPr>
          <w:p w14:paraId="33983B86"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4F5C12">
              <w:rPr>
                <w:rFonts w:ascii="Arial" w:eastAsia="Arial" w:hAnsi="Arial" w:cs="Arial"/>
                <w:bCs/>
                <w:sz w:val="16"/>
                <w:szCs w:val="16"/>
              </w:rPr>
              <w:t>114/1504 (7.5%)</w:t>
            </w:r>
          </w:p>
        </w:tc>
        <w:tc>
          <w:tcPr>
            <w:tcW w:w="1350" w:type="dxa"/>
            <w:vAlign w:val="center"/>
          </w:tcPr>
          <w:p w14:paraId="72305712"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4F5C12">
              <w:rPr>
                <w:rFonts w:ascii="Arial" w:eastAsia="Arial" w:hAnsi="Arial" w:cs="Arial"/>
                <w:bCs/>
                <w:sz w:val="16"/>
                <w:szCs w:val="16"/>
              </w:rPr>
              <w:t>30.6 (24.8-36.0)</w:t>
            </w:r>
          </w:p>
        </w:tc>
        <w:tc>
          <w:tcPr>
            <w:tcW w:w="1350" w:type="dxa"/>
            <w:vAlign w:val="center"/>
          </w:tcPr>
          <w:p w14:paraId="4389541C"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4F5C12">
              <w:rPr>
                <w:rFonts w:ascii="Arial" w:eastAsia="Arial" w:hAnsi="Arial" w:cs="Arial"/>
                <w:bCs/>
                <w:sz w:val="16"/>
                <w:szCs w:val="16"/>
              </w:rPr>
              <w:t>28.8 (22.7-34.6)</w:t>
            </w:r>
          </w:p>
        </w:tc>
        <w:tc>
          <w:tcPr>
            <w:tcW w:w="1350" w:type="dxa"/>
            <w:vAlign w:val="center"/>
          </w:tcPr>
          <w:p w14:paraId="066C98B5"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4F5C12">
              <w:rPr>
                <w:rFonts w:ascii="Arial" w:eastAsia="Arial" w:hAnsi="Arial" w:cs="Arial"/>
                <w:bCs/>
                <w:sz w:val="16"/>
                <w:szCs w:val="16"/>
              </w:rPr>
              <w:t>35.4 (32.9-38.0)</w:t>
            </w:r>
          </w:p>
        </w:tc>
      </w:tr>
      <w:tr w:rsidR="00492F59" w:rsidRPr="004F5C12" w14:paraId="4A30B480" w14:textId="77777777" w:rsidTr="00224E1A">
        <w:trPr>
          <w:trHeight w:val="270"/>
        </w:trPr>
        <w:tc>
          <w:tcPr>
            <w:cnfStyle w:val="001000000000" w:firstRow="0" w:lastRow="0" w:firstColumn="1" w:lastColumn="0" w:oddVBand="0" w:evenVBand="0" w:oddHBand="0" w:evenHBand="0" w:firstRowFirstColumn="0" w:firstRowLastColumn="0" w:lastRowFirstColumn="0" w:lastRowLastColumn="0"/>
            <w:tcW w:w="0" w:type="dxa"/>
            <w:vAlign w:val="center"/>
          </w:tcPr>
          <w:p w14:paraId="0088D18D" w14:textId="77777777" w:rsidR="00492F59" w:rsidRPr="004F5C12" w:rsidRDefault="00492F59" w:rsidP="00224E1A">
            <w:pPr>
              <w:rPr>
                <w:rFonts w:ascii="Arial" w:eastAsia="Arial" w:hAnsi="Arial" w:cs="Arial"/>
                <w:b w:val="0"/>
                <w:sz w:val="16"/>
                <w:szCs w:val="16"/>
              </w:rPr>
            </w:pPr>
          </w:p>
        </w:tc>
        <w:tc>
          <w:tcPr>
            <w:tcW w:w="1137" w:type="dxa"/>
            <w:vAlign w:val="center"/>
          </w:tcPr>
          <w:p w14:paraId="1BDBBB2F" w14:textId="77777777" w:rsidR="00492F59" w:rsidRPr="004F5C12" w:rsidRDefault="00492F59" w:rsidP="00224E1A">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4F5C12">
              <w:rPr>
                <w:rFonts w:ascii="Arial" w:eastAsia="Arial" w:hAnsi="Arial" w:cs="Arial"/>
                <w:sz w:val="16"/>
                <w:szCs w:val="16"/>
              </w:rPr>
              <w:t>May</w:t>
            </w:r>
          </w:p>
        </w:tc>
        <w:tc>
          <w:tcPr>
            <w:tcW w:w="1620" w:type="dxa"/>
            <w:vAlign w:val="center"/>
          </w:tcPr>
          <w:p w14:paraId="57A8ACF3"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4F5C12">
              <w:rPr>
                <w:rFonts w:ascii="Arial" w:eastAsia="Arial" w:hAnsi="Arial" w:cs="Arial"/>
                <w:sz w:val="16"/>
                <w:szCs w:val="16"/>
              </w:rPr>
              <w:t>172/21833 (0.8%)</w:t>
            </w:r>
          </w:p>
        </w:tc>
        <w:tc>
          <w:tcPr>
            <w:tcW w:w="1440" w:type="dxa"/>
            <w:vAlign w:val="center"/>
          </w:tcPr>
          <w:p w14:paraId="7CFFD86D"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4F5C12">
              <w:rPr>
                <w:rFonts w:ascii="Arial" w:eastAsia="Arial" w:hAnsi="Arial" w:cs="Arial"/>
                <w:bCs/>
                <w:sz w:val="16"/>
                <w:szCs w:val="16"/>
              </w:rPr>
              <w:t>136/19505 (0.7%)</w:t>
            </w:r>
          </w:p>
        </w:tc>
        <w:tc>
          <w:tcPr>
            <w:tcW w:w="1350" w:type="dxa"/>
            <w:vAlign w:val="center"/>
          </w:tcPr>
          <w:p w14:paraId="7E1ED690"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4F5C12">
              <w:rPr>
                <w:rFonts w:ascii="Arial" w:eastAsia="Arial" w:hAnsi="Arial" w:cs="Arial"/>
                <w:bCs/>
                <w:sz w:val="16"/>
                <w:szCs w:val="16"/>
              </w:rPr>
              <w:t>36/2328 (1.5%)</w:t>
            </w:r>
          </w:p>
        </w:tc>
        <w:tc>
          <w:tcPr>
            <w:tcW w:w="1350" w:type="dxa"/>
            <w:vAlign w:val="center"/>
          </w:tcPr>
          <w:p w14:paraId="001A5405"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4F5C12">
              <w:rPr>
                <w:rFonts w:ascii="Arial" w:eastAsia="Arial" w:hAnsi="Arial" w:cs="Arial"/>
                <w:bCs/>
                <w:sz w:val="16"/>
                <w:szCs w:val="16"/>
              </w:rPr>
              <w:t>27.5 (23.3-34.7)</w:t>
            </w:r>
          </w:p>
        </w:tc>
        <w:tc>
          <w:tcPr>
            <w:tcW w:w="1350" w:type="dxa"/>
            <w:vAlign w:val="center"/>
          </w:tcPr>
          <w:p w14:paraId="0D15E11E"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4F5C12">
              <w:rPr>
                <w:rFonts w:ascii="Arial" w:eastAsia="Arial" w:hAnsi="Arial" w:cs="Arial"/>
                <w:bCs/>
                <w:sz w:val="16"/>
                <w:szCs w:val="16"/>
              </w:rPr>
              <w:t>26.1 (22.5-31.3)</w:t>
            </w:r>
          </w:p>
        </w:tc>
        <w:tc>
          <w:tcPr>
            <w:tcW w:w="1350" w:type="dxa"/>
            <w:vAlign w:val="center"/>
          </w:tcPr>
          <w:p w14:paraId="1B69F034"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4F5C12">
              <w:rPr>
                <w:rFonts w:ascii="Arial" w:eastAsia="Arial" w:hAnsi="Arial" w:cs="Arial"/>
                <w:bCs/>
                <w:sz w:val="16"/>
                <w:szCs w:val="16"/>
              </w:rPr>
              <w:t>35.4 (30.4-37.3)</w:t>
            </w:r>
          </w:p>
        </w:tc>
      </w:tr>
      <w:tr w:rsidR="00492F59" w:rsidRPr="004F5C12" w14:paraId="1274C130" w14:textId="77777777" w:rsidTr="00224E1A">
        <w:trPr>
          <w:trHeight w:val="252"/>
        </w:trPr>
        <w:tc>
          <w:tcPr>
            <w:cnfStyle w:val="001000000000" w:firstRow="0" w:lastRow="0" w:firstColumn="1" w:lastColumn="0" w:oddVBand="0" w:evenVBand="0" w:oddHBand="0" w:evenHBand="0" w:firstRowFirstColumn="0" w:firstRowLastColumn="0" w:lastRowFirstColumn="0" w:lastRowLastColumn="0"/>
            <w:tcW w:w="0" w:type="dxa"/>
            <w:tcBorders>
              <w:bottom w:val="single" w:sz="4" w:space="0" w:color="auto"/>
            </w:tcBorders>
            <w:vAlign w:val="center"/>
          </w:tcPr>
          <w:p w14:paraId="4989773E" w14:textId="77777777" w:rsidR="00492F59" w:rsidRPr="004F5C12" w:rsidRDefault="00492F59" w:rsidP="00224E1A">
            <w:pPr>
              <w:rPr>
                <w:rFonts w:ascii="Arial" w:eastAsia="Arial" w:hAnsi="Arial" w:cs="Arial"/>
                <w:b w:val="0"/>
                <w:sz w:val="16"/>
                <w:szCs w:val="16"/>
              </w:rPr>
            </w:pPr>
          </w:p>
        </w:tc>
        <w:tc>
          <w:tcPr>
            <w:tcW w:w="0" w:type="dxa"/>
            <w:tcBorders>
              <w:bottom w:val="single" w:sz="4" w:space="0" w:color="auto"/>
            </w:tcBorders>
            <w:vAlign w:val="center"/>
          </w:tcPr>
          <w:p w14:paraId="39B05480" w14:textId="77777777" w:rsidR="00492F59" w:rsidRPr="004F5C12" w:rsidRDefault="00492F59" w:rsidP="00224E1A">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4F5C12">
              <w:rPr>
                <w:rFonts w:ascii="Arial" w:eastAsia="Arial" w:hAnsi="Arial" w:cs="Arial"/>
                <w:sz w:val="16"/>
                <w:szCs w:val="16"/>
              </w:rPr>
              <w:t>June</w:t>
            </w:r>
          </w:p>
        </w:tc>
        <w:tc>
          <w:tcPr>
            <w:tcW w:w="1620" w:type="dxa"/>
            <w:tcBorders>
              <w:bottom w:val="single" w:sz="4" w:space="0" w:color="auto"/>
            </w:tcBorders>
            <w:vAlign w:val="center"/>
          </w:tcPr>
          <w:p w14:paraId="3CA67736"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4F5C12">
              <w:rPr>
                <w:rFonts w:ascii="Arial" w:eastAsia="Arial" w:hAnsi="Arial" w:cs="Arial"/>
                <w:sz w:val="16"/>
                <w:szCs w:val="16"/>
              </w:rPr>
              <w:t>113/20762 (0.5%)</w:t>
            </w:r>
          </w:p>
        </w:tc>
        <w:tc>
          <w:tcPr>
            <w:tcW w:w="0" w:type="dxa"/>
            <w:tcBorders>
              <w:bottom w:val="single" w:sz="4" w:space="0" w:color="auto"/>
            </w:tcBorders>
            <w:vAlign w:val="center"/>
          </w:tcPr>
          <w:p w14:paraId="59381BBF"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4F5C12">
              <w:rPr>
                <w:rFonts w:ascii="Arial" w:eastAsia="Arial" w:hAnsi="Arial" w:cs="Arial"/>
                <w:bCs/>
                <w:sz w:val="16"/>
                <w:szCs w:val="16"/>
              </w:rPr>
              <w:t>80/16841 (0.5%)</w:t>
            </w:r>
          </w:p>
        </w:tc>
        <w:tc>
          <w:tcPr>
            <w:tcW w:w="1350" w:type="dxa"/>
            <w:tcBorders>
              <w:bottom w:val="single" w:sz="4" w:space="0" w:color="auto"/>
            </w:tcBorders>
            <w:vAlign w:val="center"/>
          </w:tcPr>
          <w:p w14:paraId="588D5304"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4F5C12">
              <w:rPr>
                <w:rFonts w:ascii="Arial" w:eastAsia="Arial" w:hAnsi="Arial" w:cs="Arial"/>
                <w:bCs/>
                <w:sz w:val="16"/>
                <w:szCs w:val="16"/>
              </w:rPr>
              <w:t>33/3921 (0.84%)</w:t>
            </w:r>
          </w:p>
        </w:tc>
        <w:tc>
          <w:tcPr>
            <w:tcW w:w="0" w:type="dxa"/>
            <w:tcBorders>
              <w:bottom w:val="single" w:sz="4" w:space="0" w:color="auto"/>
            </w:tcBorders>
            <w:vAlign w:val="center"/>
          </w:tcPr>
          <w:p w14:paraId="40B6981F"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4F5C12">
              <w:rPr>
                <w:rFonts w:ascii="Arial" w:eastAsia="Arial" w:hAnsi="Arial" w:cs="Arial"/>
                <w:bCs/>
                <w:sz w:val="16"/>
                <w:szCs w:val="16"/>
              </w:rPr>
              <w:t>28.2 (21.2-33.6)</w:t>
            </w:r>
          </w:p>
        </w:tc>
        <w:tc>
          <w:tcPr>
            <w:tcW w:w="0" w:type="dxa"/>
            <w:tcBorders>
              <w:bottom w:val="single" w:sz="4" w:space="0" w:color="auto"/>
            </w:tcBorders>
            <w:vAlign w:val="center"/>
          </w:tcPr>
          <w:p w14:paraId="37F6A4AB"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4F5C12">
              <w:rPr>
                <w:rFonts w:ascii="Arial" w:eastAsia="Arial" w:hAnsi="Arial" w:cs="Arial"/>
                <w:bCs/>
                <w:sz w:val="16"/>
                <w:szCs w:val="16"/>
              </w:rPr>
              <w:t>27.4 (21.3-32.7)</w:t>
            </w:r>
          </w:p>
        </w:tc>
        <w:tc>
          <w:tcPr>
            <w:tcW w:w="0" w:type="dxa"/>
            <w:tcBorders>
              <w:bottom w:val="single" w:sz="4" w:space="0" w:color="auto"/>
            </w:tcBorders>
            <w:vAlign w:val="center"/>
          </w:tcPr>
          <w:p w14:paraId="0C1811EF"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4F5C12">
              <w:rPr>
                <w:rFonts w:ascii="Arial" w:eastAsia="Arial" w:hAnsi="Arial" w:cs="Arial"/>
                <w:bCs/>
                <w:sz w:val="16"/>
                <w:szCs w:val="16"/>
              </w:rPr>
              <w:t>30.6 (20.2-34.4)</w:t>
            </w:r>
          </w:p>
        </w:tc>
      </w:tr>
      <w:tr w:rsidR="00492F59" w:rsidRPr="004F5C12" w14:paraId="04B4AF6D" w14:textId="77777777" w:rsidTr="00224E1A">
        <w:trPr>
          <w:trHeight w:val="773"/>
        </w:trPr>
        <w:tc>
          <w:tcPr>
            <w:cnfStyle w:val="001000000000" w:firstRow="0" w:lastRow="0" w:firstColumn="1" w:lastColumn="0" w:oddVBand="0" w:evenVBand="0" w:oddHBand="0" w:evenHBand="0" w:firstRowFirstColumn="0" w:firstRowLastColumn="0" w:lastRowFirstColumn="0" w:lastRowLastColumn="0"/>
            <w:tcW w:w="9720" w:type="dxa"/>
            <w:gridSpan w:val="8"/>
            <w:tcBorders>
              <w:top w:val="single" w:sz="4" w:space="0" w:color="auto"/>
              <w:bottom w:val="nil"/>
            </w:tcBorders>
            <w:vAlign w:val="center"/>
          </w:tcPr>
          <w:p w14:paraId="24240D3B" w14:textId="77777777" w:rsidR="00492F59" w:rsidRDefault="00492F59" w:rsidP="00224E1A">
            <w:pPr>
              <w:rPr>
                <w:rFonts w:ascii="Arial" w:eastAsia="Arial" w:hAnsi="Arial" w:cs="Arial"/>
                <w:bCs w:val="0"/>
                <w:sz w:val="16"/>
                <w:szCs w:val="16"/>
              </w:rPr>
            </w:pPr>
            <w:r w:rsidRPr="00687C15">
              <w:rPr>
                <w:rFonts w:ascii="Arial" w:eastAsia="Arial" w:hAnsi="Arial" w:cs="Arial"/>
                <w:b w:val="0"/>
                <w:sz w:val="16"/>
                <w:szCs w:val="16"/>
              </w:rPr>
              <w:t>*</w:t>
            </w:r>
            <w:r>
              <w:rPr>
                <w:rFonts w:ascii="Arial" w:eastAsia="Arial" w:hAnsi="Arial" w:cs="Arial"/>
                <w:b w:val="0"/>
                <w:sz w:val="16"/>
                <w:szCs w:val="16"/>
              </w:rPr>
              <w:t>Pools of 8 specimens were tested in our clinical laboratory from</w:t>
            </w:r>
            <w:r w:rsidRPr="00687C15">
              <w:rPr>
                <w:rFonts w:ascii="Arial" w:eastAsia="Arial" w:hAnsi="Arial" w:cs="Arial"/>
                <w:b w:val="0"/>
                <w:sz w:val="16"/>
                <w:szCs w:val="16"/>
              </w:rPr>
              <w:t xml:space="preserve"> 6/10/2020-6/19/2020.</w:t>
            </w:r>
          </w:p>
          <w:p w14:paraId="161C4C28" w14:textId="77777777" w:rsidR="00492F59" w:rsidRPr="00D162C1" w:rsidRDefault="00492F59" w:rsidP="00224E1A">
            <w:pPr>
              <w:rPr>
                <w:rFonts w:ascii="Arial" w:eastAsia="Arial" w:hAnsi="Arial" w:cs="Arial"/>
                <w:bCs w:val="0"/>
                <w:sz w:val="16"/>
                <w:szCs w:val="16"/>
                <w:vertAlign w:val="superscript"/>
              </w:rPr>
            </w:pPr>
            <w:r w:rsidRPr="00C55F63">
              <w:rPr>
                <w:rFonts w:ascii="Arial" w:eastAsia="Arial" w:hAnsi="Arial" w:cs="Arial"/>
                <w:b w:val="0"/>
                <w:sz w:val="16"/>
                <w:szCs w:val="16"/>
                <w:vertAlign w:val="superscript"/>
              </w:rPr>
              <w:t>†</w:t>
            </w:r>
            <w:r>
              <w:rPr>
                <w:rFonts w:ascii="Arial" w:eastAsia="Arial" w:hAnsi="Arial" w:cs="Arial"/>
                <w:b w:val="0"/>
                <w:sz w:val="16"/>
                <w:szCs w:val="16"/>
              </w:rPr>
              <w:t>Pools of 4 specimens were tested in our clinical laboratory from 7/6/2020-7/23/2020.</w:t>
            </w:r>
          </w:p>
          <w:p w14:paraId="56A24517" w14:textId="77777777" w:rsidR="00492F59" w:rsidRPr="00242C55" w:rsidRDefault="00492F59" w:rsidP="00224E1A">
            <w:pPr>
              <w:rPr>
                <w:rFonts w:ascii="Arial" w:eastAsia="Arial" w:hAnsi="Arial" w:cs="Arial"/>
                <w:b w:val="0"/>
                <w:sz w:val="16"/>
                <w:szCs w:val="16"/>
              </w:rPr>
            </w:pPr>
            <w:r w:rsidRPr="00723E55">
              <w:rPr>
                <w:rFonts w:ascii="Arial" w:eastAsia="Arial" w:hAnsi="Arial" w:cs="Arial"/>
                <w:b w:val="0"/>
                <w:sz w:val="16"/>
                <w:szCs w:val="16"/>
                <w:vertAlign w:val="superscript"/>
              </w:rPr>
              <w:t>‡</w:t>
            </w:r>
            <w:r>
              <w:rPr>
                <w:rFonts w:ascii="Arial" w:eastAsia="Arial" w:hAnsi="Arial" w:cs="Arial"/>
                <w:b w:val="0"/>
                <w:sz w:val="16"/>
                <w:szCs w:val="16"/>
              </w:rPr>
              <w:t>Hologic data set is comprised of specimens tested clinically by Panther Fusion from 3/1/2020-7/31/2020 at two different external sites. These data were used to perform in silico sensitivity analysis to evaluate pool sizes of 3 and 5.</w:t>
            </w:r>
          </w:p>
          <w:p w14:paraId="2A4163CA" w14:textId="77777777" w:rsidR="00492F59" w:rsidRPr="00687C15" w:rsidRDefault="00492F59" w:rsidP="00224E1A">
            <w:pPr>
              <w:rPr>
                <w:rFonts w:ascii="Arial" w:eastAsia="Arial" w:hAnsi="Arial" w:cs="Arial"/>
                <w:b w:val="0"/>
                <w:sz w:val="16"/>
                <w:szCs w:val="16"/>
              </w:rPr>
            </w:pPr>
            <w:r w:rsidRPr="004550AC">
              <w:rPr>
                <w:rFonts w:ascii="Arial" w:eastAsia="Arial" w:hAnsi="Arial" w:cs="Arial"/>
                <w:b w:val="0"/>
                <w:sz w:val="16"/>
                <w:szCs w:val="16"/>
                <w:vertAlign w:val="superscript"/>
              </w:rPr>
              <w:t>§</w:t>
            </w:r>
            <w:r w:rsidRPr="00687C15">
              <w:rPr>
                <w:rFonts w:ascii="Arial" w:eastAsia="Arial" w:hAnsi="Arial" w:cs="Arial"/>
                <w:b w:val="0"/>
                <w:sz w:val="16"/>
                <w:szCs w:val="16"/>
              </w:rPr>
              <w:t>Lab</w:t>
            </w:r>
            <w:r>
              <w:rPr>
                <w:rFonts w:ascii="Arial" w:eastAsia="Arial" w:hAnsi="Arial" w:cs="Arial"/>
                <w:b w:val="0"/>
                <w:sz w:val="16"/>
                <w:szCs w:val="16"/>
              </w:rPr>
              <w:t>oratory</w:t>
            </w:r>
            <w:r w:rsidRPr="00687C15">
              <w:rPr>
                <w:rFonts w:ascii="Arial" w:eastAsia="Arial" w:hAnsi="Arial" w:cs="Arial"/>
                <w:b w:val="0"/>
                <w:sz w:val="16"/>
                <w:szCs w:val="16"/>
              </w:rPr>
              <w:t>-wide samples data set is comprised of clinical specimens from 3/1/2020-6/24/2020.</w:t>
            </w:r>
          </w:p>
          <w:p w14:paraId="299E0D75" w14:textId="77777777" w:rsidR="00492F59" w:rsidRPr="00687C15" w:rsidRDefault="00492F59" w:rsidP="00224E1A">
            <w:pPr>
              <w:rPr>
                <w:rFonts w:ascii="Arial" w:eastAsia="Arial" w:hAnsi="Arial" w:cs="Arial"/>
                <w:b w:val="0"/>
                <w:sz w:val="16"/>
                <w:szCs w:val="16"/>
              </w:rPr>
            </w:pPr>
            <w:r w:rsidRPr="00687C15">
              <w:rPr>
                <w:rFonts w:ascii="Arial" w:eastAsia="Arial" w:hAnsi="Arial" w:cs="Arial"/>
                <w:b w:val="0"/>
                <w:sz w:val="16"/>
                <w:szCs w:val="16"/>
              </w:rPr>
              <w:t>No., number; C</w:t>
            </w:r>
            <w:r w:rsidRPr="00687C15">
              <w:rPr>
                <w:rFonts w:ascii="Arial" w:eastAsia="Arial" w:hAnsi="Arial" w:cs="Arial"/>
                <w:b w:val="0"/>
                <w:sz w:val="16"/>
                <w:szCs w:val="16"/>
                <w:vertAlign w:val="subscript"/>
              </w:rPr>
              <w:t>t</w:t>
            </w:r>
            <w:r w:rsidRPr="00687C15">
              <w:rPr>
                <w:rFonts w:ascii="Arial" w:eastAsia="Arial" w:hAnsi="Arial" w:cs="Arial"/>
                <w:b w:val="0"/>
                <w:sz w:val="16"/>
                <w:szCs w:val="16"/>
              </w:rPr>
              <w:t>, cycle threshold; IQR, interquartile range.</w:t>
            </w:r>
          </w:p>
          <w:p w14:paraId="2F770983" w14:textId="77777777" w:rsidR="00492F59" w:rsidRPr="004F5C12" w:rsidRDefault="00492F59" w:rsidP="00224E1A">
            <w:pPr>
              <w:rPr>
                <w:rFonts w:ascii="Arial" w:eastAsia="Arial" w:hAnsi="Arial" w:cs="Arial"/>
                <w:bCs w:val="0"/>
                <w:sz w:val="16"/>
                <w:szCs w:val="16"/>
              </w:rPr>
            </w:pPr>
          </w:p>
        </w:tc>
      </w:tr>
    </w:tbl>
    <w:p w14:paraId="49B878CD" w14:textId="77777777" w:rsidR="00492F59" w:rsidRDefault="00492F59">
      <w:pPr>
        <w:rPr>
          <w:rFonts w:eastAsia="Arial"/>
          <w:b/>
          <w:bCs/>
        </w:rPr>
      </w:pPr>
      <w:r>
        <w:rPr>
          <w:rFonts w:eastAsia="Arial"/>
          <w:b/>
          <w:bCs/>
        </w:rPr>
        <w:br w:type="page"/>
      </w:r>
    </w:p>
    <w:p w14:paraId="11C3E8E4" w14:textId="5D830C65" w:rsidR="0025422A" w:rsidRPr="00687C15" w:rsidRDefault="00F00EC8" w:rsidP="00814D6B">
      <w:pPr>
        <w:spacing w:line="480" w:lineRule="auto"/>
        <w:rPr>
          <w:rFonts w:eastAsia="Arial"/>
        </w:rPr>
      </w:pPr>
      <w:r w:rsidRPr="00B1770D">
        <w:rPr>
          <w:rFonts w:eastAsia="Arial"/>
          <w:b/>
          <w:bCs/>
        </w:rPr>
        <w:lastRenderedPageBreak/>
        <w:t xml:space="preserve">Table </w:t>
      </w:r>
      <w:r w:rsidR="00492F59">
        <w:rPr>
          <w:rFonts w:eastAsia="Arial"/>
          <w:b/>
          <w:bCs/>
        </w:rPr>
        <w:t>3</w:t>
      </w:r>
      <w:r w:rsidRPr="00B1770D">
        <w:rPr>
          <w:rFonts w:eastAsia="Arial"/>
          <w:b/>
          <w:bCs/>
        </w:rPr>
        <w:t>.</w:t>
      </w:r>
      <w:r w:rsidRPr="006F1059">
        <w:rPr>
          <w:rFonts w:eastAsia="Arial"/>
        </w:rPr>
        <w:t xml:space="preserve"> </w:t>
      </w:r>
      <w:r w:rsidR="004D6AC1">
        <w:rPr>
          <w:rFonts w:eastAsia="Arial"/>
        </w:rPr>
        <w:t>Results of 8-sample pooled testing, by testing platform and number of positive specimens per pool (n=110)</w:t>
      </w:r>
    </w:p>
    <w:tbl>
      <w:tblPr>
        <w:tblStyle w:val="PlainTable21"/>
        <w:tblW w:w="0" w:type="auto"/>
        <w:tblInd w:w="-72" w:type="dxa"/>
        <w:tblBorders>
          <w:top w:val="none" w:sz="0" w:space="0" w:color="auto"/>
          <w:bottom w:val="none" w:sz="0" w:space="0" w:color="auto"/>
          <w:insideH w:val="single" w:sz="4" w:space="0" w:color="auto"/>
        </w:tblBorders>
        <w:tblLayout w:type="fixed"/>
        <w:tblLook w:val="06A0" w:firstRow="1" w:lastRow="0" w:firstColumn="1" w:lastColumn="0" w:noHBand="1" w:noVBand="1"/>
      </w:tblPr>
      <w:tblGrid>
        <w:gridCol w:w="1620"/>
        <w:gridCol w:w="534"/>
        <w:gridCol w:w="1306"/>
        <w:gridCol w:w="1130"/>
        <w:gridCol w:w="1080"/>
        <w:gridCol w:w="2070"/>
        <w:gridCol w:w="990"/>
        <w:gridCol w:w="1494"/>
      </w:tblGrid>
      <w:tr w:rsidR="0004286A" w:rsidRPr="008159B3" w14:paraId="3B8A8045" w14:textId="2FE65E68" w:rsidTr="00037F13">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bottom w:val="single" w:sz="4" w:space="0" w:color="auto"/>
            </w:tcBorders>
          </w:tcPr>
          <w:p w14:paraId="106B49E1" w14:textId="77777777" w:rsidR="0004286A" w:rsidRPr="008159B3" w:rsidRDefault="0004286A" w:rsidP="00BE722A">
            <w:pPr>
              <w:jc w:val="center"/>
              <w:rPr>
                <w:rFonts w:ascii="Arial" w:eastAsia="Arial" w:hAnsi="Arial" w:cs="Arial"/>
                <w:b w:val="0"/>
                <w:sz w:val="16"/>
                <w:szCs w:val="16"/>
              </w:rPr>
            </w:pPr>
          </w:p>
        </w:tc>
        <w:tc>
          <w:tcPr>
            <w:tcW w:w="4050" w:type="dxa"/>
            <w:gridSpan w:val="4"/>
            <w:tcBorders>
              <w:top w:val="single" w:sz="4" w:space="0" w:color="auto"/>
              <w:bottom w:val="single" w:sz="4" w:space="0" w:color="auto"/>
            </w:tcBorders>
            <w:vAlign w:val="center"/>
          </w:tcPr>
          <w:p w14:paraId="3381AE52" w14:textId="0FB79211" w:rsidR="0004286A" w:rsidRPr="008159B3" w:rsidRDefault="0004286A" w:rsidP="00BE722A">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val="0"/>
                <w:sz w:val="16"/>
                <w:szCs w:val="16"/>
              </w:rPr>
            </w:pPr>
            <w:r w:rsidRPr="008159B3">
              <w:rPr>
                <w:rFonts w:ascii="Arial" w:eastAsia="Arial" w:hAnsi="Arial" w:cs="Arial"/>
                <w:b w:val="0"/>
                <w:sz w:val="16"/>
                <w:szCs w:val="16"/>
              </w:rPr>
              <w:t>Pooled Testing</w:t>
            </w:r>
          </w:p>
        </w:tc>
        <w:tc>
          <w:tcPr>
            <w:tcW w:w="3060" w:type="dxa"/>
            <w:gridSpan w:val="2"/>
            <w:tcBorders>
              <w:top w:val="single" w:sz="4" w:space="0" w:color="auto"/>
              <w:bottom w:val="single" w:sz="4" w:space="0" w:color="auto"/>
            </w:tcBorders>
            <w:vAlign w:val="center"/>
          </w:tcPr>
          <w:p w14:paraId="6B15D675" w14:textId="188C0F2B" w:rsidR="0004286A" w:rsidRPr="008159B3" w:rsidRDefault="0004286A" w:rsidP="00BE722A">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val="0"/>
                <w:sz w:val="16"/>
                <w:szCs w:val="16"/>
              </w:rPr>
            </w:pPr>
            <w:r w:rsidRPr="008159B3">
              <w:rPr>
                <w:rFonts w:ascii="Arial" w:eastAsia="Arial" w:hAnsi="Arial" w:cs="Arial"/>
                <w:b w:val="0"/>
                <w:bCs w:val="0"/>
                <w:sz w:val="16"/>
                <w:szCs w:val="16"/>
              </w:rPr>
              <w:t>Individual Testing</w:t>
            </w:r>
          </w:p>
        </w:tc>
        <w:tc>
          <w:tcPr>
            <w:tcW w:w="1494" w:type="dxa"/>
            <w:tcBorders>
              <w:top w:val="single" w:sz="4" w:space="0" w:color="auto"/>
              <w:bottom w:val="single" w:sz="4" w:space="0" w:color="auto"/>
            </w:tcBorders>
            <w:vAlign w:val="center"/>
          </w:tcPr>
          <w:p w14:paraId="33C098FE" w14:textId="13B998F3" w:rsidR="0004286A" w:rsidRPr="00492F59" w:rsidRDefault="0004286A" w:rsidP="0004286A">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val="0"/>
                <w:sz w:val="16"/>
                <w:szCs w:val="16"/>
              </w:rPr>
            </w:pPr>
            <w:r w:rsidRPr="00492F59">
              <w:rPr>
                <w:rFonts w:ascii="Arial" w:eastAsia="Arial" w:hAnsi="Arial" w:cs="Arial"/>
                <w:b w:val="0"/>
                <w:sz w:val="16"/>
                <w:szCs w:val="16"/>
              </w:rPr>
              <w:t>Total no. pools</w:t>
            </w:r>
          </w:p>
        </w:tc>
      </w:tr>
      <w:tr w:rsidR="00037F13" w:rsidRPr="008159B3" w14:paraId="692F51B4" w14:textId="7EBA209C" w:rsidTr="00037F13">
        <w:trPr>
          <w:trHeight w:val="440"/>
        </w:trPr>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bottom w:val="single" w:sz="4" w:space="0" w:color="auto"/>
            </w:tcBorders>
          </w:tcPr>
          <w:p w14:paraId="70DDE9AA" w14:textId="77777777" w:rsidR="0004286A" w:rsidRPr="008159B3" w:rsidRDefault="0004286A" w:rsidP="00BE722A">
            <w:pPr>
              <w:jc w:val="center"/>
              <w:rPr>
                <w:rFonts w:ascii="Arial" w:eastAsia="Arial" w:hAnsi="Arial" w:cs="Arial"/>
                <w:b w:val="0"/>
                <w:sz w:val="16"/>
                <w:szCs w:val="16"/>
              </w:rPr>
            </w:pPr>
          </w:p>
        </w:tc>
        <w:tc>
          <w:tcPr>
            <w:tcW w:w="534" w:type="dxa"/>
            <w:tcBorders>
              <w:top w:val="single" w:sz="4" w:space="0" w:color="auto"/>
              <w:bottom w:val="single" w:sz="4" w:space="0" w:color="auto"/>
            </w:tcBorders>
            <w:vAlign w:val="center"/>
          </w:tcPr>
          <w:p w14:paraId="4350107E" w14:textId="7EFDFCF3" w:rsidR="0004286A" w:rsidRPr="00037F13" w:rsidRDefault="0004286A"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37F13">
              <w:rPr>
                <w:rFonts w:ascii="Arial" w:eastAsia="Arial" w:hAnsi="Arial" w:cs="Arial"/>
                <w:sz w:val="16"/>
                <w:szCs w:val="16"/>
              </w:rPr>
              <w:t>LDT</w:t>
            </w:r>
          </w:p>
        </w:tc>
        <w:tc>
          <w:tcPr>
            <w:tcW w:w="1306" w:type="dxa"/>
            <w:tcBorders>
              <w:top w:val="single" w:sz="4" w:space="0" w:color="auto"/>
              <w:bottom w:val="single" w:sz="4" w:space="0" w:color="auto"/>
            </w:tcBorders>
            <w:vAlign w:val="center"/>
          </w:tcPr>
          <w:p w14:paraId="6E3DE981" w14:textId="1B67D455" w:rsidR="0004286A" w:rsidRPr="008159B3" w:rsidRDefault="0004286A"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Panther Fusion</w:t>
            </w:r>
          </w:p>
        </w:tc>
        <w:tc>
          <w:tcPr>
            <w:tcW w:w="1130" w:type="dxa"/>
            <w:tcBorders>
              <w:top w:val="single" w:sz="4" w:space="0" w:color="auto"/>
              <w:bottom w:val="single" w:sz="4" w:space="0" w:color="auto"/>
            </w:tcBorders>
            <w:vAlign w:val="center"/>
          </w:tcPr>
          <w:p w14:paraId="5B2E8AF1" w14:textId="001E63C1" w:rsidR="0004286A" w:rsidRPr="008159B3" w:rsidRDefault="0004286A"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Panther Aptima-M</w:t>
            </w:r>
          </w:p>
        </w:tc>
        <w:tc>
          <w:tcPr>
            <w:tcW w:w="1080" w:type="dxa"/>
            <w:tcBorders>
              <w:top w:val="single" w:sz="4" w:space="0" w:color="auto"/>
              <w:bottom w:val="single" w:sz="4" w:space="0" w:color="auto"/>
            </w:tcBorders>
            <w:vAlign w:val="center"/>
          </w:tcPr>
          <w:p w14:paraId="3A881A91" w14:textId="70CB2CD7" w:rsidR="0004286A" w:rsidRPr="008159B3" w:rsidRDefault="0004286A"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Panther Aptima-350</w:t>
            </w:r>
          </w:p>
        </w:tc>
        <w:tc>
          <w:tcPr>
            <w:tcW w:w="2070" w:type="dxa"/>
            <w:tcBorders>
              <w:top w:val="single" w:sz="4" w:space="0" w:color="auto"/>
              <w:bottom w:val="single" w:sz="4" w:space="0" w:color="auto"/>
            </w:tcBorders>
            <w:vAlign w:val="center"/>
          </w:tcPr>
          <w:p w14:paraId="0FA34745" w14:textId="77777777" w:rsidR="0004286A" w:rsidRDefault="0004286A"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8159B3">
              <w:rPr>
                <w:rFonts w:ascii="Arial" w:eastAsia="Arial" w:hAnsi="Arial" w:cs="Arial"/>
                <w:bCs/>
                <w:sz w:val="16"/>
                <w:szCs w:val="16"/>
              </w:rPr>
              <w:t xml:space="preserve">Positive </w:t>
            </w:r>
          </w:p>
          <w:p w14:paraId="393C5BEB" w14:textId="4B016598" w:rsidR="0004286A" w:rsidRPr="008159B3" w:rsidRDefault="0004286A"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bCs/>
                <w:sz w:val="16"/>
                <w:szCs w:val="16"/>
              </w:rPr>
              <w:t>(no. 1PP, no.  &gt;1PP)</w:t>
            </w:r>
          </w:p>
        </w:tc>
        <w:tc>
          <w:tcPr>
            <w:tcW w:w="990" w:type="dxa"/>
            <w:tcBorders>
              <w:top w:val="single" w:sz="4" w:space="0" w:color="auto"/>
              <w:bottom w:val="single" w:sz="4" w:space="0" w:color="auto"/>
            </w:tcBorders>
            <w:vAlign w:val="center"/>
          </w:tcPr>
          <w:p w14:paraId="37024D4B" w14:textId="6A221995" w:rsidR="0004286A" w:rsidRPr="008159B3" w:rsidRDefault="0004286A"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bCs/>
                <w:sz w:val="16"/>
                <w:szCs w:val="16"/>
              </w:rPr>
              <w:t>Negative</w:t>
            </w:r>
          </w:p>
        </w:tc>
        <w:tc>
          <w:tcPr>
            <w:tcW w:w="1494" w:type="dxa"/>
            <w:tcBorders>
              <w:top w:val="single" w:sz="4" w:space="0" w:color="auto"/>
              <w:bottom w:val="single" w:sz="4" w:space="0" w:color="auto"/>
            </w:tcBorders>
            <w:vAlign w:val="center"/>
          </w:tcPr>
          <w:p w14:paraId="458206CB" w14:textId="163CDD22" w:rsidR="0004286A" w:rsidRPr="008159B3" w:rsidRDefault="0004286A" w:rsidP="000460A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p>
        </w:tc>
      </w:tr>
      <w:tr w:rsidR="00037F13" w:rsidRPr="008159B3" w14:paraId="42760238" w14:textId="284B78FB" w:rsidTr="00037F13">
        <w:trPr>
          <w:trHeight w:val="242"/>
        </w:trPr>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bottom w:val="nil"/>
            </w:tcBorders>
          </w:tcPr>
          <w:p w14:paraId="76D02737" w14:textId="77777777" w:rsidR="00A90F56" w:rsidRPr="008159B3" w:rsidRDefault="00A90F56" w:rsidP="00BE722A">
            <w:pPr>
              <w:jc w:val="center"/>
              <w:rPr>
                <w:rFonts w:ascii="Arial" w:eastAsia="Arial" w:hAnsi="Arial" w:cs="Arial"/>
                <w:b w:val="0"/>
                <w:sz w:val="16"/>
                <w:szCs w:val="16"/>
              </w:rPr>
            </w:pPr>
          </w:p>
        </w:tc>
        <w:tc>
          <w:tcPr>
            <w:tcW w:w="534" w:type="dxa"/>
            <w:tcBorders>
              <w:top w:val="single" w:sz="4" w:space="0" w:color="auto"/>
              <w:bottom w:val="nil"/>
            </w:tcBorders>
            <w:vAlign w:val="center"/>
          </w:tcPr>
          <w:p w14:paraId="120B4CD9" w14:textId="0C5A1479" w:rsidR="00A90F56" w:rsidRPr="00037F1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37F13">
              <w:rPr>
                <w:rFonts w:ascii="Arial" w:eastAsia="Arial" w:hAnsi="Arial" w:cs="Arial"/>
                <w:sz w:val="16"/>
                <w:szCs w:val="16"/>
              </w:rPr>
              <w:t>Pos</w:t>
            </w:r>
          </w:p>
        </w:tc>
        <w:tc>
          <w:tcPr>
            <w:tcW w:w="1306" w:type="dxa"/>
            <w:tcBorders>
              <w:top w:val="single" w:sz="4" w:space="0" w:color="auto"/>
              <w:bottom w:val="nil"/>
            </w:tcBorders>
            <w:vAlign w:val="center"/>
          </w:tcPr>
          <w:p w14:paraId="5C3E393C" w14:textId="0CC4E1DF"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Pos</w:t>
            </w:r>
          </w:p>
        </w:tc>
        <w:tc>
          <w:tcPr>
            <w:tcW w:w="1130" w:type="dxa"/>
            <w:tcBorders>
              <w:top w:val="single" w:sz="4" w:space="0" w:color="auto"/>
              <w:bottom w:val="nil"/>
            </w:tcBorders>
            <w:vAlign w:val="center"/>
          </w:tcPr>
          <w:p w14:paraId="2BD06DEC" w14:textId="13E37220"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Pos</w:t>
            </w:r>
          </w:p>
        </w:tc>
        <w:tc>
          <w:tcPr>
            <w:tcW w:w="1080" w:type="dxa"/>
            <w:tcBorders>
              <w:top w:val="single" w:sz="4" w:space="0" w:color="auto"/>
              <w:bottom w:val="nil"/>
            </w:tcBorders>
            <w:vAlign w:val="center"/>
          </w:tcPr>
          <w:p w14:paraId="575E452C" w14:textId="24262C87"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Pos</w:t>
            </w:r>
          </w:p>
        </w:tc>
        <w:tc>
          <w:tcPr>
            <w:tcW w:w="2070" w:type="dxa"/>
            <w:tcBorders>
              <w:top w:val="single" w:sz="4" w:space="0" w:color="auto"/>
              <w:bottom w:val="nil"/>
            </w:tcBorders>
            <w:vAlign w:val="center"/>
          </w:tcPr>
          <w:p w14:paraId="30692067" w14:textId="6AFC6EB7"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30 (21, 9)</w:t>
            </w:r>
          </w:p>
        </w:tc>
        <w:tc>
          <w:tcPr>
            <w:tcW w:w="990" w:type="dxa"/>
            <w:tcBorders>
              <w:top w:val="single" w:sz="4" w:space="0" w:color="auto"/>
              <w:bottom w:val="nil"/>
            </w:tcBorders>
            <w:vAlign w:val="center"/>
          </w:tcPr>
          <w:p w14:paraId="5690A092" w14:textId="45269F96"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0</w:t>
            </w:r>
          </w:p>
        </w:tc>
        <w:tc>
          <w:tcPr>
            <w:tcW w:w="1494" w:type="dxa"/>
            <w:tcBorders>
              <w:top w:val="single" w:sz="4" w:space="0" w:color="auto"/>
              <w:bottom w:val="nil"/>
            </w:tcBorders>
            <w:vAlign w:val="center"/>
          </w:tcPr>
          <w:p w14:paraId="726D09DA" w14:textId="1531C875" w:rsidR="00A90F56" w:rsidRPr="008159B3" w:rsidRDefault="00A90F56" w:rsidP="000460A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30</w:t>
            </w:r>
          </w:p>
        </w:tc>
      </w:tr>
      <w:tr w:rsidR="00037F13" w:rsidRPr="008159B3" w14:paraId="7378220C" w14:textId="5C1FD3C6" w:rsidTr="00037F13">
        <w:tc>
          <w:tcPr>
            <w:cnfStyle w:val="001000000000" w:firstRow="0" w:lastRow="0" w:firstColumn="1" w:lastColumn="0" w:oddVBand="0" w:evenVBand="0" w:oddHBand="0" w:evenHBand="0" w:firstRowFirstColumn="0" w:firstRowLastColumn="0" w:lastRowFirstColumn="0" w:lastRowLastColumn="0"/>
            <w:tcW w:w="1620" w:type="dxa"/>
            <w:tcBorders>
              <w:top w:val="nil"/>
              <w:bottom w:val="nil"/>
            </w:tcBorders>
          </w:tcPr>
          <w:p w14:paraId="296C940F" w14:textId="77777777" w:rsidR="00A90F56" w:rsidRPr="008159B3" w:rsidRDefault="00A90F56" w:rsidP="00BE722A">
            <w:pPr>
              <w:jc w:val="center"/>
              <w:rPr>
                <w:rFonts w:ascii="Arial" w:eastAsia="Arial" w:hAnsi="Arial" w:cs="Arial"/>
                <w:b w:val="0"/>
                <w:sz w:val="16"/>
                <w:szCs w:val="16"/>
              </w:rPr>
            </w:pPr>
          </w:p>
        </w:tc>
        <w:tc>
          <w:tcPr>
            <w:tcW w:w="534" w:type="dxa"/>
            <w:tcBorders>
              <w:top w:val="nil"/>
              <w:bottom w:val="nil"/>
            </w:tcBorders>
            <w:vAlign w:val="center"/>
          </w:tcPr>
          <w:p w14:paraId="6B705E4C" w14:textId="2A7D7134" w:rsidR="00A90F56" w:rsidRPr="00037F1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37F13">
              <w:rPr>
                <w:rFonts w:ascii="Arial" w:eastAsia="Arial" w:hAnsi="Arial" w:cs="Arial"/>
                <w:sz w:val="16"/>
                <w:szCs w:val="16"/>
              </w:rPr>
              <w:t>Pos</w:t>
            </w:r>
          </w:p>
        </w:tc>
        <w:tc>
          <w:tcPr>
            <w:tcW w:w="1306" w:type="dxa"/>
            <w:tcBorders>
              <w:top w:val="nil"/>
              <w:bottom w:val="nil"/>
            </w:tcBorders>
            <w:vAlign w:val="center"/>
          </w:tcPr>
          <w:p w14:paraId="50DE7E32" w14:textId="319DB6DD"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Pos</w:t>
            </w:r>
          </w:p>
        </w:tc>
        <w:tc>
          <w:tcPr>
            <w:tcW w:w="1130" w:type="dxa"/>
            <w:tcBorders>
              <w:top w:val="nil"/>
              <w:bottom w:val="nil"/>
            </w:tcBorders>
            <w:vAlign w:val="center"/>
          </w:tcPr>
          <w:p w14:paraId="029C3649" w14:textId="77777777"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w:t>
            </w:r>
          </w:p>
        </w:tc>
        <w:tc>
          <w:tcPr>
            <w:tcW w:w="1080" w:type="dxa"/>
            <w:tcBorders>
              <w:top w:val="nil"/>
              <w:bottom w:val="nil"/>
            </w:tcBorders>
            <w:vAlign w:val="center"/>
          </w:tcPr>
          <w:p w14:paraId="3DDB3422" w14:textId="7BBB1BD0"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8159B3">
              <w:rPr>
                <w:rFonts w:ascii="Arial" w:eastAsia="Arial" w:hAnsi="Arial" w:cs="Arial"/>
                <w:bCs/>
                <w:sz w:val="16"/>
                <w:szCs w:val="16"/>
              </w:rPr>
              <w:t>Pos</w:t>
            </w:r>
          </w:p>
        </w:tc>
        <w:tc>
          <w:tcPr>
            <w:tcW w:w="2070" w:type="dxa"/>
            <w:tcBorders>
              <w:top w:val="nil"/>
              <w:bottom w:val="nil"/>
            </w:tcBorders>
            <w:vAlign w:val="center"/>
          </w:tcPr>
          <w:p w14:paraId="4E133252" w14:textId="3726386E"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2 (1, 1)</w:t>
            </w:r>
          </w:p>
        </w:tc>
        <w:tc>
          <w:tcPr>
            <w:tcW w:w="990" w:type="dxa"/>
            <w:tcBorders>
              <w:top w:val="nil"/>
              <w:bottom w:val="nil"/>
            </w:tcBorders>
            <w:vAlign w:val="center"/>
          </w:tcPr>
          <w:p w14:paraId="517E405D" w14:textId="73394018"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0</w:t>
            </w:r>
          </w:p>
        </w:tc>
        <w:tc>
          <w:tcPr>
            <w:tcW w:w="1494" w:type="dxa"/>
            <w:tcBorders>
              <w:top w:val="nil"/>
              <w:bottom w:val="nil"/>
            </w:tcBorders>
            <w:vAlign w:val="center"/>
          </w:tcPr>
          <w:p w14:paraId="4C0C3C34" w14:textId="1FFE9F26" w:rsidR="00A90F56" w:rsidRPr="008159B3" w:rsidRDefault="00A90F56" w:rsidP="000460A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2</w:t>
            </w:r>
          </w:p>
        </w:tc>
      </w:tr>
      <w:tr w:rsidR="00037F13" w:rsidRPr="008159B3" w14:paraId="06331E52" w14:textId="0C6E789A" w:rsidTr="00037F13">
        <w:tc>
          <w:tcPr>
            <w:cnfStyle w:val="001000000000" w:firstRow="0" w:lastRow="0" w:firstColumn="1" w:lastColumn="0" w:oddVBand="0" w:evenVBand="0" w:oddHBand="0" w:evenHBand="0" w:firstRowFirstColumn="0" w:firstRowLastColumn="0" w:lastRowFirstColumn="0" w:lastRowLastColumn="0"/>
            <w:tcW w:w="1620" w:type="dxa"/>
            <w:tcBorders>
              <w:top w:val="nil"/>
              <w:bottom w:val="nil"/>
            </w:tcBorders>
          </w:tcPr>
          <w:p w14:paraId="47FC5AFF" w14:textId="77777777" w:rsidR="00A90F56" w:rsidRPr="008159B3" w:rsidRDefault="00A90F56" w:rsidP="00BE722A">
            <w:pPr>
              <w:jc w:val="center"/>
              <w:rPr>
                <w:rFonts w:ascii="Arial" w:eastAsia="Arial" w:hAnsi="Arial" w:cs="Arial"/>
                <w:b w:val="0"/>
                <w:sz w:val="16"/>
                <w:szCs w:val="16"/>
              </w:rPr>
            </w:pPr>
          </w:p>
        </w:tc>
        <w:tc>
          <w:tcPr>
            <w:tcW w:w="534" w:type="dxa"/>
            <w:tcBorders>
              <w:top w:val="nil"/>
              <w:bottom w:val="nil"/>
            </w:tcBorders>
            <w:vAlign w:val="center"/>
          </w:tcPr>
          <w:p w14:paraId="08B13255" w14:textId="4578D7D2" w:rsidR="00A90F56" w:rsidRPr="00037F1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37F13">
              <w:rPr>
                <w:rFonts w:ascii="Arial" w:eastAsia="Arial" w:hAnsi="Arial" w:cs="Arial"/>
                <w:sz w:val="16"/>
                <w:szCs w:val="16"/>
              </w:rPr>
              <w:t>Pos</w:t>
            </w:r>
          </w:p>
        </w:tc>
        <w:tc>
          <w:tcPr>
            <w:tcW w:w="1306" w:type="dxa"/>
            <w:tcBorders>
              <w:top w:val="nil"/>
              <w:bottom w:val="nil"/>
            </w:tcBorders>
            <w:vAlign w:val="center"/>
          </w:tcPr>
          <w:p w14:paraId="10E48F58" w14:textId="65D64EE4"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Pos</w:t>
            </w:r>
          </w:p>
        </w:tc>
        <w:tc>
          <w:tcPr>
            <w:tcW w:w="1130" w:type="dxa"/>
            <w:tcBorders>
              <w:top w:val="nil"/>
              <w:bottom w:val="nil"/>
            </w:tcBorders>
            <w:vAlign w:val="center"/>
          </w:tcPr>
          <w:p w14:paraId="2B5BD9BE" w14:textId="77777777"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w:t>
            </w:r>
          </w:p>
        </w:tc>
        <w:tc>
          <w:tcPr>
            <w:tcW w:w="1080" w:type="dxa"/>
            <w:tcBorders>
              <w:top w:val="nil"/>
              <w:bottom w:val="nil"/>
            </w:tcBorders>
            <w:vAlign w:val="center"/>
          </w:tcPr>
          <w:p w14:paraId="7DBD1F64" w14:textId="77777777"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8159B3">
              <w:rPr>
                <w:rFonts w:ascii="Arial" w:eastAsia="Arial" w:hAnsi="Arial" w:cs="Arial"/>
                <w:bCs/>
                <w:sz w:val="16"/>
                <w:szCs w:val="16"/>
              </w:rPr>
              <w:t>-</w:t>
            </w:r>
          </w:p>
        </w:tc>
        <w:tc>
          <w:tcPr>
            <w:tcW w:w="2070" w:type="dxa"/>
            <w:tcBorders>
              <w:top w:val="nil"/>
              <w:bottom w:val="nil"/>
            </w:tcBorders>
            <w:vAlign w:val="center"/>
          </w:tcPr>
          <w:p w14:paraId="179544D3" w14:textId="404148DF"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0 (0, 0)</w:t>
            </w:r>
          </w:p>
        </w:tc>
        <w:tc>
          <w:tcPr>
            <w:tcW w:w="990" w:type="dxa"/>
            <w:tcBorders>
              <w:top w:val="nil"/>
              <w:bottom w:val="nil"/>
            </w:tcBorders>
            <w:vAlign w:val="center"/>
          </w:tcPr>
          <w:p w14:paraId="547E23E0" w14:textId="393D8875"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0</w:t>
            </w:r>
          </w:p>
        </w:tc>
        <w:tc>
          <w:tcPr>
            <w:tcW w:w="1494" w:type="dxa"/>
            <w:tcBorders>
              <w:top w:val="nil"/>
              <w:bottom w:val="nil"/>
            </w:tcBorders>
            <w:vAlign w:val="center"/>
          </w:tcPr>
          <w:p w14:paraId="05155A08" w14:textId="278A3510" w:rsidR="00A90F56" w:rsidRPr="008159B3" w:rsidRDefault="00A90F56" w:rsidP="000460A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w:t>
            </w:r>
          </w:p>
        </w:tc>
      </w:tr>
      <w:tr w:rsidR="00037F13" w:rsidRPr="008159B3" w14:paraId="30A16076" w14:textId="1F2B8D38" w:rsidTr="00037F13">
        <w:tc>
          <w:tcPr>
            <w:cnfStyle w:val="001000000000" w:firstRow="0" w:lastRow="0" w:firstColumn="1" w:lastColumn="0" w:oddVBand="0" w:evenVBand="0" w:oddHBand="0" w:evenHBand="0" w:firstRowFirstColumn="0" w:firstRowLastColumn="0" w:lastRowFirstColumn="0" w:lastRowLastColumn="0"/>
            <w:tcW w:w="1620" w:type="dxa"/>
            <w:tcBorders>
              <w:top w:val="nil"/>
              <w:bottom w:val="nil"/>
            </w:tcBorders>
          </w:tcPr>
          <w:p w14:paraId="09A67F3F" w14:textId="77777777" w:rsidR="00A90F56" w:rsidRPr="008159B3" w:rsidRDefault="00A90F56" w:rsidP="00BE722A">
            <w:pPr>
              <w:jc w:val="center"/>
              <w:rPr>
                <w:rFonts w:ascii="Arial" w:eastAsia="Arial" w:hAnsi="Arial" w:cs="Arial"/>
                <w:b w:val="0"/>
                <w:sz w:val="16"/>
                <w:szCs w:val="16"/>
              </w:rPr>
            </w:pPr>
          </w:p>
        </w:tc>
        <w:tc>
          <w:tcPr>
            <w:tcW w:w="534" w:type="dxa"/>
            <w:tcBorders>
              <w:top w:val="nil"/>
              <w:bottom w:val="nil"/>
            </w:tcBorders>
            <w:vAlign w:val="center"/>
          </w:tcPr>
          <w:p w14:paraId="1915DFF3" w14:textId="373BBBF5" w:rsidR="00A90F56" w:rsidRPr="00037F1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37F13">
              <w:rPr>
                <w:rFonts w:ascii="Arial" w:eastAsia="Arial" w:hAnsi="Arial" w:cs="Arial"/>
                <w:sz w:val="16"/>
                <w:szCs w:val="16"/>
              </w:rPr>
              <w:t>Pos</w:t>
            </w:r>
          </w:p>
        </w:tc>
        <w:tc>
          <w:tcPr>
            <w:tcW w:w="1306" w:type="dxa"/>
            <w:tcBorders>
              <w:top w:val="nil"/>
              <w:bottom w:val="nil"/>
            </w:tcBorders>
            <w:vAlign w:val="center"/>
          </w:tcPr>
          <w:p w14:paraId="773D3967" w14:textId="77777777"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w:t>
            </w:r>
          </w:p>
        </w:tc>
        <w:tc>
          <w:tcPr>
            <w:tcW w:w="1130" w:type="dxa"/>
            <w:tcBorders>
              <w:top w:val="nil"/>
              <w:bottom w:val="nil"/>
            </w:tcBorders>
            <w:vAlign w:val="center"/>
          </w:tcPr>
          <w:p w14:paraId="02D0133E" w14:textId="295AB08E"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Pos</w:t>
            </w:r>
          </w:p>
        </w:tc>
        <w:tc>
          <w:tcPr>
            <w:tcW w:w="1080" w:type="dxa"/>
            <w:tcBorders>
              <w:top w:val="nil"/>
              <w:bottom w:val="nil"/>
            </w:tcBorders>
            <w:vAlign w:val="center"/>
          </w:tcPr>
          <w:p w14:paraId="037ED784" w14:textId="41F80681"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8159B3">
              <w:rPr>
                <w:rFonts w:ascii="Arial" w:eastAsia="Arial" w:hAnsi="Arial" w:cs="Arial"/>
                <w:bCs/>
                <w:sz w:val="16"/>
                <w:szCs w:val="16"/>
              </w:rPr>
              <w:t>Pos</w:t>
            </w:r>
          </w:p>
        </w:tc>
        <w:tc>
          <w:tcPr>
            <w:tcW w:w="2070" w:type="dxa"/>
            <w:tcBorders>
              <w:top w:val="nil"/>
              <w:bottom w:val="nil"/>
            </w:tcBorders>
            <w:vAlign w:val="center"/>
          </w:tcPr>
          <w:p w14:paraId="1504FC8D" w14:textId="3BA57058"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0 (0, 0)</w:t>
            </w:r>
          </w:p>
        </w:tc>
        <w:tc>
          <w:tcPr>
            <w:tcW w:w="990" w:type="dxa"/>
            <w:tcBorders>
              <w:top w:val="nil"/>
              <w:bottom w:val="nil"/>
            </w:tcBorders>
            <w:vAlign w:val="center"/>
          </w:tcPr>
          <w:p w14:paraId="7B596C6C" w14:textId="7B4EB058"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0</w:t>
            </w:r>
          </w:p>
        </w:tc>
        <w:tc>
          <w:tcPr>
            <w:tcW w:w="1494" w:type="dxa"/>
            <w:tcBorders>
              <w:top w:val="nil"/>
              <w:bottom w:val="nil"/>
            </w:tcBorders>
            <w:vAlign w:val="center"/>
          </w:tcPr>
          <w:p w14:paraId="64D56C8B" w14:textId="0D3DFEBD" w:rsidR="00A90F56" w:rsidRPr="008159B3" w:rsidRDefault="00A90F56" w:rsidP="000460A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w:t>
            </w:r>
          </w:p>
        </w:tc>
      </w:tr>
      <w:tr w:rsidR="00037F13" w:rsidRPr="008159B3" w14:paraId="4C8CC0DE" w14:textId="6AB1EA1C" w:rsidTr="00037F13">
        <w:tc>
          <w:tcPr>
            <w:cnfStyle w:val="001000000000" w:firstRow="0" w:lastRow="0" w:firstColumn="1" w:lastColumn="0" w:oddVBand="0" w:evenVBand="0" w:oddHBand="0" w:evenHBand="0" w:firstRowFirstColumn="0" w:firstRowLastColumn="0" w:lastRowFirstColumn="0" w:lastRowLastColumn="0"/>
            <w:tcW w:w="1620" w:type="dxa"/>
            <w:tcBorders>
              <w:top w:val="nil"/>
              <w:bottom w:val="nil"/>
            </w:tcBorders>
          </w:tcPr>
          <w:p w14:paraId="7DE61657" w14:textId="77777777" w:rsidR="00A90F56" w:rsidRPr="008159B3" w:rsidRDefault="00A90F56" w:rsidP="00BE722A">
            <w:pPr>
              <w:jc w:val="center"/>
              <w:rPr>
                <w:rFonts w:ascii="Arial" w:eastAsia="Arial" w:hAnsi="Arial" w:cs="Arial"/>
                <w:b w:val="0"/>
                <w:sz w:val="16"/>
                <w:szCs w:val="16"/>
              </w:rPr>
            </w:pPr>
          </w:p>
        </w:tc>
        <w:tc>
          <w:tcPr>
            <w:tcW w:w="534" w:type="dxa"/>
            <w:tcBorders>
              <w:top w:val="nil"/>
              <w:bottom w:val="nil"/>
            </w:tcBorders>
            <w:vAlign w:val="center"/>
          </w:tcPr>
          <w:p w14:paraId="0163E461" w14:textId="536C542D" w:rsidR="00A90F56" w:rsidRPr="00037F1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37F13">
              <w:rPr>
                <w:rFonts w:ascii="Arial" w:eastAsia="Arial" w:hAnsi="Arial" w:cs="Arial"/>
                <w:sz w:val="16"/>
                <w:szCs w:val="16"/>
              </w:rPr>
              <w:t>Pos</w:t>
            </w:r>
          </w:p>
        </w:tc>
        <w:tc>
          <w:tcPr>
            <w:tcW w:w="1306" w:type="dxa"/>
            <w:tcBorders>
              <w:top w:val="nil"/>
              <w:bottom w:val="nil"/>
            </w:tcBorders>
            <w:vAlign w:val="center"/>
          </w:tcPr>
          <w:p w14:paraId="703D1475" w14:textId="24A95B47"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w:t>
            </w:r>
          </w:p>
        </w:tc>
        <w:tc>
          <w:tcPr>
            <w:tcW w:w="1130" w:type="dxa"/>
            <w:tcBorders>
              <w:top w:val="nil"/>
              <w:bottom w:val="nil"/>
            </w:tcBorders>
            <w:vAlign w:val="center"/>
          </w:tcPr>
          <w:p w14:paraId="7246C7AF" w14:textId="0A974BF9"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w:t>
            </w:r>
          </w:p>
        </w:tc>
        <w:tc>
          <w:tcPr>
            <w:tcW w:w="1080" w:type="dxa"/>
            <w:tcBorders>
              <w:top w:val="nil"/>
              <w:bottom w:val="nil"/>
            </w:tcBorders>
            <w:vAlign w:val="center"/>
          </w:tcPr>
          <w:p w14:paraId="206781A2" w14:textId="468F4011"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8159B3">
              <w:rPr>
                <w:rFonts w:ascii="Arial" w:eastAsia="Arial" w:hAnsi="Arial" w:cs="Arial"/>
                <w:bCs/>
                <w:sz w:val="16"/>
                <w:szCs w:val="16"/>
              </w:rPr>
              <w:t>Pos</w:t>
            </w:r>
          </w:p>
        </w:tc>
        <w:tc>
          <w:tcPr>
            <w:tcW w:w="2070" w:type="dxa"/>
            <w:tcBorders>
              <w:top w:val="nil"/>
              <w:bottom w:val="nil"/>
            </w:tcBorders>
            <w:vAlign w:val="center"/>
          </w:tcPr>
          <w:p w14:paraId="10113896" w14:textId="1B75EF3E"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0 (0, 0)</w:t>
            </w:r>
          </w:p>
        </w:tc>
        <w:tc>
          <w:tcPr>
            <w:tcW w:w="990" w:type="dxa"/>
            <w:tcBorders>
              <w:top w:val="nil"/>
              <w:bottom w:val="nil"/>
            </w:tcBorders>
            <w:vAlign w:val="center"/>
          </w:tcPr>
          <w:p w14:paraId="7FB48CDC" w14:textId="32B5A509"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0</w:t>
            </w:r>
          </w:p>
        </w:tc>
        <w:tc>
          <w:tcPr>
            <w:tcW w:w="1494" w:type="dxa"/>
            <w:tcBorders>
              <w:top w:val="nil"/>
              <w:bottom w:val="nil"/>
            </w:tcBorders>
            <w:vAlign w:val="center"/>
          </w:tcPr>
          <w:p w14:paraId="466F174D" w14:textId="298FA9CA" w:rsidR="00A90F56" w:rsidRPr="008159B3" w:rsidRDefault="00A90F56" w:rsidP="000460A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w:t>
            </w:r>
          </w:p>
        </w:tc>
      </w:tr>
      <w:tr w:rsidR="00037F13" w:rsidRPr="008159B3" w14:paraId="76E22059" w14:textId="2EDDCABA" w:rsidTr="00037F13">
        <w:tc>
          <w:tcPr>
            <w:cnfStyle w:val="001000000000" w:firstRow="0" w:lastRow="0" w:firstColumn="1" w:lastColumn="0" w:oddVBand="0" w:evenVBand="0" w:oddHBand="0" w:evenHBand="0" w:firstRowFirstColumn="0" w:firstRowLastColumn="0" w:lastRowFirstColumn="0" w:lastRowLastColumn="0"/>
            <w:tcW w:w="1620" w:type="dxa"/>
            <w:tcBorders>
              <w:top w:val="nil"/>
              <w:bottom w:val="nil"/>
            </w:tcBorders>
          </w:tcPr>
          <w:p w14:paraId="70ABDB16" w14:textId="77777777" w:rsidR="00A90F56" w:rsidRPr="008159B3" w:rsidRDefault="00A90F56" w:rsidP="00BE722A">
            <w:pPr>
              <w:jc w:val="center"/>
              <w:rPr>
                <w:rFonts w:ascii="Arial" w:eastAsia="Arial" w:hAnsi="Arial" w:cs="Arial"/>
                <w:b w:val="0"/>
                <w:sz w:val="16"/>
                <w:szCs w:val="16"/>
              </w:rPr>
            </w:pPr>
          </w:p>
        </w:tc>
        <w:tc>
          <w:tcPr>
            <w:tcW w:w="534" w:type="dxa"/>
            <w:tcBorders>
              <w:top w:val="nil"/>
              <w:bottom w:val="nil"/>
            </w:tcBorders>
            <w:vAlign w:val="center"/>
          </w:tcPr>
          <w:p w14:paraId="221F5CB4" w14:textId="7EF3F931" w:rsidR="00A90F56" w:rsidRPr="00037F1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37F13">
              <w:rPr>
                <w:rFonts w:ascii="Arial" w:eastAsia="Arial" w:hAnsi="Arial" w:cs="Arial"/>
                <w:sz w:val="16"/>
                <w:szCs w:val="16"/>
              </w:rPr>
              <w:t>Pos</w:t>
            </w:r>
          </w:p>
        </w:tc>
        <w:tc>
          <w:tcPr>
            <w:tcW w:w="1306" w:type="dxa"/>
            <w:tcBorders>
              <w:top w:val="nil"/>
              <w:bottom w:val="nil"/>
            </w:tcBorders>
            <w:vAlign w:val="center"/>
          </w:tcPr>
          <w:p w14:paraId="28341DE3" w14:textId="6097A3EA"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w:t>
            </w:r>
          </w:p>
        </w:tc>
        <w:tc>
          <w:tcPr>
            <w:tcW w:w="1130" w:type="dxa"/>
            <w:tcBorders>
              <w:top w:val="nil"/>
              <w:bottom w:val="nil"/>
            </w:tcBorders>
            <w:vAlign w:val="center"/>
          </w:tcPr>
          <w:p w14:paraId="726B65A7" w14:textId="03E49419"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w:t>
            </w:r>
          </w:p>
        </w:tc>
        <w:tc>
          <w:tcPr>
            <w:tcW w:w="1080" w:type="dxa"/>
            <w:tcBorders>
              <w:top w:val="nil"/>
              <w:bottom w:val="nil"/>
            </w:tcBorders>
            <w:vAlign w:val="center"/>
          </w:tcPr>
          <w:p w14:paraId="1D27AFDB" w14:textId="77E27865"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8159B3">
              <w:rPr>
                <w:rFonts w:ascii="Arial" w:eastAsia="Arial" w:hAnsi="Arial" w:cs="Arial"/>
                <w:bCs/>
                <w:sz w:val="16"/>
                <w:szCs w:val="16"/>
              </w:rPr>
              <w:t>-</w:t>
            </w:r>
          </w:p>
        </w:tc>
        <w:tc>
          <w:tcPr>
            <w:tcW w:w="2070" w:type="dxa"/>
            <w:tcBorders>
              <w:top w:val="nil"/>
              <w:bottom w:val="nil"/>
            </w:tcBorders>
            <w:vAlign w:val="center"/>
          </w:tcPr>
          <w:p w14:paraId="7FB64BA9" w14:textId="4B605192"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1 (1, 0)</w:t>
            </w:r>
          </w:p>
        </w:tc>
        <w:tc>
          <w:tcPr>
            <w:tcW w:w="990" w:type="dxa"/>
            <w:tcBorders>
              <w:top w:val="nil"/>
              <w:bottom w:val="nil"/>
            </w:tcBorders>
            <w:vAlign w:val="center"/>
          </w:tcPr>
          <w:p w14:paraId="0F818543" w14:textId="08B9D5A8"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1</w:t>
            </w:r>
            <w:r w:rsidR="007C5705">
              <w:rPr>
                <w:rFonts w:ascii="Arial" w:eastAsia="Arial" w:hAnsi="Arial" w:cs="Arial"/>
                <w:sz w:val="16"/>
                <w:szCs w:val="16"/>
              </w:rPr>
              <w:t>*</w:t>
            </w:r>
          </w:p>
        </w:tc>
        <w:tc>
          <w:tcPr>
            <w:tcW w:w="1494" w:type="dxa"/>
            <w:tcBorders>
              <w:top w:val="nil"/>
              <w:bottom w:val="nil"/>
            </w:tcBorders>
            <w:vAlign w:val="center"/>
          </w:tcPr>
          <w:p w14:paraId="0DB70EAD" w14:textId="51AB0FD0" w:rsidR="00A90F56" w:rsidRPr="008159B3" w:rsidRDefault="00A90F56" w:rsidP="000460A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2</w:t>
            </w:r>
          </w:p>
        </w:tc>
      </w:tr>
      <w:tr w:rsidR="00037F13" w:rsidRPr="008159B3" w14:paraId="53721CEB" w14:textId="42BAB2CD" w:rsidTr="00037F13">
        <w:tc>
          <w:tcPr>
            <w:cnfStyle w:val="001000000000" w:firstRow="0" w:lastRow="0" w:firstColumn="1" w:lastColumn="0" w:oddVBand="0" w:evenVBand="0" w:oddHBand="0" w:evenHBand="0" w:firstRowFirstColumn="0" w:firstRowLastColumn="0" w:lastRowFirstColumn="0" w:lastRowLastColumn="0"/>
            <w:tcW w:w="1620" w:type="dxa"/>
            <w:tcBorders>
              <w:top w:val="nil"/>
              <w:bottom w:val="nil"/>
            </w:tcBorders>
          </w:tcPr>
          <w:p w14:paraId="1789E30D" w14:textId="77777777" w:rsidR="00A90F56" w:rsidRPr="008159B3" w:rsidRDefault="00A90F56" w:rsidP="00BE722A">
            <w:pPr>
              <w:jc w:val="center"/>
              <w:rPr>
                <w:rFonts w:ascii="Arial" w:eastAsia="Arial" w:hAnsi="Arial" w:cs="Arial"/>
                <w:b w:val="0"/>
                <w:bCs w:val="0"/>
                <w:sz w:val="16"/>
                <w:szCs w:val="16"/>
              </w:rPr>
            </w:pPr>
          </w:p>
        </w:tc>
        <w:tc>
          <w:tcPr>
            <w:tcW w:w="534" w:type="dxa"/>
            <w:tcBorders>
              <w:top w:val="nil"/>
              <w:bottom w:val="nil"/>
            </w:tcBorders>
            <w:vAlign w:val="center"/>
          </w:tcPr>
          <w:p w14:paraId="312C93F8" w14:textId="0C00D8CD" w:rsidR="00A90F56" w:rsidRPr="00037F1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37F13">
              <w:rPr>
                <w:rFonts w:ascii="Arial" w:eastAsia="Arial" w:hAnsi="Arial" w:cs="Arial"/>
                <w:bCs/>
                <w:sz w:val="16"/>
                <w:szCs w:val="16"/>
              </w:rPr>
              <w:t>-</w:t>
            </w:r>
          </w:p>
        </w:tc>
        <w:tc>
          <w:tcPr>
            <w:tcW w:w="1306" w:type="dxa"/>
            <w:tcBorders>
              <w:top w:val="nil"/>
              <w:bottom w:val="nil"/>
            </w:tcBorders>
            <w:vAlign w:val="center"/>
          </w:tcPr>
          <w:p w14:paraId="163564CB" w14:textId="2DE438AF"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bCs/>
                <w:sz w:val="16"/>
                <w:szCs w:val="16"/>
              </w:rPr>
              <w:t>Pos</w:t>
            </w:r>
          </w:p>
        </w:tc>
        <w:tc>
          <w:tcPr>
            <w:tcW w:w="1130" w:type="dxa"/>
            <w:tcBorders>
              <w:top w:val="nil"/>
              <w:bottom w:val="nil"/>
            </w:tcBorders>
            <w:vAlign w:val="center"/>
          </w:tcPr>
          <w:p w14:paraId="19686F1A" w14:textId="10EC772A"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bCs/>
                <w:sz w:val="16"/>
                <w:szCs w:val="16"/>
              </w:rPr>
              <w:t>Pos</w:t>
            </w:r>
          </w:p>
        </w:tc>
        <w:tc>
          <w:tcPr>
            <w:tcW w:w="1080" w:type="dxa"/>
            <w:tcBorders>
              <w:top w:val="nil"/>
              <w:bottom w:val="nil"/>
            </w:tcBorders>
            <w:vAlign w:val="center"/>
          </w:tcPr>
          <w:p w14:paraId="567B0A7E" w14:textId="69C4BD57"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8159B3">
              <w:rPr>
                <w:rFonts w:ascii="Arial" w:eastAsia="Arial" w:hAnsi="Arial" w:cs="Arial"/>
                <w:bCs/>
                <w:sz w:val="16"/>
                <w:szCs w:val="16"/>
              </w:rPr>
              <w:t>Pos</w:t>
            </w:r>
          </w:p>
        </w:tc>
        <w:tc>
          <w:tcPr>
            <w:tcW w:w="2070" w:type="dxa"/>
            <w:tcBorders>
              <w:top w:val="nil"/>
              <w:bottom w:val="nil"/>
            </w:tcBorders>
            <w:vAlign w:val="center"/>
          </w:tcPr>
          <w:p w14:paraId="5DD1C88F" w14:textId="6139576B"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2 (2, 0)</w:t>
            </w:r>
          </w:p>
        </w:tc>
        <w:tc>
          <w:tcPr>
            <w:tcW w:w="990" w:type="dxa"/>
            <w:tcBorders>
              <w:top w:val="nil"/>
              <w:bottom w:val="nil"/>
            </w:tcBorders>
            <w:vAlign w:val="center"/>
          </w:tcPr>
          <w:p w14:paraId="540809F0" w14:textId="1B64D010"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0</w:t>
            </w:r>
          </w:p>
        </w:tc>
        <w:tc>
          <w:tcPr>
            <w:tcW w:w="1494" w:type="dxa"/>
            <w:tcBorders>
              <w:top w:val="nil"/>
              <w:bottom w:val="nil"/>
            </w:tcBorders>
            <w:vAlign w:val="center"/>
          </w:tcPr>
          <w:p w14:paraId="0F6A45E8" w14:textId="37B9A1D5" w:rsidR="00A90F56" w:rsidRPr="008159B3" w:rsidRDefault="00A90F56" w:rsidP="000460A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2</w:t>
            </w:r>
          </w:p>
        </w:tc>
      </w:tr>
      <w:tr w:rsidR="00037F13" w:rsidRPr="008159B3" w14:paraId="7710EF49" w14:textId="7B088A2D" w:rsidTr="00037F13">
        <w:tc>
          <w:tcPr>
            <w:cnfStyle w:val="001000000000" w:firstRow="0" w:lastRow="0" w:firstColumn="1" w:lastColumn="0" w:oddVBand="0" w:evenVBand="0" w:oddHBand="0" w:evenHBand="0" w:firstRowFirstColumn="0" w:firstRowLastColumn="0" w:lastRowFirstColumn="0" w:lastRowLastColumn="0"/>
            <w:tcW w:w="1620" w:type="dxa"/>
            <w:tcBorders>
              <w:top w:val="nil"/>
              <w:bottom w:val="nil"/>
            </w:tcBorders>
          </w:tcPr>
          <w:p w14:paraId="4462F6FB" w14:textId="77777777" w:rsidR="00A90F56" w:rsidRPr="008159B3" w:rsidRDefault="00A90F56" w:rsidP="00BE722A">
            <w:pPr>
              <w:jc w:val="center"/>
              <w:rPr>
                <w:rFonts w:ascii="Arial" w:eastAsia="Arial" w:hAnsi="Arial" w:cs="Arial"/>
                <w:b w:val="0"/>
                <w:sz w:val="16"/>
                <w:szCs w:val="16"/>
              </w:rPr>
            </w:pPr>
          </w:p>
        </w:tc>
        <w:tc>
          <w:tcPr>
            <w:tcW w:w="534" w:type="dxa"/>
            <w:tcBorders>
              <w:top w:val="nil"/>
              <w:bottom w:val="nil"/>
            </w:tcBorders>
            <w:vAlign w:val="center"/>
          </w:tcPr>
          <w:p w14:paraId="48766825" w14:textId="1FD83481" w:rsidR="00A90F56" w:rsidRPr="00037F1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37F13">
              <w:rPr>
                <w:rFonts w:ascii="Arial" w:eastAsia="Arial" w:hAnsi="Arial" w:cs="Arial"/>
                <w:sz w:val="16"/>
                <w:szCs w:val="16"/>
              </w:rPr>
              <w:t>-</w:t>
            </w:r>
          </w:p>
        </w:tc>
        <w:tc>
          <w:tcPr>
            <w:tcW w:w="1306" w:type="dxa"/>
            <w:tcBorders>
              <w:top w:val="nil"/>
              <w:bottom w:val="nil"/>
            </w:tcBorders>
            <w:vAlign w:val="center"/>
          </w:tcPr>
          <w:p w14:paraId="01862771" w14:textId="4E30AE87"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Pos</w:t>
            </w:r>
          </w:p>
        </w:tc>
        <w:tc>
          <w:tcPr>
            <w:tcW w:w="1130" w:type="dxa"/>
            <w:tcBorders>
              <w:top w:val="nil"/>
              <w:bottom w:val="nil"/>
            </w:tcBorders>
            <w:vAlign w:val="center"/>
          </w:tcPr>
          <w:p w14:paraId="12A3BEEB" w14:textId="77777777"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w:t>
            </w:r>
          </w:p>
        </w:tc>
        <w:tc>
          <w:tcPr>
            <w:tcW w:w="1080" w:type="dxa"/>
            <w:tcBorders>
              <w:top w:val="nil"/>
              <w:bottom w:val="nil"/>
            </w:tcBorders>
            <w:vAlign w:val="center"/>
          </w:tcPr>
          <w:p w14:paraId="2EDFFEF0" w14:textId="08FB8DB2"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8159B3">
              <w:rPr>
                <w:rFonts w:ascii="Arial" w:eastAsia="Arial" w:hAnsi="Arial" w:cs="Arial"/>
                <w:bCs/>
                <w:sz w:val="16"/>
                <w:szCs w:val="16"/>
              </w:rPr>
              <w:t>Pos</w:t>
            </w:r>
          </w:p>
        </w:tc>
        <w:tc>
          <w:tcPr>
            <w:tcW w:w="2070" w:type="dxa"/>
            <w:tcBorders>
              <w:top w:val="nil"/>
              <w:bottom w:val="nil"/>
            </w:tcBorders>
            <w:vAlign w:val="center"/>
          </w:tcPr>
          <w:p w14:paraId="64CEDBD8" w14:textId="194CFADB"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1 (1, 0)</w:t>
            </w:r>
          </w:p>
        </w:tc>
        <w:tc>
          <w:tcPr>
            <w:tcW w:w="990" w:type="dxa"/>
            <w:tcBorders>
              <w:top w:val="nil"/>
              <w:bottom w:val="nil"/>
            </w:tcBorders>
            <w:vAlign w:val="center"/>
          </w:tcPr>
          <w:p w14:paraId="6ED4DC36" w14:textId="2FC3CDDE"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0</w:t>
            </w:r>
          </w:p>
        </w:tc>
        <w:tc>
          <w:tcPr>
            <w:tcW w:w="1494" w:type="dxa"/>
            <w:tcBorders>
              <w:top w:val="nil"/>
              <w:bottom w:val="nil"/>
            </w:tcBorders>
            <w:vAlign w:val="center"/>
          </w:tcPr>
          <w:p w14:paraId="11A9E9B2" w14:textId="3A96F003" w:rsidR="00A90F56" w:rsidRPr="008159B3" w:rsidRDefault="00A90F56" w:rsidP="000460A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w:t>
            </w:r>
          </w:p>
        </w:tc>
      </w:tr>
      <w:tr w:rsidR="00037F13" w:rsidRPr="008159B3" w14:paraId="39978DF3" w14:textId="3E770331" w:rsidTr="00037F13">
        <w:tc>
          <w:tcPr>
            <w:cnfStyle w:val="001000000000" w:firstRow="0" w:lastRow="0" w:firstColumn="1" w:lastColumn="0" w:oddVBand="0" w:evenVBand="0" w:oddHBand="0" w:evenHBand="0" w:firstRowFirstColumn="0" w:firstRowLastColumn="0" w:lastRowFirstColumn="0" w:lastRowLastColumn="0"/>
            <w:tcW w:w="1620" w:type="dxa"/>
            <w:tcBorders>
              <w:top w:val="nil"/>
              <w:bottom w:val="nil"/>
            </w:tcBorders>
          </w:tcPr>
          <w:p w14:paraId="42F414A8" w14:textId="77777777" w:rsidR="00A90F56" w:rsidRPr="008159B3" w:rsidRDefault="00A90F56" w:rsidP="00BE722A">
            <w:pPr>
              <w:jc w:val="center"/>
              <w:rPr>
                <w:rFonts w:ascii="Arial" w:eastAsia="Arial" w:hAnsi="Arial" w:cs="Arial"/>
                <w:b w:val="0"/>
                <w:sz w:val="16"/>
                <w:szCs w:val="16"/>
              </w:rPr>
            </w:pPr>
          </w:p>
        </w:tc>
        <w:tc>
          <w:tcPr>
            <w:tcW w:w="534" w:type="dxa"/>
            <w:tcBorders>
              <w:top w:val="nil"/>
              <w:bottom w:val="nil"/>
            </w:tcBorders>
            <w:vAlign w:val="center"/>
          </w:tcPr>
          <w:p w14:paraId="37639AAD" w14:textId="23A9C4EA" w:rsidR="00A90F56" w:rsidRPr="00037F1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37F13">
              <w:rPr>
                <w:rFonts w:ascii="Arial" w:eastAsia="Arial" w:hAnsi="Arial" w:cs="Arial"/>
                <w:sz w:val="16"/>
                <w:szCs w:val="16"/>
              </w:rPr>
              <w:t>-</w:t>
            </w:r>
          </w:p>
        </w:tc>
        <w:tc>
          <w:tcPr>
            <w:tcW w:w="1306" w:type="dxa"/>
            <w:tcBorders>
              <w:top w:val="nil"/>
              <w:bottom w:val="nil"/>
            </w:tcBorders>
            <w:vAlign w:val="center"/>
          </w:tcPr>
          <w:p w14:paraId="0331A090" w14:textId="4854AA96"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Pos</w:t>
            </w:r>
          </w:p>
        </w:tc>
        <w:tc>
          <w:tcPr>
            <w:tcW w:w="1130" w:type="dxa"/>
            <w:tcBorders>
              <w:top w:val="nil"/>
              <w:bottom w:val="nil"/>
            </w:tcBorders>
            <w:vAlign w:val="center"/>
          </w:tcPr>
          <w:p w14:paraId="21E97341" w14:textId="77777777"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w:t>
            </w:r>
          </w:p>
        </w:tc>
        <w:tc>
          <w:tcPr>
            <w:tcW w:w="1080" w:type="dxa"/>
            <w:tcBorders>
              <w:top w:val="nil"/>
              <w:bottom w:val="nil"/>
            </w:tcBorders>
            <w:vAlign w:val="center"/>
          </w:tcPr>
          <w:p w14:paraId="13F74E46" w14:textId="77777777"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8159B3">
              <w:rPr>
                <w:rFonts w:ascii="Arial" w:eastAsia="Arial" w:hAnsi="Arial" w:cs="Arial"/>
                <w:bCs/>
                <w:sz w:val="16"/>
                <w:szCs w:val="16"/>
              </w:rPr>
              <w:t>-</w:t>
            </w:r>
          </w:p>
        </w:tc>
        <w:tc>
          <w:tcPr>
            <w:tcW w:w="2070" w:type="dxa"/>
            <w:tcBorders>
              <w:top w:val="nil"/>
              <w:bottom w:val="nil"/>
            </w:tcBorders>
            <w:vAlign w:val="center"/>
          </w:tcPr>
          <w:p w14:paraId="585E79DD" w14:textId="5DCED002"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0 (0, 0)</w:t>
            </w:r>
          </w:p>
        </w:tc>
        <w:tc>
          <w:tcPr>
            <w:tcW w:w="990" w:type="dxa"/>
            <w:tcBorders>
              <w:top w:val="nil"/>
              <w:bottom w:val="nil"/>
            </w:tcBorders>
            <w:vAlign w:val="center"/>
          </w:tcPr>
          <w:p w14:paraId="3B760481" w14:textId="5C464DF2"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1</w:t>
            </w:r>
            <w:r w:rsidR="007C5705" w:rsidRPr="00C14A24">
              <w:rPr>
                <w:rFonts w:ascii="Arial" w:eastAsia="Arial" w:hAnsi="Arial" w:cs="Arial"/>
                <w:sz w:val="16"/>
                <w:szCs w:val="16"/>
                <w:vertAlign w:val="superscript"/>
              </w:rPr>
              <w:t>†</w:t>
            </w:r>
          </w:p>
        </w:tc>
        <w:tc>
          <w:tcPr>
            <w:tcW w:w="1494" w:type="dxa"/>
            <w:tcBorders>
              <w:top w:val="nil"/>
              <w:bottom w:val="nil"/>
            </w:tcBorders>
            <w:vAlign w:val="center"/>
          </w:tcPr>
          <w:p w14:paraId="76C24B1C" w14:textId="55B269CB" w:rsidR="00A90F56" w:rsidRPr="008159B3" w:rsidRDefault="00A90F56" w:rsidP="000460A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w:t>
            </w:r>
          </w:p>
        </w:tc>
      </w:tr>
      <w:tr w:rsidR="00037F13" w:rsidRPr="008159B3" w14:paraId="4CC3644F" w14:textId="16C868FC" w:rsidTr="00037F13">
        <w:tc>
          <w:tcPr>
            <w:cnfStyle w:val="001000000000" w:firstRow="0" w:lastRow="0" w:firstColumn="1" w:lastColumn="0" w:oddVBand="0" w:evenVBand="0" w:oddHBand="0" w:evenHBand="0" w:firstRowFirstColumn="0" w:firstRowLastColumn="0" w:lastRowFirstColumn="0" w:lastRowLastColumn="0"/>
            <w:tcW w:w="1620" w:type="dxa"/>
            <w:tcBorders>
              <w:top w:val="nil"/>
              <w:bottom w:val="nil"/>
            </w:tcBorders>
          </w:tcPr>
          <w:p w14:paraId="4DC5B91F" w14:textId="77777777" w:rsidR="00A90F56" w:rsidRPr="008159B3" w:rsidRDefault="00A90F56" w:rsidP="00BE722A">
            <w:pPr>
              <w:jc w:val="center"/>
              <w:rPr>
                <w:rFonts w:ascii="Arial" w:eastAsia="Arial" w:hAnsi="Arial" w:cs="Arial"/>
                <w:b w:val="0"/>
                <w:sz w:val="16"/>
                <w:szCs w:val="16"/>
              </w:rPr>
            </w:pPr>
          </w:p>
        </w:tc>
        <w:tc>
          <w:tcPr>
            <w:tcW w:w="534" w:type="dxa"/>
            <w:tcBorders>
              <w:top w:val="nil"/>
              <w:bottom w:val="nil"/>
            </w:tcBorders>
            <w:vAlign w:val="center"/>
          </w:tcPr>
          <w:p w14:paraId="06BC891F" w14:textId="28C94E18" w:rsidR="00A90F56" w:rsidRPr="00037F1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37F13">
              <w:rPr>
                <w:rFonts w:ascii="Arial" w:eastAsia="Arial" w:hAnsi="Arial" w:cs="Arial"/>
                <w:sz w:val="16"/>
                <w:szCs w:val="16"/>
              </w:rPr>
              <w:t>-</w:t>
            </w:r>
          </w:p>
        </w:tc>
        <w:tc>
          <w:tcPr>
            <w:tcW w:w="1306" w:type="dxa"/>
            <w:tcBorders>
              <w:top w:val="nil"/>
              <w:bottom w:val="nil"/>
            </w:tcBorders>
            <w:vAlign w:val="center"/>
          </w:tcPr>
          <w:p w14:paraId="09E52F80" w14:textId="7786B967"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w:t>
            </w:r>
          </w:p>
        </w:tc>
        <w:tc>
          <w:tcPr>
            <w:tcW w:w="1130" w:type="dxa"/>
            <w:tcBorders>
              <w:top w:val="nil"/>
              <w:bottom w:val="nil"/>
            </w:tcBorders>
            <w:vAlign w:val="center"/>
          </w:tcPr>
          <w:p w14:paraId="385BEEAF" w14:textId="57822B21"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Pos</w:t>
            </w:r>
          </w:p>
        </w:tc>
        <w:tc>
          <w:tcPr>
            <w:tcW w:w="1080" w:type="dxa"/>
            <w:tcBorders>
              <w:top w:val="nil"/>
              <w:bottom w:val="nil"/>
            </w:tcBorders>
            <w:vAlign w:val="center"/>
          </w:tcPr>
          <w:p w14:paraId="39E0775B" w14:textId="779E655C"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8159B3">
              <w:rPr>
                <w:rFonts w:ascii="Arial" w:eastAsia="Arial" w:hAnsi="Arial" w:cs="Arial"/>
                <w:bCs/>
                <w:sz w:val="16"/>
                <w:szCs w:val="16"/>
              </w:rPr>
              <w:t>Pos</w:t>
            </w:r>
          </w:p>
        </w:tc>
        <w:tc>
          <w:tcPr>
            <w:tcW w:w="2070" w:type="dxa"/>
            <w:tcBorders>
              <w:top w:val="nil"/>
              <w:bottom w:val="nil"/>
            </w:tcBorders>
            <w:vAlign w:val="center"/>
          </w:tcPr>
          <w:p w14:paraId="54600373" w14:textId="271FD130"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2 (2, 0)</w:t>
            </w:r>
          </w:p>
        </w:tc>
        <w:tc>
          <w:tcPr>
            <w:tcW w:w="990" w:type="dxa"/>
            <w:tcBorders>
              <w:top w:val="nil"/>
              <w:bottom w:val="nil"/>
            </w:tcBorders>
            <w:vAlign w:val="center"/>
          </w:tcPr>
          <w:p w14:paraId="027139CF" w14:textId="0702AA83"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0</w:t>
            </w:r>
          </w:p>
        </w:tc>
        <w:tc>
          <w:tcPr>
            <w:tcW w:w="1494" w:type="dxa"/>
            <w:tcBorders>
              <w:top w:val="nil"/>
              <w:bottom w:val="nil"/>
            </w:tcBorders>
            <w:vAlign w:val="center"/>
          </w:tcPr>
          <w:p w14:paraId="2170501C" w14:textId="2A9422D0" w:rsidR="00A90F56" w:rsidRPr="008159B3" w:rsidRDefault="00A90F56" w:rsidP="000460A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2</w:t>
            </w:r>
          </w:p>
        </w:tc>
      </w:tr>
      <w:tr w:rsidR="00037F13" w:rsidRPr="008159B3" w14:paraId="7D4F5DA4" w14:textId="6CBDFD5D" w:rsidTr="00037F13">
        <w:tc>
          <w:tcPr>
            <w:cnfStyle w:val="001000000000" w:firstRow="0" w:lastRow="0" w:firstColumn="1" w:lastColumn="0" w:oddVBand="0" w:evenVBand="0" w:oddHBand="0" w:evenHBand="0" w:firstRowFirstColumn="0" w:firstRowLastColumn="0" w:lastRowFirstColumn="0" w:lastRowLastColumn="0"/>
            <w:tcW w:w="1620" w:type="dxa"/>
            <w:tcBorders>
              <w:top w:val="nil"/>
              <w:bottom w:val="nil"/>
            </w:tcBorders>
          </w:tcPr>
          <w:p w14:paraId="1C3862AD" w14:textId="77777777" w:rsidR="00A90F56" w:rsidRPr="008159B3" w:rsidRDefault="00A90F56" w:rsidP="00BE722A">
            <w:pPr>
              <w:jc w:val="center"/>
              <w:rPr>
                <w:rFonts w:ascii="Arial" w:eastAsia="Arial" w:hAnsi="Arial" w:cs="Arial"/>
                <w:b w:val="0"/>
                <w:sz w:val="16"/>
                <w:szCs w:val="16"/>
              </w:rPr>
            </w:pPr>
          </w:p>
        </w:tc>
        <w:tc>
          <w:tcPr>
            <w:tcW w:w="534" w:type="dxa"/>
            <w:tcBorders>
              <w:top w:val="nil"/>
              <w:bottom w:val="nil"/>
            </w:tcBorders>
            <w:vAlign w:val="center"/>
          </w:tcPr>
          <w:p w14:paraId="32A4398E" w14:textId="355BC243" w:rsidR="00A90F56" w:rsidRPr="00037F1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37F13">
              <w:rPr>
                <w:rFonts w:ascii="Arial" w:eastAsia="Arial" w:hAnsi="Arial" w:cs="Arial"/>
                <w:sz w:val="16"/>
                <w:szCs w:val="16"/>
              </w:rPr>
              <w:t>-</w:t>
            </w:r>
          </w:p>
        </w:tc>
        <w:tc>
          <w:tcPr>
            <w:tcW w:w="1306" w:type="dxa"/>
            <w:tcBorders>
              <w:top w:val="nil"/>
              <w:bottom w:val="nil"/>
            </w:tcBorders>
            <w:vAlign w:val="center"/>
          </w:tcPr>
          <w:p w14:paraId="6140C171" w14:textId="27535AD3"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w:t>
            </w:r>
          </w:p>
        </w:tc>
        <w:tc>
          <w:tcPr>
            <w:tcW w:w="1130" w:type="dxa"/>
            <w:tcBorders>
              <w:top w:val="nil"/>
              <w:bottom w:val="nil"/>
            </w:tcBorders>
            <w:vAlign w:val="center"/>
          </w:tcPr>
          <w:p w14:paraId="0C4A097C" w14:textId="2A790758"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w:t>
            </w:r>
          </w:p>
        </w:tc>
        <w:tc>
          <w:tcPr>
            <w:tcW w:w="1080" w:type="dxa"/>
            <w:tcBorders>
              <w:top w:val="nil"/>
              <w:bottom w:val="nil"/>
            </w:tcBorders>
            <w:vAlign w:val="center"/>
          </w:tcPr>
          <w:p w14:paraId="0F5A9013" w14:textId="39645855"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8159B3">
              <w:rPr>
                <w:rFonts w:ascii="Arial" w:eastAsia="Arial" w:hAnsi="Arial" w:cs="Arial"/>
                <w:bCs/>
                <w:sz w:val="16"/>
                <w:szCs w:val="16"/>
              </w:rPr>
              <w:t>Pos</w:t>
            </w:r>
          </w:p>
        </w:tc>
        <w:tc>
          <w:tcPr>
            <w:tcW w:w="2070" w:type="dxa"/>
            <w:tcBorders>
              <w:top w:val="nil"/>
              <w:bottom w:val="nil"/>
            </w:tcBorders>
            <w:vAlign w:val="center"/>
          </w:tcPr>
          <w:p w14:paraId="18BDA95F" w14:textId="6F038C55"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1 (1, 0)</w:t>
            </w:r>
          </w:p>
        </w:tc>
        <w:tc>
          <w:tcPr>
            <w:tcW w:w="990" w:type="dxa"/>
            <w:tcBorders>
              <w:top w:val="nil"/>
              <w:bottom w:val="nil"/>
            </w:tcBorders>
            <w:vAlign w:val="center"/>
          </w:tcPr>
          <w:p w14:paraId="3F17561D" w14:textId="1029146F"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1</w:t>
            </w:r>
            <w:r w:rsidR="007C5705" w:rsidRPr="00C14A24">
              <w:rPr>
                <w:rFonts w:ascii="Arial" w:eastAsia="Arial" w:hAnsi="Arial" w:cs="Arial"/>
                <w:sz w:val="16"/>
                <w:szCs w:val="16"/>
                <w:vertAlign w:val="superscript"/>
              </w:rPr>
              <w:t>‡</w:t>
            </w:r>
          </w:p>
        </w:tc>
        <w:tc>
          <w:tcPr>
            <w:tcW w:w="1494" w:type="dxa"/>
            <w:tcBorders>
              <w:top w:val="nil"/>
              <w:bottom w:val="nil"/>
            </w:tcBorders>
            <w:vAlign w:val="center"/>
          </w:tcPr>
          <w:p w14:paraId="4FADC5A8" w14:textId="66F5472A" w:rsidR="00A90F56" w:rsidRPr="008159B3" w:rsidRDefault="00A90F56" w:rsidP="000460A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2</w:t>
            </w:r>
          </w:p>
        </w:tc>
      </w:tr>
      <w:tr w:rsidR="00037F13" w:rsidRPr="008159B3" w14:paraId="2DE89B9E" w14:textId="58849506" w:rsidTr="00037F13">
        <w:tc>
          <w:tcPr>
            <w:cnfStyle w:val="001000000000" w:firstRow="0" w:lastRow="0" w:firstColumn="1" w:lastColumn="0" w:oddVBand="0" w:evenVBand="0" w:oddHBand="0" w:evenHBand="0" w:firstRowFirstColumn="0" w:firstRowLastColumn="0" w:lastRowFirstColumn="0" w:lastRowLastColumn="0"/>
            <w:tcW w:w="1620" w:type="dxa"/>
            <w:tcBorders>
              <w:top w:val="nil"/>
              <w:bottom w:val="single" w:sz="4" w:space="0" w:color="auto"/>
            </w:tcBorders>
          </w:tcPr>
          <w:p w14:paraId="1E71466F" w14:textId="77777777" w:rsidR="00A90F56" w:rsidRPr="008159B3" w:rsidRDefault="00A90F56" w:rsidP="00BE722A">
            <w:pPr>
              <w:jc w:val="center"/>
              <w:rPr>
                <w:rFonts w:ascii="Arial" w:eastAsia="Arial" w:hAnsi="Arial" w:cs="Arial"/>
                <w:b w:val="0"/>
                <w:sz w:val="16"/>
                <w:szCs w:val="16"/>
              </w:rPr>
            </w:pPr>
          </w:p>
        </w:tc>
        <w:tc>
          <w:tcPr>
            <w:tcW w:w="534" w:type="dxa"/>
            <w:tcBorders>
              <w:top w:val="nil"/>
              <w:bottom w:val="single" w:sz="4" w:space="0" w:color="auto"/>
            </w:tcBorders>
            <w:vAlign w:val="center"/>
          </w:tcPr>
          <w:p w14:paraId="620CE88A" w14:textId="3A2E54A0" w:rsidR="00A90F56" w:rsidRPr="00037F1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37F13">
              <w:rPr>
                <w:rFonts w:ascii="Arial" w:eastAsia="Arial" w:hAnsi="Arial" w:cs="Arial"/>
                <w:sz w:val="16"/>
                <w:szCs w:val="16"/>
              </w:rPr>
              <w:t>-</w:t>
            </w:r>
          </w:p>
        </w:tc>
        <w:tc>
          <w:tcPr>
            <w:tcW w:w="1306" w:type="dxa"/>
            <w:tcBorders>
              <w:top w:val="nil"/>
              <w:bottom w:val="single" w:sz="4" w:space="0" w:color="auto"/>
            </w:tcBorders>
            <w:vAlign w:val="center"/>
          </w:tcPr>
          <w:p w14:paraId="2441E93A" w14:textId="4A255CA9"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w:t>
            </w:r>
          </w:p>
        </w:tc>
        <w:tc>
          <w:tcPr>
            <w:tcW w:w="1130" w:type="dxa"/>
            <w:tcBorders>
              <w:top w:val="nil"/>
              <w:bottom w:val="single" w:sz="4" w:space="0" w:color="auto"/>
            </w:tcBorders>
            <w:vAlign w:val="center"/>
          </w:tcPr>
          <w:p w14:paraId="0F9D098D" w14:textId="6B3C75B6"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w:t>
            </w:r>
          </w:p>
        </w:tc>
        <w:tc>
          <w:tcPr>
            <w:tcW w:w="1080" w:type="dxa"/>
            <w:tcBorders>
              <w:top w:val="nil"/>
              <w:bottom w:val="single" w:sz="4" w:space="0" w:color="auto"/>
            </w:tcBorders>
            <w:vAlign w:val="center"/>
          </w:tcPr>
          <w:p w14:paraId="16841189" w14:textId="21AA3F10"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8159B3">
              <w:rPr>
                <w:rFonts w:ascii="Arial" w:eastAsia="Arial" w:hAnsi="Arial" w:cs="Arial"/>
                <w:bCs/>
                <w:sz w:val="16"/>
                <w:szCs w:val="16"/>
              </w:rPr>
              <w:t>-</w:t>
            </w:r>
          </w:p>
        </w:tc>
        <w:tc>
          <w:tcPr>
            <w:tcW w:w="2070" w:type="dxa"/>
            <w:tcBorders>
              <w:top w:val="nil"/>
              <w:bottom w:val="single" w:sz="4" w:space="0" w:color="auto"/>
            </w:tcBorders>
            <w:vAlign w:val="center"/>
          </w:tcPr>
          <w:p w14:paraId="4217CB56" w14:textId="405C14CC"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7</w:t>
            </w:r>
            <w:r w:rsidRPr="008159B3">
              <w:rPr>
                <w:rFonts w:ascii="Arial" w:eastAsia="Arial" w:hAnsi="Arial" w:cs="Arial"/>
                <w:sz w:val="16"/>
                <w:szCs w:val="16"/>
              </w:rPr>
              <w:t xml:space="preserve"> (</w:t>
            </w:r>
            <w:r>
              <w:rPr>
                <w:rFonts w:ascii="Arial" w:eastAsia="Arial" w:hAnsi="Arial" w:cs="Arial"/>
                <w:sz w:val="16"/>
                <w:szCs w:val="16"/>
              </w:rPr>
              <w:t>7</w:t>
            </w:r>
            <w:r w:rsidRPr="008159B3">
              <w:rPr>
                <w:rFonts w:ascii="Arial" w:eastAsia="Arial" w:hAnsi="Arial" w:cs="Arial"/>
                <w:sz w:val="16"/>
                <w:szCs w:val="16"/>
              </w:rPr>
              <w:t>, 0)</w:t>
            </w:r>
          </w:p>
        </w:tc>
        <w:tc>
          <w:tcPr>
            <w:tcW w:w="990" w:type="dxa"/>
            <w:tcBorders>
              <w:top w:val="nil"/>
              <w:bottom w:val="single" w:sz="4" w:space="0" w:color="auto"/>
            </w:tcBorders>
            <w:vAlign w:val="center"/>
          </w:tcPr>
          <w:p w14:paraId="25E06DFF" w14:textId="2796BF16"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6</w:t>
            </w:r>
            <w:r>
              <w:rPr>
                <w:rFonts w:ascii="Arial" w:eastAsia="Arial" w:hAnsi="Arial" w:cs="Arial"/>
                <w:sz w:val="16"/>
                <w:szCs w:val="16"/>
              </w:rPr>
              <w:t>1</w:t>
            </w:r>
          </w:p>
        </w:tc>
        <w:tc>
          <w:tcPr>
            <w:tcW w:w="1494" w:type="dxa"/>
            <w:tcBorders>
              <w:top w:val="nil"/>
              <w:bottom w:val="single" w:sz="4" w:space="0" w:color="auto"/>
            </w:tcBorders>
            <w:vAlign w:val="center"/>
          </w:tcPr>
          <w:p w14:paraId="7155DC98" w14:textId="4465E1A1" w:rsidR="00A90F56" w:rsidRPr="008159B3" w:rsidRDefault="00A90F56" w:rsidP="000460A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68</w:t>
            </w:r>
          </w:p>
        </w:tc>
      </w:tr>
      <w:tr w:rsidR="00037F13" w:rsidRPr="008159B3" w14:paraId="5DFD3D94" w14:textId="05FCB61F" w:rsidTr="00037F13">
        <w:trPr>
          <w:trHeight w:val="278"/>
        </w:trPr>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tcBorders>
            <w:vAlign w:val="center"/>
          </w:tcPr>
          <w:p w14:paraId="12B02E65" w14:textId="03869285" w:rsidR="00A90F56" w:rsidRDefault="00A90F56" w:rsidP="00037F13">
            <w:pPr>
              <w:rPr>
                <w:rFonts w:ascii="Arial" w:eastAsia="Arial" w:hAnsi="Arial" w:cs="Arial"/>
                <w:b w:val="0"/>
                <w:sz w:val="16"/>
                <w:szCs w:val="16"/>
              </w:rPr>
            </w:pPr>
            <w:r>
              <w:rPr>
                <w:rFonts w:ascii="Arial" w:eastAsia="Arial" w:hAnsi="Arial" w:cs="Arial"/>
                <w:b w:val="0"/>
                <w:sz w:val="16"/>
                <w:szCs w:val="16"/>
              </w:rPr>
              <w:t>No. positive pools</w:t>
            </w:r>
          </w:p>
        </w:tc>
        <w:tc>
          <w:tcPr>
            <w:tcW w:w="534" w:type="dxa"/>
            <w:tcBorders>
              <w:top w:val="single" w:sz="4" w:space="0" w:color="auto"/>
            </w:tcBorders>
            <w:vAlign w:val="center"/>
          </w:tcPr>
          <w:p w14:paraId="1D89C915" w14:textId="03848468" w:rsidR="00A90F56" w:rsidRPr="00037F13" w:rsidRDefault="00A90F56" w:rsidP="007C570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37F13">
              <w:rPr>
                <w:rFonts w:ascii="Arial" w:eastAsia="Arial" w:hAnsi="Arial" w:cs="Arial"/>
                <w:sz w:val="16"/>
                <w:szCs w:val="16"/>
              </w:rPr>
              <w:t>3</w:t>
            </w:r>
            <w:r w:rsidR="003C4FA2">
              <w:rPr>
                <w:rFonts w:ascii="Arial" w:eastAsia="Arial" w:hAnsi="Arial" w:cs="Arial"/>
                <w:sz w:val="16"/>
                <w:szCs w:val="16"/>
              </w:rPr>
              <w:t>4</w:t>
            </w:r>
          </w:p>
        </w:tc>
        <w:tc>
          <w:tcPr>
            <w:tcW w:w="1306" w:type="dxa"/>
            <w:tcBorders>
              <w:top w:val="single" w:sz="4" w:space="0" w:color="auto"/>
            </w:tcBorders>
            <w:vAlign w:val="center"/>
          </w:tcPr>
          <w:p w14:paraId="49F3E825" w14:textId="63EB56BE" w:rsidR="00A90F56" w:rsidRPr="008159B3" w:rsidRDefault="003C4FA2" w:rsidP="007C570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36</w:t>
            </w:r>
          </w:p>
        </w:tc>
        <w:tc>
          <w:tcPr>
            <w:tcW w:w="1130" w:type="dxa"/>
            <w:tcBorders>
              <w:top w:val="single" w:sz="4" w:space="0" w:color="auto"/>
            </w:tcBorders>
            <w:vAlign w:val="center"/>
          </w:tcPr>
          <w:p w14:paraId="2D1DB227" w14:textId="6C081B28" w:rsidR="00A90F56" w:rsidRPr="008159B3" w:rsidRDefault="003C4FA2" w:rsidP="007C570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34</w:t>
            </w:r>
          </w:p>
        </w:tc>
        <w:tc>
          <w:tcPr>
            <w:tcW w:w="1080" w:type="dxa"/>
            <w:tcBorders>
              <w:top w:val="single" w:sz="4" w:space="0" w:color="auto"/>
            </w:tcBorders>
            <w:vAlign w:val="center"/>
          </w:tcPr>
          <w:p w14:paraId="67484C6B" w14:textId="51CDD8EB" w:rsidR="00A90F56" w:rsidRPr="008159B3" w:rsidRDefault="00DB2EB2" w:rsidP="007C570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39</w:t>
            </w:r>
          </w:p>
        </w:tc>
        <w:tc>
          <w:tcPr>
            <w:tcW w:w="2070" w:type="dxa"/>
            <w:tcBorders>
              <w:top w:val="single" w:sz="4" w:space="0" w:color="auto"/>
            </w:tcBorders>
            <w:vAlign w:val="center"/>
          </w:tcPr>
          <w:p w14:paraId="6FDA3B2F" w14:textId="0DFABAF2" w:rsidR="00A90F56" w:rsidRDefault="00A90F56" w:rsidP="007C570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46 (36, 10)</w:t>
            </w:r>
          </w:p>
        </w:tc>
        <w:tc>
          <w:tcPr>
            <w:tcW w:w="990" w:type="dxa"/>
            <w:tcBorders>
              <w:top w:val="single" w:sz="4" w:space="0" w:color="auto"/>
            </w:tcBorders>
            <w:vAlign w:val="center"/>
          </w:tcPr>
          <w:p w14:paraId="221D6D77" w14:textId="50CF2129" w:rsidR="00A90F56" w:rsidRPr="008159B3" w:rsidRDefault="0004286A" w:rsidP="007C570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1494" w:type="dxa"/>
            <w:tcBorders>
              <w:top w:val="single" w:sz="4" w:space="0" w:color="auto"/>
            </w:tcBorders>
            <w:vAlign w:val="center"/>
          </w:tcPr>
          <w:p w14:paraId="4AE38353" w14:textId="4693BF8E" w:rsidR="00A90F56" w:rsidRPr="008159B3" w:rsidRDefault="0004286A" w:rsidP="007C570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r>
      <w:tr w:rsidR="00037F13" w:rsidRPr="008159B3" w14:paraId="6F1A51D1" w14:textId="1531EC9C" w:rsidTr="00037F13">
        <w:trPr>
          <w:trHeight w:val="260"/>
        </w:trPr>
        <w:tc>
          <w:tcPr>
            <w:cnfStyle w:val="001000000000" w:firstRow="0" w:lastRow="0" w:firstColumn="1" w:lastColumn="0" w:oddVBand="0" w:evenVBand="0" w:oddHBand="0" w:evenHBand="0" w:firstRowFirstColumn="0" w:firstRowLastColumn="0" w:lastRowFirstColumn="0" w:lastRowLastColumn="0"/>
            <w:tcW w:w="1620" w:type="dxa"/>
            <w:vAlign w:val="center"/>
          </w:tcPr>
          <w:p w14:paraId="289F83E1" w14:textId="1BD4D367" w:rsidR="00A90F56" w:rsidRDefault="00A90F56" w:rsidP="00037F13">
            <w:pPr>
              <w:rPr>
                <w:rFonts w:ascii="Arial" w:eastAsia="Arial" w:hAnsi="Arial" w:cs="Arial"/>
                <w:b w:val="0"/>
                <w:sz w:val="16"/>
                <w:szCs w:val="16"/>
              </w:rPr>
            </w:pPr>
            <w:r>
              <w:rPr>
                <w:rFonts w:ascii="Arial" w:eastAsia="Arial" w:hAnsi="Arial" w:cs="Arial"/>
                <w:b w:val="0"/>
                <w:sz w:val="16"/>
                <w:szCs w:val="16"/>
              </w:rPr>
              <w:t>No. negative pools</w:t>
            </w:r>
          </w:p>
        </w:tc>
        <w:tc>
          <w:tcPr>
            <w:tcW w:w="534" w:type="dxa"/>
            <w:vAlign w:val="center"/>
          </w:tcPr>
          <w:p w14:paraId="15020C5B" w14:textId="05758244" w:rsidR="00A90F56" w:rsidRPr="00037F13" w:rsidRDefault="003C4FA2" w:rsidP="007C570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76</w:t>
            </w:r>
          </w:p>
        </w:tc>
        <w:tc>
          <w:tcPr>
            <w:tcW w:w="1306" w:type="dxa"/>
            <w:vAlign w:val="center"/>
          </w:tcPr>
          <w:p w14:paraId="0AA0B77C" w14:textId="5FF8B023" w:rsidR="00A90F56" w:rsidRPr="008159B3" w:rsidRDefault="003C4FA2" w:rsidP="007C570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74</w:t>
            </w:r>
          </w:p>
        </w:tc>
        <w:tc>
          <w:tcPr>
            <w:tcW w:w="1130" w:type="dxa"/>
            <w:vAlign w:val="center"/>
          </w:tcPr>
          <w:p w14:paraId="52ABBAE8" w14:textId="75800C19" w:rsidR="00A90F56" w:rsidRPr="008159B3" w:rsidRDefault="00DB2EB2" w:rsidP="007C570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76</w:t>
            </w:r>
          </w:p>
        </w:tc>
        <w:tc>
          <w:tcPr>
            <w:tcW w:w="1080" w:type="dxa"/>
            <w:vAlign w:val="center"/>
          </w:tcPr>
          <w:p w14:paraId="212E2C3A" w14:textId="4B76E159" w:rsidR="00A90F56" w:rsidRPr="008159B3" w:rsidRDefault="00DB2EB2" w:rsidP="007C570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71</w:t>
            </w:r>
          </w:p>
        </w:tc>
        <w:tc>
          <w:tcPr>
            <w:tcW w:w="2070" w:type="dxa"/>
            <w:vAlign w:val="center"/>
          </w:tcPr>
          <w:p w14:paraId="1872B5E7" w14:textId="12EEF90B" w:rsidR="00A90F56" w:rsidRDefault="0004286A" w:rsidP="007C570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990" w:type="dxa"/>
            <w:vAlign w:val="center"/>
          </w:tcPr>
          <w:p w14:paraId="03B919AA" w14:textId="0F1ADABE" w:rsidR="00A90F56" w:rsidRPr="008159B3" w:rsidRDefault="00A90F56" w:rsidP="007C570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64</w:t>
            </w:r>
          </w:p>
        </w:tc>
        <w:tc>
          <w:tcPr>
            <w:tcW w:w="1494" w:type="dxa"/>
            <w:vAlign w:val="center"/>
          </w:tcPr>
          <w:p w14:paraId="374ECDE7" w14:textId="5F66470E" w:rsidR="00A90F56" w:rsidRDefault="0004286A" w:rsidP="007C570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r>
      <w:tr w:rsidR="00037F13" w:rsidRPr="008159B3" w14:paraId="505E1B20" w14:textId="653DD75B" w:rsidTr="00037F13">
        <w:trPr>
          <w:trHeight w:val="251"/>
        </w:trPr>
        <w:tc>
          <w:tcPr>
            <w:cnfStyle w:val="001000000000" w:firstRow="0" w:lastRow="0" w:firstColumn="1" w:lastColumn="0" w:oddVBand="0" w:evenVBand="0" w:oddHBand="0" w:evenHBand="0" w:firstRowFirstColumn="0" w:firstRowLastColumn="0" w:lastRowFirstColumn="0" w:lastRowLastColumn="0"/>
            <w:tcW w:w="1620" w:type="dxa"/>
            <w:tcBorders>
              <w:bottom w:val="single" w:sz="4" w:space="0" w:color="auto"/>
            </w:tcBorders>
            <w:vAlign w:val="center"/>
          </w:tcPr>
          <w:p w14:paraId="4604FB6D" w14:textId="5FD16A0F" w:rsidR="00A90F56" w:rsidRDefault="00A90F56" w:rsidP="00037F13">
            <w:pPr>
              <w:rPr>
                <w:rFonts w:ascii="Arial" w:eastAsia="Arial" w:hAnsi="Arial" w:cs="Arial"/>
                <w:b w:val="0"/>
                <w:sz w:val="16"/>
                <w:szCs w:val="16"/>
              </w:rPr>
            </w:pPr>
            <w:r>
              <w:rPr>
                <w:rFonts w:ascii="Arial" w:eastAsia="Arial" w:hAnsi="Arial" w:cs="Arial"/>
                <w:b w:val="0"/>
                <w:sz w:val="16"/>
                <w:szCs w:val="16"/>
              </w:rPr>
              <w:t>Total no. pools</w:t>
            </w:r>
          </w:p>
        </w:tc>
        <w:tc>
          <w:tcPr>
            <w:tcW w:w="534" w:type="dxa"/>
            <w:tcBorders>
              <w:bottom w:val="single" w:sz="4" w:space="0" w:color="auto"/>
            </w:tcBorders>
            <w:vAlign w:val="center"/>
          </w:tcPr>
          <w:p w14:paraId="473B8380" w14:textId="389420D7" w:rsidR="00A90F56" w:rsidRPr="00037F13" w:rsidRDefault="003C4FA2" w:rsidP="007C570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110</w:t>
            </w:r>
          </w:p>
        </w:tc>
        <w:tc>
          <w:tcPr>
            <w:tcW w:w="1306" w:type="dxa"/>
            <w:tcBorders>
              <w:bottom w:val="single" w:sz="4" w:space="0" w:color="auto"/>
            </w:tcBorders>
            <w:vAlign w:val="center"/>
          </w:tcPr>
          <w:p w14:paraId="5130A8B4" w14:textId="284C057D" w:rsidR="00A90F56" w:rsidRPr="008159B3" w:rsidRDefault="003C4FA2" w:rsidP="007C570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110</w:t>
            </w:r>
          </w:p>
        </w:tc>
        <w:tc>
          <w:tcPr>
            <w:tcW w:w="1130" w:type="dxa"/>
            <w:tcBorders>
              <w:bottom w:val="single" w:sz="4" w:space="0" w:color="auto"/>
            </w:tcBorders>
            <w:vAlign w:val="center"/>
          </w:tcPr>
          <w:p w14:paraId="52C4EE1C" w14:textId="7BEFAC6A" w:rsidR="00A90F56" w:rsidRPr="008159B3" w:rsidRDefault="00DB2EB2" w:rsidP="007C570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110</w:t>
            </w:r>
          </w:p>
        </w:tc>
        <w:tc>
          <w:tcPr>
            <w:tcW w:w="1080" w:type="dxa"/>
            <w:tcBorders>
              <w:bottom w:val="single" w:sz="4" w:space="0" w:color="auto"/>
            </w:tcBorders>
            <w:vAlign w:val="center"/>
          </w:tcPr>
          <w:p w14:paraId="67EF9783" w14:textId="4F531F22" w:rsidR="00A90F56" w:rsidRPr="008159B3" w:rsidRDefault="00DB2EB2" w:rsidP="007C570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110</w:t>
            </w:r>
          </w:p>
        </w:tc>
        <w:tc>
          <w:tcPr>
            <w:tcW w:w="2070" w:type="dxa"/>
            <w:tcBorders>
              <w:bottom w:val="single" w:sz="4" w:space="0" w:color="auto"/>
            </w:tcBorders>
            <w:vAlign w:val="center"/>
          </w:tcPr>
          <w:p w14:paraId="740B8ED9" w14:textId="78BB5FF3" w:rsidR="00A90F56" w:rsidRDefault="0004286A" w:rsidP="007C570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990" w:type="dxa"/>
            <w:tcBorders>
              <w:bottom w:val="single" w:sz="4" w:space="0" w:color="auto"/>
            </w:tcBorders>
            <w:vAlign w:val="center"/>
          </w:tcPr>
          <w:p w14:paraId="7A7407D9" w14:textId="62791037" w:rsidR="00A90F56" w:rsidRPr="008159B3" w:rsidRDefault="0004286A" w:rsidP="007C570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1494" w:type="dxa"/>
            <w:tcBorders>
              <w:bottom w:val="single" w:sz="4" w:space="0" w:color="auto"/>
            </w:tcBorders>
            <w:vAlign w:val="center"/>
          </w:tcPr>
          <w:p w14:paraId="107B9FFE" w14:textId="7324A0E7" w:rsidR="00A90F56" w:rsidRPr="008159B3" w:rsidRDefault="00A90F56" w:rsidP="007C570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110</w:t>
            </w:r>
          </w:p>
        </w:tc>
      </w:tr>
      <w:tr w:rsidR="00A90F56" w:rsidRPr="008159B3" w14:paraId="564A2B5B" w14:textId="71B59642" w:rsidTr="00037F13">
        <w:trPr>
          <w:trHeight w:val="1250"/>
        </w:trPr>
        <w:tc>
          <w:tcPr>
            <w:cnfStyle w:val="001000000000" w:firstRow="0" w:lastRow="0" w:firstColumn="1" w:lastColumn="0" w:oddVBand="0" w:evenVBand="0" w:oddHBand="0" w:evenHBand="0" w:firstRowFirstColumn="0" w:firstRowLastColumn="0" w:lastRowFirstColumn="0" w:lastRowLastColumn="0"/>
            <w:tcW w:w="10224" w:type="dxa"/>
            <w:gridSpan w:val="8"/>
            <w:tcBorders>
              <w:top w:val="nil"/>
              <w:bottom w:val="nil"/>
            </w:tcBorders>
            <w:vAlign w:val="bottom"/>
          </w:tcPr>
          <w:p w14:paraId="6A93335D" w14:textId="4971D3A5" w:rsidR="00A90F56" w:rsidRPr="00037F13" w:rsidRDefault="007C5705" w:rsidP="007C5705">
            <w:pPr>
              <w:rPr>
                <w:rFonts w:ascii="Arial" w:eastAsia="Arial" w:hAnsi="Arial" w:cs="Arial"/>
                <w:bCs w:val="0"/>
                <w:sz w:val="16"/>
                <w:szCs w:val="16"/>
              </w:rPr>
            </w:pPr>
            <w:r w:rsidRPr="00687C15">
              <w:rPr>
                <w:rFonts w:ascii="Arial" w:eastAsia="Arial" w:hAnsi="Arial" w:cs="Arial"/>
                <w:b w:val="0"/>
                <w:sz w:val="16"/>
                <w:szCs w:val="16"/>
              </w:rPr>
              <w:t>*</w:t>
            </w:r>
            <w:r w:rsidR="00A90F56" w:rsidRPr="00687C15">
              <w:rPr>
                <w:rFonts w:ascii="Arial" w:eastAsia="Arial" w:hAnsi="Arial" w:cs="Arial"/>
                <w:b w:val="0"/>
                <w:sz w:val="16"/>
                <w:szCs w:val="16"/>
              </w:rPr>
              <w:t>False positive</w:t>
            </w:r>
            <w:r w:rsidR="00A90F56" w:rsidRPr="00687C15">
              <w:rPr>
                <w:rFonts w:ascii="Arial" w:eastAsia="Arial" w:hAnsi="Arial" w:cs="Arial"/>
                <w:b w:val="0"/>
                <w:i/>
                <w:sz w:val="16"/>
                <w:szCs w:val="16"/>
              </w:rPr>
              <w:t xml:space="preserve"> </w:t>
            </w:r>
            <w:r w:rsidR="00A90F56" w:rsidRPr="00687C15">
              <w:rPr>
                <w:rFonts w:ascii="Arial" w:eastAsia="Arial" w:hAnsi="Arial" w:cs="Arial"/>
                <w:b w:val="0"/>
                <w:sz w:val="16"/>
                <w:szCs w:val="16"/>
              </w:rPr>
              <w:t>LDT C</w:t>
            </w:r>
            <w:r w:rsidR="00A90F56" w:rsidRPr="00687C15">
              <w:rPr>
                <w:rFonts w:ascii="Arial" w:eastAsia="Arial" w:hAnsi="Arial" w:cs="Arial"/>
                <w:b w:val="0"/>
                <w:sz w:val="16"/>
                <w:szCs w:val="16"/>
                <w:vertAlign w:val="subscript"/>
              </w:rPr>
              <w:t>t</w:t>
            </w:r>
            <w:r w:rsidR="00A90F56" w:rsidRPr="00687C15">
              <w:rPr>
                <w:rFonts w:ascii="Arial" w:eastAsia="Arial" w:hAnsi="Arial" w:cs="Arial"/>
                <w:b w:val="0"/>
                <w:sz w:val="16"/>
                <w:szCs w:val="16"/>
              </w:rPr>
              <w:t xml:space="preserve"> value was 37.5.</w:t>
            </w:r>
          </w:p>
          <w:p w14:paraId="2C2676B0" w14:textId="7033364D" w:rsidR="00A90F56" w:rsidRPr="00687C15" w:rsidRDefault="007C5705" w:rsidP="007C5705">
            <w:pPr>
              <w:rPr>
                <w:rFonts w:ascii="Arial" w:eastAsia="Arial" w:hAnsi="Arial" w:cs="Arial"/>
                <w:b w:val="0"/>
                <w:sz w:val="16"/>
                <w:szCs w:val="16"/>
              </w:rPr>
            </w:pPr>
            <w:r w:rsidRPr="00C14A24">
              <w:rPr>
                <w:rFonts w:ascii="Arial" w:eastAsia="Arial" w:hAnsi="Arial" w:cs="Arial"/>
                <w:sz w:val="16"/>
                <w:szCs w:val="16"/>
                <w:vertAlign w:val="superscript"/>
              </w:rPr>
              <w:t>†</w:t>
            </w:r>
            <w:r w:rsidR="00A90F56" w:rsidRPr="00687C15">
              <w:rPr>
                <w:rFonts w:ascii="Arial" w:eastAsia="Arial" w:hAnsi="Arial" w:cs="Arial"/>
                <w:b w:val="0"/>
                <w:sz w:val="16"/>
                <w:szCs w:val="16"/>
              </w:rPr>
              <w:t>False positive Panther Fusion C</w:t>
            </w:r>
            <w:r w:rsidR="00A90F56" w:rsidRPr="00687C15">
              <w:rPr>
                <w:rFonts w:ascii="Arial" w:eastAsia="Arial" w:hAnsi="Arial" w:cs="Arial"/>
                <w:b w:val="0"/>
                <w:sz w:val="16"/>
                <w:szCs w:val="16"/>
                <w:vertAlign w:val="subscript"/>
              </w:rPr>
              <w:t>t</w:t>
            </w:r>
            <w:r w:rsidR="00A90F56" w:rsidRPr="00687C15">
              <w:rPr>
                <w:rFonts w:ascii="Arial" w:eastAsia="Arial" w:hAnsi="Arial" w:cs="Arial"/>
                <w:b w:val="0"/>
                <w:sz w:val="16"/>
                <w:szCs w:val="16"/>
              </w:rPr>
              <w:t xml:space="preserve"> value was 38.8.</w:t>
            </w:r>
          </w:p>
          <w:p w14:paraId="5AA41A19" w14:textId="4BE15616" w:rsidR="00A90F56" w:rsidRPr="00687C15" w:rsidRDefault="007C5705" w:rsidP="007C5705">
            <w:pPr>
              <w:rPr>
                <w:rFonts w:ascii="Arial" w:eastAsia="Arial" w:hAnsi="Arial" w:cs="Arial"/>
                <w:b w:val="0"/>
                <w:sz w:val="16"/>
                <w:szCs w:val="16"/>
              </w:rPr>
            </w:pPr>
            <w:r w:rsidRPr="00C14A24">
              <w:rPr>
                <w:rFonts w:ascii="Arial" w:eastAsia="Arial" w:hAnsi="Arial" w:cs="Arial"/>
                <w:sz w:val="16"/>
                <w:szCs w:val="16"/>
                <w:vertAlign w:val="superscript"/>
              </w:rPr>
              <w:t>‡</w:t>
            </w:r>
            <w:r w:rsidR="00A90F56" w:rsidRPr="00687C15">
              <w:rPr>
                <w:rFonts w:ascii="Arial" w:eastAsia="Arial" w:hAnsi="Arial" w:cs="Arial"/>
                <w:b w:val="0"/>
                <w:sz w:val="16"/>
                <w:szCs w:val="16"/>
              </w:rPr>
              <w:t>False positive Panther Aptima-350 RLU value was 434.</w:t>
            </w:r>
          </w:p>
          <w:p w14:paraId="5E524AA6" w14:textId="6C1CC48F" w:rsidR="00A90F56" w:rsidRPr="008159B3" w:rsidRDefault="00A90F56" w:rsidP="00037F13">
            <w:pPr>
              <w:rPr>
                <w:rFonts w:ascii="Arial" w:eastAsia="Arial" w:hAnsi="Arial" w:cs="Arial"/>
                <w:sz w:val="16"/>
                <w:szCs w:val="16"/>
              </w:rPr>
            </w:pPr>
            <w:r w:rsidRPr="00687C15">
              <w:rPr>
                <w:rFonts w:ascii="Arial" w:eastAsia="Arial" w:hAnsi="Arial" w:cs="Arial"/>
                <w:b w:val="0"/>
                <w:sz w:val="16"/>
                <w:szCs w:val="16"/>
              </w:rPr>
              <w:t xml:space="preserve">LDT, lab developed test; Panther Aptima-M, Panther Aptima with manufacturer-set relative light unit cutoff; Panther Aptima-350, Panther Aptima with relative light unit cutoff of &gt;350 considered positive; no., number; 1PP, 1 positive specimen in pool; &gt;1PP, 2 or more positive specimens in pool; Pos, positive; -, negative; </w:t>
            </w:r>
            <w:r w:rsidRPr="00687C15">
              <w:rPr>
                <w:rFonts w:ascii="Arial" w:eastAsia="Arial" w:hAnsi="Arial" w:cs="Arial"/>
                <w:b w:val="0"/>
                <w:bCs w:val="0"/>
                <w:sz w:val="16"/>
                <w:szCs w:val="16"/>
              </w:rPr>
              <w:t>C</w:t>
            </w:r>
            <w:r w:rsidRPr="00687C15">
              <w:rPr>
                <w:rFonts w:ascii="Arial" w:eastAsia="Arial" w:hAnsi="Arial" w:cs="Arial"/>
                <w:b w:val="0"/>
                <w:bCs w:val="0"/>
                <w:sz w:val="16"/>
                <w:szCs w:val="16"/>
                <w:vertAlign w:val="subscript"/>
              </w:rPr>
              <w:t>t</w:t>
            </w:r>
            <w:r w:rsidRPr="00687C15">
              <w:rPr>
                <w:rFonts w:ascii="Arial" w:eastAsia="Arial" w:hAnsi="Arial" w:cs="Arial"/>
                <w:b w:val="0"/>
                <w:bCs w:val="0"/>
                <w:sz w:val="16"/>
                <w:szCs w:val="16"/>
              </w:rPr>
              <w:t xml:space="preserve">, cycle threshold; </w:t>
            </w:r>
            <w:r w:rsidRPr="00687C15">
              <w:rPr>
                <w:rFonts w:ascii="Arial" w:eastAsia="Arial" w:hAnsi="Arial" w:cs="Arial"/>
                <w:b w:val="0"/>
                <w:sz w:val="16"/>
                <w:szCs w:val="16"/>
              </w:rPr>
              <w:t>RLU, relative light unit.</w:t>
            </w:r>
          </w:p>
        </w:tc>
      </w:tr>
    </w:tbl>
    <w:p w14:paraId="1A198754" w14:textId="77777777" w:rsidR="00B25D95" w:rsidRDefault="00B25D95">
      <w:pPr>
        <w:rPr>
          <w:rFonts w:ascii="Arial" w:eastAsia="Arial" w:hAnsi="Arial" w:cs="Arial"/>
          <w:sz w:val="16"/>
          <w:szCs w:val="16"/>
        </w:rPr>
      </w:pPr>
      <w:r>
        <w:rPr>
          <w:rFonts w:ascii="Arial" w:eastAsia="Arial" w:hAnsi="Arial" w:cs="Arial"/>
          <w:sz w:val="16"/>
          <w:szCs w:val="16"/>
        </w:rPr>
        <w:br w:type="page"/>
      </w:r>
    </w:p>
    <w:p w14:paraId="099505F6" w14:textId="19EB0BE4" w:rsidR="00A407AA" w:rsidRPr="00687C15" w:rsidRDefault="5885873D" w:rsidP="00814D6B">
      <w:pPr>
        <w:spacing w:line="480" w:lineRule="auto"/>
        <w:rPr>
          <w:rFonts w:eastAsia="Arial"/>
        </w:rPr>
      </w:pPr>
      <w:r w:rsidRPr="00B1770D">
        <w:rPr>
          <w:rFonts w:eastAsia="Arial"/>
          <w:b/>
          <w:bCs/>
        </w:rPr>
        <w:lastRenderedPageBreak/>
        <w:t xml:space="preserve">Table </w:t>
      </w:r>
      <w:r w:rsidR="00492F59">
        <w:rPr>
          <w:rFonts w:eastAsia="Arial"/>
          <w:b/>
          <w:bCs/>
        </w:rPr>
        <w:t>4</w:t>
      </w:r>
      <w:r w:rsidRPr="00B1770D">
        <w:rPr>
          <w:rFonts w:eastAsia="Arial"/>
          <w:b/>
          <w:bCs/>
        </w:rPr>
        <w:t>.</w:t>
      </w:r>
      <w:r w:rsidRPr="006F1059">
        <w:rPr>
          <w:rFonts w:eastAsia="Arial"/>
        </w:rPr>
        <w:t xml:space="preserve"> Performance characteristics and efficiency of </w:t>
      </w:r>
      <w:r w:rsidR="004D6AC1">
        <w:rPr>
          <w:rFonts w:eastAsia="Arial"/>
        </w:rPr>
        <w:t>8-sample and 4-sample pooled testing, by testing platform (n=302)</w:t>
      </w:r>
    </w:p>
    <w:tbl>
      <w:tblPr>
        <w:tblStyle w:val="PlainTable21"/>
        <w:tblW w:w="0" w:type="auto"/>
        <w:tblLook w:val="06A0" w:firstRow="1" w:lastRow="0" w:firstColumn="1" w:lastColumn="0" w:noHBand="1" w:noVBand="1"/>
      </w:tblPr>
      <w:tblGrid>
        <w:gridCol w:w="1782"/>
        <w:gridCol w:w="1019"/>
        <w:gridCol w:w="1981"/>
        <w:gridCol w:w="1935"/>
        <w:gridCol w:w="1577"/>
        <w:gridCol w:w="1642"/>
      </w:tblGrid>
      <w:tr w:rsidR="00037F13" w14:paraId="06BE0CDE" w14:textId="77777777" w:rsidTr="00037F13">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9" w:type="dxa"/>
            <w:tcBorders>
              <w:top w:val="single" w:sz="4" w:space="0" w:color="auto"/>
            </w:tcBorders>
            <w:vAlign w:val="center"/>
          </w:tcPr>
          <w:p w14:paraId="03710E88" w14:textId="0B5B9F62" w:rsidR="007215FE" w:rsidRPr="00037F13" w:rsidRDefault="007215FE" w:rsidP="00AA2EE9">
            <w:pPr>
              <w:rPr>
                <w:rFonts w:ascii="Arial" w:eastAsia="Arial" w:hAnsi="Arial" w:cs="Arial"/>
                <w:b w:val="0"/>
                <w:sz w:val="16"/>
                <w:szCs w:val="16"/>
              </w:rPr>
            </w:pPr>
            <w:r w:rsidRPr="00037F13">
              <w:rPr>
                <w:rFonts w:ascii="Arial" w:eastAsia="Arial" w:hAnsi="Arial" w:cs="Arial"/>
                <w:b w:val="0"/>
                <w:sz w:val="16"/>
                <w:szCs w:val="16"/>
              </w:rPr>
              <w:t>Testing platform</w:t>
            </w:r>
          </w:p>
        </w:tc>
        <w:tc>
          <w:tcPr>
            <w:tcW w:w="969" w:type="dxa"/>
            <w:tcBorders>
              <w:top w:val="single" w:sz="4" w:space="0" w:color="auto"/>
            </w:tcBorders>
            <w:vAlign w:val="center"/>
          </w:tcPr>
          <w:p w14:paraId="2347196D" w14:textId="2B88912A" w:rsidR="007215FE" w:rsidRPr="00037F13" w:rsidRDefault="007215FE" w:rsidP="00AA2EE9">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val="0"/>
                <w:sz w:val="16"/>
                <w:szCs w:val="16"/>
              </w:rPr>
            </w:pPr>
            <w:r w:rsidRPr="00037F13">
              <w:rPr>
                <w:rFonts w:ascii="Arial" w:eastAsia="Arial" w:hAnsi="Arial" w:cs="Arial"/>
                <w:b w:val="0"/>
                <w:bCs w:val="0"/>
                <w:sz w:val="16"/>
                <w:szCs w:val="16"/>
              </w:rPr>
              <w:t>Pool size</w:t>
            </w:r>
          </w:p>
        </w:tc>
        <w:tc>
          <w:tcPr>
            <w:tcW w:w="2117" w:type="dxa"/>
            <w:tcBorders>
              <w:top w:val="single" w:sz="4" w:space="0" w:color="auto"/>
            </w:tcBorders>
            <w:vAlign w:val="center"/>
          </w:tcPr>
          <w:p w14:paraId="79A72FE7" w14:textId="19A6FB41" w:rsidR="007215FE" w:rsidRPr="00037F13" w:rsidRDefault="007215FE" w:rsidP="00AA2EE9">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sz w:val="16"/>
                <w:szCs w:val="16"/>
              </w:rPr>
            </w:pPr>
            <w:r w:rsidRPr="00037F13">
              <w:rPr>
                <w:rFonts w:ascii="Arial" w:eastAsia="Arial" w:hAnsi="Arial" w:cs="Arial"/>
                <w:b w:val="0"/>
                <w:sz w:val="16"/>
                <w:szCs w:val="16"/>
              </w:rPr>
              <w:t>PPA (95% CI)</w:t>
            </w:r>
          </w:p>
        </w:tc>
        <w:tc>
          <w:tcPr>
            <w:tcW w:w="2049" w:type="dxa"/>
            <w:tcBorders>
              <w:top w:val="single" w:sz="4" w:space="0" w:color="auto"/>
            </w:tcBorders>
            <w:vAlign w:val="center"/>
          </w:tcPr>
          <w:p w14:paraId="048B3A3C" w14:textId="75411CD2" w:rsidR="007215FE" w:rsidRPr="00037F13" w:rsidRDefault="007215FE" w:rsidP="00AA2EE9">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sz w:val="16"/>
                <w:szCs w:val="16"/>
              </w:rPr>
            </w:pPr>
            <w:r w:rsidRPr="00037F13">
              <w:rPr>
                <w:rFonts w:ascii="Arial" w:eastAsia="Arial" w:hAnsi="Arial" w:cs="Arial"/>
                <w:b w:val="0"/>
                <w:sz w:val="16"/>
                <w:szCs w:val="16"/>
              </w:rPr>
              <w:t>NPA (95% CI)</w:t>
            </w:r>
          </w:p>
        </w:tc>
        <w:tc>
          <w:tcPr>
            <w:tcW w:w="1563" w:type="dxa"/>
            <w:tcBorders>
              <w:top w:val="single" w:sz="4" w:space="0" w:color="auto"/>
              <w:right w:val="nil"/>
            </w:tcBorders>
            <w:vAlign w:val="center"/>
          </w:tcPr>
          <w:p w14:paraId="6C45BB07" w14:textId="1C3E1DAA" w:rsidR="007215FE" w:rsidRPr="00037F13" w:rsidRDefault="007215FE" w:rsidP="00AA2EE9">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sz w:val="16"/>
                <w:szCs w:val="16"/>
              </w:rPr>
            </w:pPr>
            <w:r w:rsidRPr="00037F13">
              <w:rPr>
                <w:rFonts w:ascii="Arial" w:eastAsia="Arial" w:hAnsi="Arial" w:cs="Arial"/>
                <w:b w:val="0"/>
                <w:sz w:val="16"/>
                <w:szCs w:val="16"/>
              </w:rPr>
              <w:t>Percent of pools positive</w:t>
            </w:r>
          </w:p>
        </w:tc>
        <w:tc>
          <w:tcPr>
            <w:tcW w:w="1615" w:type="dxa"/>
            <w:tcBorders>
              <w:top w:val="single" w:sz="4" w:space="0" w:color="auto"/>
              <w:left w:val="nil"/>
              <w:right w:val="nil"/>
            </w:tcBorders>
            <w:vAlign w:val="center"/>
          </w:tcPr>
          <w:p w14:paraId="4A24F454" w14:textId="7C9B046E" w:rsidR="007215FE" w:rsidRPr="00037F13" w:rsidRDefault="007215FE" w:rsidP="00AA2EE9">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sz w:val="16"/>
                <w:szCs w:val="16"/>
              </w:rPr>
            </w:pPr>
            <w:r w:rsidRPr="00037F13">
              <w:rPr>
                <w:rFonts w:ascii="Arial" w:eastAsia="Arial" w:hAnsi="Arial" w:cs="Arial"/>
                <w:b w:val="0"/>
                <w:sz w:val="16"/>
                <w:szCs w:val="16"/>
              </w:rPr>
              <w:t>Average tests run per sample</w:t>
            </w:r>
          </w:p>
        </w:tc>
      </w:tr>
      <w:tr w:rsidR="00037F13" w14:paraId="2F9AE7D0" w14:textId="77777777" w:rsidTr="00037F13">
        <w:trPr>
          <w:trHeight w:val="288"/>
        </w:trPr>
        <w:tc>
          <w:tcPr>
            <w:cnfStyle w:val="001000000000" w:firstRow="0" w:lastRow="0" w:firstColumn="1" w:lastColumn="0" w:oddVBand="0" w:evenVBand="0" w:oddHBand="0" w:evenHBand="0" w:firstRowFirstColumn="0" w:firstRowLastColumn="0" w:lastRowFirstColumn="0" w:lastRowLastColumn="0"/>
            <w:tcW w:w="1839" w:type="dxa"/>
            <w:tcBorders>
              <w:top w:val="single" w:sz="4" w:space="0" w:color="auto"/>
            </w:tcBorders>
            <w:vAlign w:val="center"/>
          </w:tcPr>
          <w:p w14:paraId="62F14007" w14:textId="3738B17A" w:rsidR="007215FE" w:rsidRPr="009A194E" w:rsidRDefault="007215FE" w:rsidP="009A194E">
            <w:pPr>
              <w:rPr>
                <w:rFonts w:ascii="Arial" w:eastAsia="Arial" w:hAnsi="Arial" w:cs="Arial"/>
                <w:b w:val="0"/>
                <w:bCs w:val="0"/>
                <w:sz w:val="16"/>
                <w:szCs w:val="16"/>
              </w:rPr>
            </w:pPr>
            <w:r w:rsidRPr="009A194E">
              <w:rPr>
                <w:rFonts w:ascii="Arial" w:eastAsia="Arial" w:hAnsi="Arial" w:cs="Arial"/>
                <w:b w:val="0"/>
                <w:bCs w:val="0"/>
                <w:sz w:val="16"/>
                <w:szCs w:val="16"/>
              </w:rPr>
              <w:t>LDT</w:t>
            </w:r>
          </w:p>
        </w:tc>
        <w:tc>
          <w:tcPr>
            <w:tcW w:w="969" w:type="dxa"/>
            <w:tcBorders>
              <w:top w:val="single" w:sz="4" w:space="0" w:color="auto"/>
            </w:tcBorders>
            <w:vAlign w:val="center"/>
          </w:tcPr>
          <w:p w14:paraId="7F86F35E" w14:textId="2D9CE126" w:rsidR="007215FE" w:rsidRPr="009A194E" w:rsidRDefault="007215FE" w:rsidP="00A44FDB">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37F13">
              <w:rPr>
                <w:rFonts w:ascii="Arial" w:eastAsia="Arial" w:hAnsi="Arial" w:cs="Arial"/>
                <w:bCs/>
                <w:sz w:val="16"/>
                <w:szCs w:val="16"/>
              </w:rPr>
              <w:t>8</w:t>
            </w:r>
          </w:p>
        </w:tc>
        <w:tc>
          <w:tcPr>
            <w:tcW w:w="2117" w:type="dxa"/>
            <w:tcBorders>
              <w:top w:val="single" w:sz="4" w:space="0" w:color="auto"/>
            </w:tcBorders>
            <w:vAlign w:val="center"/>
          </w:tcPr>
          <w:p w14:paraId="5C3248EC" w14:textId="1747EAD1" w:rsidR="007215FE" w:rsidRDefault="007215FE" w:rsidP="009D41A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71.7% (56.5%-84.0</w:t>
            </w:r>
            <w:r w:rsidRPr="003C658F">
              <w:rPr>
                <w:rFonts w:ascii="Arial" w:eastAsia="Arial" w:hAnsi="Arial" w:cs="Arial"/>
                <w:sz w:val="16"/>
                <w:szCs w:val="16"/>
              </w:rPr>
              <w:t xml:space="preserve">%) </w:t>
            </w:r>
          </w:p>
        </w:tc>
        <w:tc>
          <w:tcPr>
            <w:tcW w:w="2049" w:type="dxa"/>
            <w:tcBorders>
              <w:top w:val="single" w:sz="4" w:space="0" w:color="auto"/>
            </w:tcBorders>
            <w:vAlign w:val="center"/>
          </w:tcPr>
          <w:p w14:paraId="102473A8" w14:textId="53956F76" w:rsidR="007215FE" w:rsidRDefault="007215FE" w:rsidP="004B194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6412F46A">
              <w:rPr>
                <w:rFonts w:ascii="Arial" w:eastAsia="Arial" w:hAnsi="Arial" w:cs="Arial"/>
                <w:sz w:val="16"/>
                <w:szCs w:val="16"/>
              </w:rPr>
              <w:t>98.4%</w:t>
            </w:r>
            <w:r>
              <w:rPr>
                <w:rFonts w:ascii="Arial" w:eastAsia="Arial" w:hAnsi="Arial" w:cs="Arial"/>
                <w:sz w:val="16"/>
                <w:szCs w:val="16"/>
              </w:rPr>
              <w:t xml:space="preserve"> (91.5%-100.0%)</w:t>
            </w:r>
          </w:p>
        </w:tc>
        <w:tc>
          <w:tcPr>
            <w:tcW w:w="1563" w:type="dxa"/>
            <w:tcBorders>
              <w:top w:val="single" w:sz="4" w:space="0" w:color="auto"/>
              <w:right w:val="nil"/>
            </w:tcBorders>
            <w:vAlign w:val="center"/>
          </w:tcPr>
          <w:p w14:paraId="6175B96A" w14:textId="77777777" w:rsidR="007215FE" w:rsidRDefault="007215FE" w:rsidP="00071C38">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6412F46A">
              <w:rPr>
                <w:rFonts w:ascii="Arial" w:eastAsia="Arial" w:hAnsi="Arial" w:cs="Arial"/>
                <w:sz w:val="16"/>
                <w:szCs w:val="16"/>
              </w:rPr>
              <w:t>30.9%</w:t>
            </w:r>
          </w:p>
        </w:tc>
        <w:tc>
          <w:tcPr>
            <w:tcW w:w="1615" w:type="dxa"/>
            <w:tcBorders>
              <w:top w:val="single" w:sz="4" w:space="0" w:color="auto"/>
              <w:left w:val="nil"/>
              <w:right w:val="nil"/>
            </w:tcBorders>
            <w:vAlign w:val="center"/>
          </w:tcPr>
          <w:p w14:paraId="7C56F8FC" w14:textId="77777777" w:rsidR="007215FE" w:rsidRDefault="007215FE" w:rsidP="0060308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6412F46A">
              <w:rPr>
                <w:rFonts w:ascii="Arial" w:eastAsia="Arial" w:hAnsi="Arial" w:cs="Arial"/>
                <w:sz w:val="16"/>
                <w:szCs w:val="16"/>
              </w:rPr>
              <w:t>0.434</w:t>
            </w:r>
          </w:p>
        </w:tc>
      </w:tr>
      <w:tr w:rsidR="00037F13" w14:paraId="374B56DD" w14:textId="77777777" w:rsidTr="00037F13">
        <w:trPr>
          <w:trHeight w:val="288"/>
        </w:trPr>
        <w:tc>
          <w:tcPr>
            <w:cnfStyle w:val="001000000000" w:firstRow="0" w:lastRow="0" w:firstColumn="1" w:lastColumn="0" w:oddVBand="0" w:evenVBand="0" w:oddHBand="0" w:evenHBand="0" w:firstRowFirstColumn="0" w:firstRowLastColumn="0" w:lastRowFirstColumn="0" w:lastRowLastColumn="0"/>
            <w:tcW w:w="1839" w:type="dxa"/>
            <w:vAlign w:val="center"/>
          </w:tcPr>
          <w:p w14:paraId="64BBF199" w14:textId="6360982C" w:rsidR="007215FE" w:rsidRPr="009A194E" w:rsidRDefault="007215FE" w:rsidP="009A194E">
            <w:pPr>
              <w:rPr>
                <w:rFonts w:ascii="Arial" w:eastAsia="Arial" w:hAnsi="Arial" w:cs="Arial"/>
                <w:b w:val="0"/>
                <w:bCs w:val="0"/>
                <w:sz w:val="16"/>
                <w:szCs w:val="16"/>
              </w:rPr>
            </w:pPr>
            <w:r w:rsidRPr="009A194E">
              <w:rPr>
                <w:rFonts w:ascii="Arial" w:eastAsia="Arial" w:hAnsi="Arial" w:cs="Arial"/>
                <w:b w:val="0"/>
                <w:bCs w:val="0"/>
                <w:sz w:val="16"/>
                <w:szCs w:val="16"/>
              </w:rPr>
              <w:t>Panther Fusion</w:t>
            </w:r>
          </w:p>
        </w:tc>
        <w:tc>
          <w:tcPr>
            <w:tcW w:w="969" w:type="dxa"/>
            <w:vAlign w:val="center"/>
          </w:tcPr>
          <w:p w14:paraId="05CB1751" w14:textId="420652CF" w:rsidR="007215FE" w:rsidRPr="009A194E" w:rsidRDefault="007215FE" w:rsidP="00A44FDB">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8</w:t>
            </w:r>
          </w:p>
        </w:tc>
        <w:tc>
          <w:tcPr>
            <w:tcW w:w="2117" w:type="dxa"/>
            <w:vAlign w:val="center"/>
          </w:tcPr>
          <w:p w14:paraId="19306F06" w14:textId="7A6C70EE" w:rsidR="007215FE" w:rsidRDefault="007215FE" w:rsidP="009D41A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76.1% (61.2%-87.4</w:t>
            </w:r>
            <w:r w:rsidRPr="003C658F">
              <w:rPr>
                <w:rFonts w:ascii="Arial" w:eastAsia="Arial" w:hAnsi="Arial" w:cs="Arial"/>
                <w:sz w:val="16"/>
                <w:szCs w:val="16"/>
              </w:rPr>
              <w:t xml:space="preserve">%) </w:t>
            </w:r>
          </w:p>
        </w:tc>
        <w:tc>
          <w:tcPr>
            <w:tcW w:w="2049" w:type="dxa"/>
            <w:vAlign w:val="center"/>
          </w:tcPr>
          <w:p w14:paraId="721FF6FE" w14:textId="0FF93D83" w:rsidR="007215FE" w:rsidRDefault="007215FE" w:rsidP="004B194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6412F46A">
              <w:rPr>
                <w:rFonts w:ascii="Arial" w:eastAsia="Arial" w:hAnsi="Arial" w:cs="Arial"/>
                <w:sz w:val="16"/>
                <w:szCs w:val="16"/>
              </w:rPr>
              <w:t>98.4%</w:t>
            </w:r>
            <w:r>
              <w:rPr>
                <w:rFonts w:ascii="Arial" w:eastAsia="Arial" w:hAnsi="Arial" w:cs="Arial"/>
                <w:sz w:val="16"/>
                <w:szCs w:val="16"/>
              </w:rPr>
              <w:t xml:space="preserve"> (91.5%-100.0%)</w:t>
            </w:r>
          </w:p>
        </w:tc>
        <w:tc>
          <w:tcPr>
            <w:tcW w:w="1563" w:type="dxa"/>
            <w:tcBorders>
              <w:right w:val="nil"/>
            </w:tcBorders>
            <w:vAlign w:val="center"/>
          </w:tcPr>
          <w:p w14:paraId="4F5368DB" w14:textId="77777777" w:rsidR="007215FE" w:rsidRDefault="007215FE" w:rsidP="00071C38">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6412F46A">
              <w:rPr>
                <w:rFonts w:ascii="Arial" w:eastAsia="Arial" w:hAnsi="Arial" w:cs="Arial"/>
                <w:sz w:val="16"/>
                <w:szCs w:val="16"/>
              </w:rPr>
              <w:t>32.7%</w:t>
            </w:r>
          </w:p>
        </w:tc>
        <w:tc>
          <w:tcPr>
            <w:tcW w:w="1615" w:type="dxa"/>
            <w:tcBorders>
              <w:left w:val="nil"/>
              <w:right w:val="nil"/>
            </w:tcBorders>
            <w:vAlign w:val="center"/>
          </w:tcPr>
          <w:p w14:paraId="4DEA79B1" w14:textId="77777777" w:rsidR="007215FE" w:rsidRDefault="007215FE" w:rsidP="0060308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6412F46A">
              <w:rPr>
                <w:rFonts w:ascii="Arial" w:eastAsia="Arial" w:hAnsi="Arial" w:cs="Arial"/>
                <w:sz w:val="16"/>
                <w:szCs w:val="16"/>
              </w:rPr>
              <w:t>0.452</w:t>
            </w:r>
          </w:p>
        </w:tc>
      </w:tr>
      <w:tr w:rsidR="00037F13" w14:paraId="44038442" w14:textId="77777777" w:rsidTr="00037F13">
        <w:trPr>
          <w:trHeight w:val="288"/>
        </w:trPr>
        <w:tc>
          <w:tcPr>
            <w:cnfStyle w:val="001000000000" w:firstRow="0" w:lastRow="0" w:firstColumn="1" w:lastColumn="0" w:oddVBand="0" w:evenVBand="0" w:oddHBand="0" w:evenHBand="0" w:firstRowFirstColumn="0" w:firstRowLastColumn="0" w:lastRowFirstColumn="0" w:lastRowLastColumn="0"/>
            <w:tcW w:w="1839" w:type="dxa"/>
            <w:tcBorders>
              <w:bottom w:val="nil"/>
            </w:tcBorders>
            <w:vAlign w:val="center"/>
          </w:tcPr>
          <w:p w14:paraId="605034C6" w14:textId="0E789053" w:rsidR="007215FE" w:rsidRPr="009A194E" w:rsidRDefault="007215FE" w:rsidP="009A194E">
            <w:pPr>
              <w:rPr>
                <w:rFonts w:ascii="Arial" w:eastAsia="Arial" w:hAnsi="Arial" w:cs="Arial"/>
                <w:b w:val="0"/>
                <w:bCs w:val="0"/>
                <w:sz w:val="16"/>
                <w:szCs w:val="16"/>
              </w:rPr>
            </w:pPr>
            <w:r w:rsidRPr="009A194E">
              <w:rPr>
                <w:rFonts w:ascii="Arial" w:eastAsia="Arial" w:hAnsi="Arial" w:cs="Arial"/>
                <w:b w:val="0"/>
                <w:bCs w:val="0"/>
                <w:sz w:val="16"/>
                <w:szCs w:val="16"/>
              </w:rPr>
              <w:t>Panther Aptima-M</w:t>
            </w:r>
          </w:p>
        </w:tc>
        <w:tc>
          <w:tcPr>
            <w:tcW w:w="969" w:type="dxa"/>
            <w:tcBorders>
              <w:bottom w:val="nil"/>
            </w:tcBorders>
            <w:vAlign w:val="center"/>
          </w:tcPr>
          <w:p w14:paraId="45ABDC25" w14:textId="07A3B93A" w:rsidR="007215FE" w:rsidRPr="009A194E" w:rsidRDefault="007215FE" w:rsidP="00A44FDB">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8</w:t>
            </w:r>
          </w:p>
        </w:tc>
        <w:tc>
          <w:tcPr>
            <w:tcW w:w="2117" w:type="dxa"/>
            <w:tcBorders>
              <w:bottom w:val="nil"/>
            </w:tcBorders>
            <w:vAlign w:val="center"/>
          </w:tcPr>
          <w:p w14:paraId="00057DA1" w14:textId="6F9CA344" w:rsidR="007215FE" w:rsidRDefault="007215FE" w:rsidP="009D41A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3C658F">
              <w:rPr>
                <w:rFonts w:ascii="Arial" w:eastAsia="Arial" w:hAnsi="Arial" w:cs="Arial"/>
                <w:sz w:val="16"/>
                <w:szCs w:val="16"/>
              </w:rPr>
              <w:t>7</w:t>
            </w:r>
            <w:r>
              <w:rPr>
                <w:rFonts w:ascii="Arial" w:eastAsia="Arial" w:hAnsi="Arial" w:cs="Arial"/>
                <w:sz w:val="16"/>
                <w:szCs w:val="16"/>
              </w:rPr>
              <w:t>3.9% (58.9%-85.7</w:t>
            </w:r>
            <w:r w:rsidRPr="003C658F">
              <w:rPr>
                <w:rFonts w:ascii="Arial" w:eastAsia="Arial" w:hAnsi="Arial" w:cs="Arial"/>
                <w:sz w:val="16"/>
                <w:szCs w:val="16"/>
              </w:rPr>
              <w:t xml:space="preserve">%) </w:t>
            </w:r>
          </w:p>
        </w:tc>
        <w:tc>
          <w:tcPr>
            <w:tcW w:w="2049" w:type="dxa"/>
            <w:tcBorders>
              <w:bottom w:val="nil"/>
            </w:tcBorders>
            <w:vAlign w:val="center"/>
          </w:tcPr>
          <w:p w14:paraId="6DB139F7" w14:textId="09BEAA90" w:rsidR="007215FE" w:rsidRDefault="007215FE" w:rsidP="004B194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6412F46A">
              <w:rPr>
                <w:rFonts w:ascii="Arial" w:eastAsia="Arial" w:hAnsi="Arial" w:cs="Arial"/>
                <w:sz w:val="16"/>
                <w:szCs w:val="16"/>
              </w:rPr>
              <w:t>100.0%</w:t>
            </w:r>
            <w:r>
              <w:rPr>
                <w:rFonts w:ascii="Arial" w:eastAsia="Arial" w:hAnsi="Arial" w:cs="Arial"/>
                <w:sz w:val="16"/>
                <w:szCs w:val="16"/>
              </w:rPr>
              <w:t xml:space="preserve"> (94.3%-100.0%)</w:t>
            </w:r>
          </w:p>
        </w:tc>
        <w:tc>
          <w:tcPr>
            <w:tcW w:w="1563" w:type="dxa"/>
            <w:tcBorders>
              <w:bottom w:val="nil"/>
              <w:right w:val="nil"/>
            </w:tcBorders>
            <w:vAlign w:val="center"/>
          </w:tcPr>
          <w:p w14:paraId="4309A694" w14:textId="77777777" w:rsidR="007215FE" w:rsidRDefault="007215FE" w:rsidP="00071C38">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6412F46A">
              <w:rPr>
                <w:rFonts w:ascii="Arial" w:eastAsia="Arial" w:hAnsi="Arial" w:cs="Arial"/>
                <w:sz w:val="16"/>
                <w:szCs w:val="16"/>
              </w:rPr>
              <w:t>30.9%</w:t>
            </w:r>
          </w:p>
        </w:tc>
        <w:tc>
          <w:tcPr>
            <w:tcW w:w="1615" w:type="dxa"/>
            <w:tcBorders>
              <w:left w:val="nil"/>
              <w:bottom w:val="nil"/>
              <w:right w:val="nil"/>
            </w:tcBorders>
            <w:vAlign w:val="center"/>
          </w:tcPr>
          <w:p w14:paraId="6448481E" w14:textId="77777777" w:rsidR="007215FE" w:rsidRDefault="007215FE" w:rsidP="0060308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6412F46A">
              <w:rPr>
                <w:rFonts w:ascii="Arial" w:eastAsia="Arial" w:hAnsi="Arial" w:cs="Arial"/>
                <w:sz w:val="16"/>
                <w:szCs w:val="16"/>
              </w:rPr>
              <w:t>0.434</w:t>
            </w:r>
          </w:p>
        </w:tc>
      </w:tr>
      <w:tr w:rsidR="00037F13" w14:paraId="152B0410" w14:textId="77777777" w:rsidTr="00037F13">
        <w:trPr>
          <w:trHeight w:val="288"/>
        </w:trPr>
        <w:tc>
          <w:tcPr>
            <w:cnfStyle w:val="001000000000" w:firstRow="0" w:lastRow="0" w:firstColumn="1" w:lastColumn="0" w:oddVBand="0" w:evenVBand="0" w:oddHBand="0" w:evenHBand="0" w:firstRowFirstColumn="0" w:firstRowLastColumn="0" w:lastRowFirstColumn="0" w:lastRowLastColumn="0"/>
            <w:tcW w:w="1839" w:type="dxa"/>
            <w:tcBorders>
              <w:top w:val="nil"/>
              <w:bottom w:val="single" w:sz="4" w:space="0" w:color="auto"/>
            </w:tcBorders>
            <w:vAlign w:val="center"/>
          </w:tcPr>
          <w:p w14:paraId="00352BD1" w14:textId="151FA89F" w:rsidR="007215FE" w:rsidRPr="009A194E" w:rsidRDefault="007215FE" w:rsidP="009A194E">
            <w:pPr>
              <w:rPr>
                <w:rFonts w:ascii="Arial" w:eastAsia="Arial" w:hAnsi="Arial" w:cs="Arial"/>
                <w:b w:val="0"/>
                <w:bCs w:val="0"/>
                <w:sz w:val="16"/>
                <w:szCs w:val="16"/>
              </w:rPr>
            </w:pPr>
            <w:r w:rsidRPr="009A194E">
              <w:rPr>
                <w:rFonts w:ascii="Arial" w:eastAsia="Arial" w:hAnsi="Arial" w:cs="Arial"/>
                <w:b w:val="0"/>
                <w:bCs w:val="0"/>
                <w:sz w:val="16"/>
                <w:szCs w:val="16"/>
              </w:rPr>
              <w:t>Panther Aptima-350</w:t>
            </w:r>
          </w:p>
        </w:tc>
        <w:tc>
          <w:tcPr>
            <w:tcW w:w="969" w:type="dxa"/>
            <w:tcBorders>
              <w:top w:val="nil"/>
              <w:bottom w:val="single" w:sz="4" w:space="0" w:color="auto"/>
            </w:tcBorders>
            <w:vAlign w:val="center"/>
          </w:tcPr>
          <w:p w14:paraId="66453BA3" w14:textId="2F059A5F" w:rsidR="007215FE" w:rsidRPr="009A194E" w:rsidRDefault="007215FE" w:rsidP="00A44FDB">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8</w:t>
            </w:r>
          </w:p>
        </w:tc>
        <w:tc>
          <w:tcPr>
            <w:tcW w:w="2117" w:type="dxa"/>
            <w:tcBorders>
              <w:top w:val="nil"/>
              <w:bottom w:val="single" w:sz="4" w:space="0" w:color="auto"/>
            </w:tcBorders>
            <w:vAlign w:val="center"/>
          </w:tcPr>
          <w:p w14:paraId="12DEA5C1" w14:textId="5C549973" w:rsidR="007215FE" w:rsidRPr="003C658F" w:rsidRDefault="007215FE" w:rsidP="004B194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82.6% (68</w:t>
            </w:r>
            <w:r w:rsidRPr="003C658F">
              <w:rPr>
                <w:rFonts w:ascii="Arial" w:eastAsia="Arial" w:hAnsi="Arial" w:cs="Arial"/>
                <w:sz w:val="16"/>
                <w:szCs w:val="16"/>
              </w:rPr>
              <w:t>.</w:t>
            </w:r>
            <w:r>
              <w:rPr>
                <w:rFonts w:ascii="Arial" w:eastAsia="Arial" w:hAnsi="Arial" w:cs="Arial"/>
                <w:sz w:val="16"/>
                <w:szCs w:val="16"/>
              </w:rPr>
              <w:t>6%-92.2</w:t>
            </w:r>
            <w:r w:rsidRPr="003C658F">
              <w:rPr>
                <w:rFonts w:ascii="Arial" w:eastAsia="Arial" w:hAnsi="Arial" w:cs="Arial"/>
                <w:sz w:val="16"/>
                <w:szCs w:val="16"/>
              </w:rPr>
              <w:t>%)</w:t>
            </w:r>
          </w:p>
        </w:tc>
        <w:tc>
          <w:tcPr>
            <w:tcW w:w="2049" w:type="dxa"/>
            <w:tcBorders>
              <w:top w:val="nil"/>
              <w:bottom w:val="single" w:sz="4" w:space="0" w:color="auto"/>
            </w:tcBorders>
            <w:vAlign w:val="center"/>
          </w:tcPr>
          <w:p w14:paraId="028992C4" w14:textId="6D3287A4" w:rsidR="007215FE" w:rsidRPr="6412F46A" w:rsidRDefault="007215FE" w:rsidP="00071C38">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6412F46A">
              <w:rPr>
                <w:rFonts w:ascii="Arial" w:eastAsia="Arial" w:hAnsi="Arial" w:cs="Arial"/>
                <w:sz w:val="16"/>
                <w:szCs w:val="16"/>
              </w:rPr>
              <w:t>98.4%</w:t>
            </w:r>
            <w:r>
              <w:rPr>
                <w:rFonts w:ascii="Arial" w:eastAsia="Arial" w:hAnsi="Arial" w:cs="Arial"/>
                <w:sz w:val="16"/>
                <w:szCs w:val="16"/>
              </w:rPr>
              <w:t xml:space="preserve"> (91.5%-100.0%)</w:t>
            </w:r>
          </w:p>
        </w:tc>
        <w:tc>
          <w:tcPr>
            <w:tcW w:w="1563" w:type="dxa"/>
            <w:tcBorders>
              <w:top w:val="nil"/>
              <w:bottom w:val="single" w:sz="4" w:space="0" w:color="auto"/>
              <w:right w:val="nil"/>
            </w:tcBorders>
            <w:vAlign w:val="center"/>
          </w:tcPr>
          <w:p w14:paraId="72D02D24" w14:textId="78BBC77B" w:rsidR="007215FE" w:rsidRPr="6412F46A" w:rsidRDefault="007215FE" w:rsidP="0060308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6412F46A">
              <w:rPr>
                <w:rFonts w:ascii="Arial" w:eastAsia="Arial" w:hAnsi="Arial" w:cs="Arial"/>
                <w:sz w:val="16"/>
                <w:szCs w:val="16"/>
              </w:rPr>
              <w:t>34.5%</w:t>
            </w:r>
          </w:p>
        </w:tc>
        <w:tc>
          <w:tcPr>
            <w:tcW w:w="1615" w:type="dxa"/>
            <w:tcBorders>
              <w:top w:val="nil"/>
              <w:left w:val="nil"/>
              <w:bottom w:val="single" w:sz="4" w:space="0" w:color="auto"/>
              <w:right w:val="nil"/>
            </w:tcBorders>
            <w:vAlign w:val="center"/>
          </w:tcPr>
          <w:p w14:paraId="3760BC77" w14:textId="56E0B7DD" w:rsidR="007215FE" w:rsidRPr="6412F46A" w:rsidRDefault="007215FE" w:rsidP="008F4D3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6412F46A">
              <w:rPr>
                <w:rFonts w:ascii="Arial" w:eastAsia="Arial" w:hAnsi="Arial" w:cs="Arial"/>
                <w:sz w:val="16"/>
                <w:szCs w:val="16"/>
              </w:rPr>
              <w:t>0.470</w:t>
            </w:r>
          </w:p>
        </w:tc>
      </w:tr>
      <w:tr w:rsidR="00037F13" w14:paraId="028D2492" w14:textId="77777777" w:rsidTr="00037F13">
        <w:trPr>
          <w:trHeight w:val="288"/>
        </w:trPr>
        <w:tc>
          <w:tcPr>
            <w:cnfStyle w:val="001000000000" w:firstRow="0" w:lastRow="0" w:firstColumn="1" w:lastColumn="0" w:oddVBand="0" w:evenVBand="0" w:oddHBand="0" w:evenHBand="0" w:firstRowFirstColumn="0" w:firstRowLastColumn="0" w:lastRowFirstColumn="0" w:lastRowLastColumn="0"/>
            <w:tcW w:w="1839" w:type="dxa"/>
            <w:tcBorders>
              <w:top w:val="single" w:sz="4" w:space="0" w:color="auto"/>
            </w:tcBorders>
            <w:vAlign w:val="center"/>
          </w:tcPr>
          <w:p w14:paraId="64B7927B" w14:textId="30D4C27F" w:rsidR="007215FE" w:rsidRPr="00A44FDB" w:rsidRDefault="007215FE" w:rsidP="009A194E">
            <w:pPr>
              <w:rPr>
                <w:rFonts w:ascii="Arial" w:eastAsia="Arial" w:hAnsi="Arial" w:cs="Arial"/>
                <w:b w:val="0"/>
                <w:bCs w:val="0"/>
                <w:sz w:val="16"/>
                <w:szCs w:val="16"/>
              </w:rPr>
            </w:pPr>
            <w:r w:rsidRPr="009A194E">
              <w:rPr>
                <w:rFonts w:ascii="Arial" w:eastAsia="Arial" w:hAnsi="Arial" w:cs="Arial"/>
                <w:b w:val="0"/>
                <w:bCs w:val="0"/>
                <w:sz w:val="16"/>
                <w:szCs w:val="16"/>
              </w:rPr>
              <w:t>LDT</w:t>
            </w:r>
          </w:p>
        </w:tc>
        <w:tc>
          <w:tcPr>
            <w:tcW w:w="969" w:type="dxa"/>
            <w:tcBorders>
              <w:top w:val="single" w:sz="4" w:space="0" w:color="auto"/>
            </w:tcBorders>
            <w:vAlign w:val="center"/>
          </w:tcPr>
          <w:p w14:paraId="6E3C06B0" w14:textId="76764498" w:rsidR="007215FE" w:rsidRPr="009D41AA" w:rsidRDefault="007215FE" w:rsidP="00A44FDB">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9D41AA">
              <w:rPr>
                <w:rFonts w:ascii="Arial" w:eastAsia="Arial" w:hAnsi="Arial" w:cs="Arial"/>
                <w:sz w:val="16"/>
                <w:szCs w:val="16"/>
              </w:rPr>
              <w:t>4</w:t>
            </w:r>
          </w:p>
        </w:tc>
        <w:tc>
          <w:tcPr>
            <w:tcW w:w="2117" w:type="dxa"/>
            <w:tcBorders>
              <w:top w:val="single" w:sz="4" w:space="0" w:color="auto"/>
            </w:tcBorders>
            <w:vAlign w:val="center"/>
          </w:tcPr>
          <w:p w14:paraId="717B7596" w14:textId="0F1B5876" w:rsidR="007215FE" w:rsidRPr="003C658F" w:rsidRDefault="007215FE" w:rsidP="004B194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94.3% (80.8%-99.3</w:t>
            </w:r>
            <w:proofErr w:type="gramStart"/>
            <w:r w:rsidRPr="00093E49">
              <w:rPr>
                <w:rFonts w:ascii="Arial" w:eastAsia="Arial" w:hAnsi="Arial" w:cs="Arial"/>
                <w:sz w:val="16"/>
                <w:szCs w:val="16"/>
              </w:rPr>
              <w:t>%</w:t>
            </w:r>
            <w:r>
              <w:rPr>
                <w:rFonts w:ascii="Arial" w:eastAsia="Arial" w:hAnsi="Arial" w:cs="Arial"/>
                <w:sz w:val="16"/>
                <w:szCs w:val="16"/>
              </w:rPr>
              <w:t>)</w:t>
            </w:r>
            <w:r w:rsidR="00F719AE" w:rsidRPr="00F81854">
              <w:rPr>
                <w:rFonts w:ascii="Arial" w:eastAsia="Arial" w:hAnsi="Arial" w:cs="Arial"/>
                <w:sz w:val="16"/>
                <w:szCs w:val="16"/>
                <w:vertAlign w:val="superscript"/>
              </w:rPr>
              <w:t>†</w:t>
            </w:r>
            <w:proofErr w:type="gramEnd"/>
          </w:p>
        </w:tc>
        <w:tc>
          <w:tcPr>
            <w:tcW w:w="2049" w:type="dxa"/>
            <w:tcBorders>
              <w:top w:val="single" w:sz="4" w:space="0" w:color="auto"/>
            </w:tcBorders>
            <w:vAlign w:val="center"/>
          </w:tcPr>
          <w:p w14:paraId="285AF3D4" w14:textId="6BC1145F" w:rsidR="007215FE" w:rsidRPr="6412F46A" w:rsidRDefault="007215FE" w:rsidP="00071C38">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100% (97.7%-100.0%)</w:t>
            </w:r>
          </w:p>
        </w:tc>
        <w:tc>
          <w:tcPr>
            <w:tcW w:w="1563" w:type="dxa"/>
            <w:tcBorders>
              <w:top w:val="single" w:sz="4" w:space="0" w:color="auto"/>
              <w:right w:val="nil"/>
            </w:tcBorders>
            <w:vAlign w:val="center"/>
          </w:tcPr>
          <w:p w14:paraId="4448DB11" w14:textId="011F9D6F" w:rsidR="007215FE" w:rsidRPr="6412F46A" w:rsidRDefault="007215FE" w:rsidP="0060308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17.2%</w:t>
            </w:r>
          </w:p>
        </w:tc>
        <w:tc>
          <w:tcPr>
            <w:tcW w:w="1615" w:type="dxa"/>
            <w:tcBorders>
              <w:top w:val="single" w:sz="4" w:space="0" w:color="auto"/>
              <w:left w:val="nil"/>
              <w:right w:val="nil"/>
            </w:tcBorders>
            <w:vAlign w:val="center"/>
          </w:tcPr>
          <w:p w14:paraId="3A08E6DB" w14:textId="34E75642" w:rsidR="007215FE" w:rsidRPr="6412F46A" w:rsidRDefault="007215FE" w:rsidP="008F4D3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0.422</w:t>
            </w:r>
          </w:p>
        </w:tc>
      </w:tr>
      <w:tr w:rsidR="00037F13" w14:paraId="203A3942" w14:textId="77777777" w:rsidTr="00037F13">
        <w:trPr>
          <w:trHeight w:val="288"/>
        </w:trPr>
        <w:tc>
          <w:tcPr>
            <w:cnfStyle w:val="001000000000" w:firstRow="0" w:lastRow="0" w:firstColumn="1" w:lastColumn="0" w:oddVBand="0" w:evenVBand="0" w:oddHBand="0" w:evenHBand="0" w:firstRowFirstColumn="0" w:firstRowLastColumn="0" w:lastRowFirstColumn="0" w:lastRowLastColumn="0"/>
            <w:tcW w:w="1839" w:type="dxa"/>
            <w:vAlign w:val="center"/>
          </w:tcPr>
          <w:p w14:paraId="5D865DCB" w14:textId="368986AB" w:rsidR="007215FE" w:rsidRPr="00A44FDB" w:rsidRDefault="007215FE" w:rsidP="009A194E">
            <w:pPr>
              <w:rPr>
                <w:rFonts w:ascii="Arial" w:eastAsia="Arial" w:hAnsi="Arial" w:cs="Arial"/>
                <w:b w:val="0"/>
                <w:bCs w:val="0"/>
                <w:sz w:val="16"/>
                <w:szCs w:val="16"/>
              </w:rPr>
            </w:pPr>
            <w:r w:rsidRPr="009A194E">
              <w:rPr>
                <w:rFonts w:ascii="Arial" w:eastAsia="Arial" w:hAnsi="Arial" w:cs="Arial"/>
                <w:b w:val="0"/>
                <w:bCs w:val="0"/>
                <w:sz w:val="16"/>
                <w:szCs w:val="16"/>
              </w:rPr>
              <w:t>Panther Fusion*</w:t>
            </w:r>
          </w:p>
        </w:tc>
        <w:tc>
          <w:tcPr>
            <w:tcW w:w="969" w:type="dxa"/>
            <w:vAlign w:val="center"/>
          </w:tcPr>
          <w:p w14:paraId="23FBBD32" w14:textId="0500001D" w:rsidR="007215FE" w:rsidRPr="009A194E" w:rsidRDefault="007215FE" w:rsidP="00A44FDB">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4</w:t>
            </w:r>
          </w:p>
        </w:tc>
        <w:tc>
          <w:tcPr>
            <w:tcW w:w="2117" w:type="dxa"/>
            <w:vAlign w:val="center"/>
          </w:tcPr>
          <w:p w14:paraId="06C92285" w14:textId="4D67887B" w:rsidR="007215FE" w:rsidRPr="003C658F" w:rsidRDefault="007215FE" w:rsidP="004B194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100.0% (85.8%-100.</w:t>
            </w:r>
            <w:r w:rsidRPr="00093E49">
              <w:rPr>
                <w:rFonts w:ascii="Arial" w:eastAsia="Arial" w:hAnsi="Arial" w:cs="Arial"/>
                <w:sz w:val="16"/>
                <w:szCs w:val="16"/>
              </w:rPr>
              <w:t>0%</w:t>
            </w:r>
            <w:r>
              <w:rPr>
                <w:rFonts w:ascii="Arial" w:eastAsia="Arial" w:hAnsi="Arial" w:cs="Arial"/>
                <w:sz w:val="16"/>
                <w:szCs w:val="16"/>
              </w:rPr>
              <w:t>)</w:t>
            </w:r>
          </w:p>
        </w:tc>
        <w:tc>
          <w:tcPr>
            <w:tcW w:w="2049" w:type="dxa"/>
            <w:vAlign w:val="center"/>
          </w:tcPr>
          <w:p w14:paraId="6D3DFFC3" w14:textId="31489233" w:rsidR="007215FE" w:rsidRPr="6412F46A" w:rsidRDefault="007215FE" w:rsidP="00071C38">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100% (96.7%-100.0%)</w:t>
            </w:r>
          </w:p>
        </w:tc>
        <w:tc>
          <w:tcPr>
            <w:tcW w:w="1563" w:type="dxa"/>
            <w:tcBorders>
              <w:right w:val="nil"/>
            </w:tcBorders>
            <w:vAlign w:val="center"/>
          </w:tcPr>
          <w:p w14:paraId="7E89C58F" w14:textId="0C15C52E" w:rsidR="007215FE" w:rsidRPr="6412F46A" w:rsidRDefault="007215FE" w:rsidP="0060308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17.6%</w:t>
            </w:r>
          </w:p>
        </w:tc>
        <w:tc>
          <w:tcPr>
            <w:tcW w:w="1615" w:type="dxa"/>
            <w:tcBorders>
              <w:left w:val="nil"/>
              <w:right w:val="nil"/>
            </w:tcBorders>
            <w:vAlign w:val="center"/>
          </w:tcPr>
          <w:p w14:paraId="066D0A8B" w14:textId="3A3A20A5" w:rsidR="007215FE" w:rsidRPr="6412F46A" w:rsidRDefault="007215FE" w:rsidP="008F4D3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0.426</w:t>
            </w:r>
          </w:p>
        </w:tc>
      </w:tr>
      <w:tr w:rsidR="00037F13" w14:paraId="24DA9DCC" w14:textId="77777777" w:rsidTr="00037F13">
        <w:trPr>
          <w:trHeight w:val="288"/>
        </w:trPr>
        <w:tc>
          <w:tcPr>
            <w:cnfStyle w:val="001000000000" w:firstRow="0" w:lastRow="0" w:firstColumn="1" w:lastColumn="0" w:oddVBand="0" w:evenVBand="0" w:oddHBand="0" w:evenHBand="0" w:firstRowFirstColumn="0" w:firstRowLastColumn="0" w:lastRowFirstColumn="0" w:lastRowLastColumn="0"/>
            <w:tcW w:w="1839" w:type="dxa"/>
            <w:vAlign w:val="center"/>
          </w:tcPr>
          <w:p w14:paraId="3707A3B0" w14:textId="7A1042DE" w:rsidR="007215FE" w:rsidRPr="00A44FDB" w:rsidRDefault="007215FE" w:rsidP="009A194E">
            <w:pPr>
              <w:rPr>
                <w:rFonts w:ascii="Arial" w:eastAsia="Arial" w:hAnsi="Arial" w:cs="Arial"/>
                <w:b w:val="0"/>
                <w:bCs w:val="0"/>
                <w:sz w:val="16"/>
                <w:szCs w:val="16"/>
              </w:rPr>
            </w:pPr>
            <w:r w:rsidRPr="009A194E">
              <w:rPr>
                <w:rFonts w:ascii="Arial" w:eastAsia="Arial" w:hAnsi="Arial" w:cs="Arial"/>
                <w:b w:val="0"/>
                <w:bCs w:val="0"/>
                <w:sz w:val="16"/>
                <w:szCs w:val="16"/>
              </w:rPr>
              <w:t>Panther Aptima-M</w:t>
            </w:r>
          </w:p>
        </w:tc>
        <w:tc>
          <w:tcPr>
            <w:tcW w:w="969" w:type="dxa"/>
            <w:vAlign w:val="center"/>
          </w:tcPr>
          <w:p w14:paraId="10EE605D" w14:textId="6C110497" w:rsidR="007215FE" w:rsidRPr="009A194E" w:rsidRDefault="007215FE" w:rsidP="00A44FDB">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4</w:t>
            </w:r>
          </w:p>
        </w:tc>
        <w:tc>
          <w:tcPr>
            <w:tcW w:w="2117" w:type="dxa"/>
            <w:vAlign w:val="center"/>
          </w:tcPr>
          <w:p w14:paraId="3B1F5C66" w14:textId="6D466E12" w:rsidR="007215FE" w:rsidRPr="003C658F" w:rsidRDefault="007215FE" w:rsidP="004B194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82.9% (66.2%-93.4</w:t>
            </w:r>
            <w:proofErr w:type="gramStart"/>
            <w:r>
              <w:rPr>
                <w:rFonts w:ascii="Arial" w:eastAsia="Arial" w:hAnsi="Arial" w:cs="Arial"/>
                <w:sz w:val="16"/>
                <w:szCs w:val="16"/>
              </w:rPr>
              <w:t>%)</w:t>
            </w:r>
            <w:r w:rsidR="00F719AE" w:rsidRPr="00F81854">
              <w:rPr>
                <w:rFonts w:ascii="Arial" w:eastAsia="Arial" w:hAnsi="Arial" w:cs="Arial"/>
                <w:sz w:val="16"/>
                <w:szCs w:val="16"/>
                <w:vertAlign w:val="superscript"/>
              </w:rPr>
              <w:t>†</w:t>
            </w:r>
            <w:proofErr w:type="gramEnd"/>
          </w:p>
        </w:tc>
        <w:tc>
          <w:tcPr>
            <w:tcW w:w="2049" w:type="dxa"/>
            <w:vAlign w:val="center"/>
          </w:tcPr>
          <w:p w14:paraId="3D287724" w14:textId="50DD4062" w:rsidR="007215FE" w:rsidRPr="6412F46A" w:rsidRDefault="007215FE" w:rsidP="00071C38">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100% (97.7%-100.0%)</w:t>
            </w:r>
          </w:p>
        </w:tc>
        <w:tc>
          <w:tcPr>
            <w:tcW w:w="1563" w:type="dxa"/>
            <w:tcBorders>
              <w:right w:val="nil"/>
            </w:tcBorders>
            <w:vAlign w:val="center"/>
          </w:tcPr>
          <w:p w14:paraId="546F81DC" w14:textId="5AC256D2" w:rsidR="007215FE" w:rsidRPr="6412F46A" w:rsidRDefault="007215FE" w:rsidP="0060308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15.1%</w:t>
            </w:r>
          </w:p>
        </w:tc>
        <w:tc>
          <w:tcPr>
            <w:tcW w:w="1615" w:type="dxa"/>
            <w:tcBorders>
              <w:left w:val="nil"/>
              <w:right w:val="nil"/>
            </w:tcBorders>
            <w:vAlign w:val="center"/>
          </w:tcPr>
          <w:p w14:paraId="54D5B055" w14:textId="6C898B1B" w:rsidR="007215FE" w:rsidRPr="6412F46A" w:rsidRDefault="007215FE" w:rsidP="008F4D3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0.401</w:t>
            </w:r>
          </w:p>
        </w:tc>
      </w:tr>
      <w:tr w:rsidR="00037F13" w14:paraId="7F454E39" w14:textId="77777777" w:rsidTr="00037F13">
        <w:trPr>
          <w:trHeight w:val="288"/>
        </w:trPr>
        <w:tc>
          <w:tcPr>
            <w:cnfStyle w:val="001000000000" w:firstRow="0" w:lastRow="0" w:firstColumn="1" w:lastColumn="0" w:oddVBand="0" w:evenVBand="0" w:oddHBand="0" w:evenHBand="0" w:firstRowFirstColumn="0" w:firstRowLastColumn="0" w:lastRowFirstColumn="0" w:lastRowLastColumn="0"/>
            <w:tcW w:w="1839" w:type="dxa"/>
            <w:tcBorders>
              <w:bottom w:val="single" w:sz="4" w:space="0" w:color="auto"/>
            </w:tcBorders>
            <w:vAlign w:val="center"/>
          </w:tcPr>
          <w:p w14:paraId="4AE482F2" w14:textId="67305625" w:rsidR="007215FE" w:rsidRPr="009D41AA" w:rsidRDefault="007215FE" w:rsidP="009A194E">
            <w:pPr>
              <w:rPr>
                <w:rFonts w:ascii="Arial" w:eastAsia="Arial" w:hAnsi="Arial" w:cs="Arial"/>
                <w:b w:val="0"/>
                <w:bCs w:val="0"/>
                <w:sz w:val="16"/>
                <w:szCs w:val="16"/>
              </w:rPr>
            </w:pPr>
            <w:r w:rsidRPr="009A194E">
              <w:rPr>
                <w:rFonts w:ascii="Arial" w:eastAsia="Arial" w:hAnsi="Arial" w:cs="Arial"/>
                <w:b w:val="0"/>
                <w:bCs w:val="0"/>
                <w:sz w:val="16"/>
                <w:szCs w:val="16"/>
              </w:rPr>
              <w:t>Panther Aptima-350</w:t>
            </w:r>
            <w:r w:rsidRPr="00A44FDB">
              <w:rPr>
                <w:rFonts w:ascii="Arial" w:eastAsia="Arial" w:hAnsi="Arial" w:cs="Arial"/>
                <w:b w:val="0"/>
                <w:bCs w:val="0"/>
                <w:sz w:val="16"/>
                <w:szCs w:val="16"/>
              </w:rPr>
              <w:t xml:space="preserve"> </w:t>
            </w:r>
          </w:p>
        </w:tc>
        <w:tc>
          <w:tcPr>
            <w:tcW w:w="969" w:type="dxa"/>
            <w:tcBorders>
              <w:bottom w:val="single" w:sz="4" w:space="0" w:color="auto"/>
            </w:tcBorders>
            <w:vAlign w:val="center"/>
          </w:tcPr>
          <w:p w14:paraId="4FDA14B1" w14:textId="63EA0D90" w:rsidR="007215FE" w:rsidRPr="009A194E" w:rsidRDefault="007215FE" w:rsidP="00A44FDB">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4</w:t>
            </w:r>
          </w:p>
        </w:tc>
        <w:tc>
          <w:tcPr>
            <w:tcW w:w="2117" w:type="dxa"/>
            <w:tcBorders>
              <w:bottom w:val="single" w:sz="4" w:space="0" w:color="auto"/>
            </w:tcBorders>
            <w:vAlign w:val="center"/>
          </w:tcPr>
          <w:p w14:paraId="3B806E15" w14:textId="0E7A21B0" w:rsidR="007215FE" w:rsidRDefault="007215FE" w:rsidP="009D41A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88.6% (73.3%-96.8</w:t>
            </w:r>
            <w:proofErr w:type="gramStart"/>
            <w:r>
              <w:rPr>
                <w:rFonts w:ascii="Arial" w:eastAsia="Arial" w:hAnsi="Arial" w:cs="Arial"/>
                <w:sz w:val="16"/>
                <w:szCs w:val="16"/>
              </w:rPr>
              <w:t>%)</w:t>
            </w:r>
            <w:r w:rsidR="00F719AE" w:rsidRPr="00F81854">
              <w:rPr>
                <w:rFonts w:ascii="Arial" w:eastAsia="Arial" w:hAnsi="Arial" w:cs="Arial"/>
                <w:sz w:val="16"/>
                <w:szCs w:val="16"/>
                <w:vertAlign w:val="superscript"/>
              </w:rPr>
              <w:t>†</w:t>
            </w:r>
            <w:proofErr w:type="gramEnd"/>
          </w:p>
        </w:tc>
        <w:tc>
          <w:tcPr>
            <w:tcW w:w="2049" w:type="dxa"/>
            <w:tcBorders>
              <w:bottom w:val="single" w:sz="4" w:space="0" w:color="auto"/>
            </w:tcBorders>
            <w:vAlign w:val="center"/>
          </w:tcPr>
          <w:p w14:paraId="490BF23F" w14:textId="6D58B90E" w:rsidR="007215FE" w:rsidRDefault="007215FE" w:rsidP="009D41A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100% (97.7%-100.0%)</w:t>
            </w:r>
          </w:p>
        </w:tc>
        <w:tc>
          <w:tcPr>
            <w:tcW w:w="1563" w:type="dxa"/>
            <w:tcBorders>
              <w:bottom w:val="single" w:sz="4" w:space="0" w:color="auto"/>
              <w:right w:val="nil"/>
            </w:tcBorders>
            <w:vAlign w:val="center"/>
          </w:tcPr>
          <w:p w14:paraId="6A5933D3" w14:textId="0E184F30" w:rsidR="007215FE" w:rsidRDefault="007215FE" w:rsidP="009D41A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16.2%</w:t>
            </w:r>
          </w:p>
        </w:tc>
        <w:tc>
          <w:tcPr>
            <w:tcW w:w="1615" w:type="dxa"/>
            <w:tcBorders>
              <w:left w:val="nil"/>
              <w:bottom w:val="single" w:sz="4" w:space="0" w:color="auto"/>
              <w:right w:val="nil"/>
            </w:tcBorders>
            <w:vAlign w:val="center"/>
          </w:tcPr>
          <w:p w14:paraId="7B2616CA" w14:textId="55A294EA" w:rsidR="007215FE" w:rsidRDefault="007215FE" w:rsidP="009D41A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0.411</w:t>
            </w:r>
          </w:p>
        </w:tc>
      </w:tr>
      <w:tr w:rsidR="00AA2EE9" w14:paraId="3DD1FDC3" w14:textId="77777777" w:rsidTr="00037F13">
        <w:trPr>
          <w:trHeight w:val="1232"/>
        </w:trPr>
        <w:tc>
          <w:tcPr>
            <w:cnfStyle w:val="001000000000" w:firstRow="0" w:lastRow="0" w:firstColumn="1" w:lastColumn="0" w:oddVBand="0" w:evenVBand="0" w:oddHBand="0" w:evenHBand="0" w:firstRowFirstColumn="0" w:firstRowLastColumn="0" w:lastRowFirstColumn="0" w:lastRowLastColumn="0"/>
            <w:tcW w:w="0" w:type="auto"/>
            <w:gridSpan w:val="6"/>
            <w:tcBorders>
              <w:top w:val="single" w:sz="4" w:space="0" w:color="auto"/>
              <w:left w:val="nil"/>
              <w:bottom w:val="nil"/>
              <w:right w:val="nil"/>
            </w:tcBorders>
            <w:vAlign w:val="bottom"/>
          </w:tcPr>
          <w:p w14:paraId="326923F6" w14:textId="45816A12" w:rsidR="00AA2EE9" w:rsidRDefault="00AA2EE9" w:rsidP="00A44FDB">
            <w:pPr>
              <w:rPr>
                <w:rFonts w:ascii="Arial" w:eastAsia="Arial" w:hAnsi="Arial" w:cs="Arial"/>
                <w:bCs w:val="0"/>
                <w:sz w:val="16"/>
                <w:szCs w:val="16"/>
              </w:rPr>
            </w:pPr>
            <w:r>
              <w:rPr>
                <w:rFonts w:ascii="Arial" w:eastAsia="Arial" w:hAnsi="Arial" w:cs="Arial"/>
                <w:b w:val="0"/>
                <w:sz w:val="16"/>
                <w:szCs w:val="16"/>
              </w:rPr>
              <w:t>*56 of the 192 pools tested on the other platforms were not tested by Panther Fusion.</w:t>
            </w:r>
          </w:p>
          <w:p w14:paraId="6B8F54B6" w14:textId="18FF989B" w:rsidR="00AA2EE9" w:rsidRPr="00037F13" w:rsidRDefault="00AA2EE9" w:rsidP="004B1946">
            <w:pPr>
              <w:rPr>
                <w:rFonts w:ascii="Arial" w:eastAsia="Arial" w:hAnsi="Arial" w:cs="Arial"/>
                <w:b w:val="0"/>
                <w:bCs w:val="0"/>
                <w:sz w:val="16"/>
                <w:szCs w:val="16"/>
              </w:rPr>
            </w:pPr>
            <w:r w:rsidRPr="00F81854">
              <w:rPr>
                <w:rFonts w:ascii="Arial" w:eastAsia="Arial" w:hAnsi="Arial" w:cs="Arial"/>
                <w:sz w:val="16"/>
                <w:szCs w:val="16"/>
                <w:vertAlign w:val="superscript"/>
              </w:rPr>
              <w:t>†</w:t>
            </w:r>
            <w:r w:rsidRPr="002F1456">
              <w:rPr>
                <w:rFonts w:ascii="Arial" w:eastAsia="Arial" w:hAnsi="Arial" w:cs="Arial"/>
                <w:b w:val="0"/>
                <w:sz w:val="16"/>
                <w:szCs w:val="16"/>
              </w:rPr>
              <w:t>Restricting the performance characteristic</w:t>
            </w:r>
            <w:r w:rsidRPr="002F1456">
              <w:rPr>
                <w:rFonts w:ascii="Arial" w:eastAsia="Arial" w:hAnsi="Arial" w:cs="Arial"/>
                <w:b w:val="0"/>
                <w:bCs w:val="0"/>
                <w:sz w:val="16"/>
                <w:szCs w:val="16"/>
              </w:rPr>
              <w:t>s</w:t>
            </w:r>
            <w:r w:rsidRPr="002F1456">
              <w:rPr>
                <w:rFonts w:ascii="Arial" w:eastAsia="Arial" w:hAnsi="Arial" w:cs="Arial"/>
                <w:b w:val="0"/>
                <w:sz w:val="16"/>
                <w:szCs w:val="16"/>
              </w:rPr>
              <w:t xml:space="preserve"> comparison to</w:t>
            </w:r>
            <w:r w:rsidRPr="002F1456">
              <w:rPr>
                <w:rFonts w:ascii="Arial" w:eastAsia="Arial" w:hAnsi="Arial" w:cs="Arial"/>
                <w:b w:val="0"/>
                <w:bCs w:val="0"/>
                <w:sz w:val="16"/>
                <w:szCs w:val="16"/>
              </w:rPr>
              <w:t xml:space="preserve"> only the 136 </w:t>
            </w:r>
            <w:r w:rsidR="004F59C6">
              <w:rPr>
                <w:rFonts w:ascii="Arial" w:eastAsia="Arial" w:hAnsi="Arial" w:cs="Arial"/>
                <w:b w:val="0"/>
                <w:bCs w:val="0"/>
                <w:sz w:val="16"/>
                <w:szCs w:val="16"/>
              </w:rPr>
              <w:t>pools</w:t>
            </w:r>
            <w:r w:rsidRPr="002F1456">
              <w:rPr>
                <w:rFonts w:ascii="Arial" w:eastAsia="Arial" w:hAnsi="Arial" w:cs="Arial"/>
                <w:b w:val="0"/>
                <w:bCs w:val="0"/>
                <w:sz w:val="16"/>
                <w:szCs w:val="16"/>
              </w:rPr>
              <w:t xml:space="preserve"> tested by </w:t>
            </w:r>
            <w:r w:rsidR="004F59C6">
              <w:rPr>
                <w:rFonts w:ascii="Arial" w:eastAsia="Arial" w:hAnsi="Arial" w:cs="Arial"/>
                <w:b w:val="0"/>
                <w:bCs w:val="0"/>
                <w:sz w:val="16"/>
                <w:szCs w:val="16"/>
              </w:rPr>
              <w:t>Panther Fusion resulted in a</w:t>
            </w:r>
            <w:r w:rsidRPr="002F1456">
              <w:rPr>
                <w:rFonts w:ascii="Arial" w:eastAsia="Arial" w:hAnsi="Arial" w:cs="Arial"/>
                <w:b w:val="0"/>
                <w:bCs w:val="0"/>
                <w:sz w:val="16"/>
                <w:szCs w:val="16"/>
              </w:rPr>
              <w:t xml:space="preserve"> PPA as follows: LDT 100% (</w:t>
            </w:r>
            <w:r w:rsidRPr="002F1456">
              <w:rPr>
                <w:rFonts w:ascii="Arial" w:eastAsia="Arial" w:hAnsi="Arial" w:cs="Arial"/>
                <w:b w:val="0"/>
                <w:sz w:val="16"/>
                <w:szCs w:val="16"/>
              </w:rPr>
              <w:t>95% CI 85.8%-100.0%</w:t>
            </w:r>
            <w:r w:rsidRPr="002F1456">
              <w:rPr>
                <w:rFonts w:ascii="Arial" w:eastAsia="Arial" w:hAnsi="Arial" w:cs="Arial"/>
                <w:b w:val="0"/>
                <w:bCs w:val="0"/>
                <w:sz w:val="16"/>
                <w:szCs w:val="16"/>
              </w:rPr>
              <w:t>), Aptima-M 91.7% (</w:t>
            </w:r>
            <w:r w:rsidRPr="002F1456">
              <w:rPr>
                <w:rFonts w:ascii="Arial" w:eastAsia="Arial" w:hAnsi="Arial" w:cs="Arial"/>
                <w:b w:val="0"/>
                <w:sz w:val="16"/>
                <w:szCs w:val="16"/>
              </w:rPr>
              <w:t>95% CI 73.0%-99.0%</w:t>
            </w:r>
            <w:r w:rsidRPr="002F1456">
              <w:rPr>
                <w:rFonts w:ascii="Arial" w:eastAsia="Arial" w:hAnsi="Arial" w:cs="Arial"/>
                <w:b w:val="0"/>
                <w:bCs w:val="0"/>
                <w:sz w:val="16"/>
                <w:szCs w:val="16"/>
              </w:rPr>
              <w:t>) and Aptima-350 95.</w:t>
            </w:r>
            <w:r w:rsidRPr="002F1456">
              <w:rPr>
                <w:rFonts w:ascii="Arial" w:eastAsia="Arial" w:hAnsi="Arial" w:cs="Arial"/>
                <w:b w:val="0"/>
                <w:sz w:val="16"/>
                <w:szCs w:val="16"/>
              </w:rPr>
              <w:t>8</w:t>
            </w:r>
            <w:r w:rsidRPr="002F1456">
              <w:rPr>
                <w:rFonts w:ascii="Arial" w:eastAsia="Arial" w:hAnsi="Arial" w:cs="Arial"/>
                <w:b w:val="0"/>
                <w:bCs w:val="0"/>
                <w:sz w:val="16"/>
                <w:szCs w:val="16"/>
              </w:rPr>
              <w:t>% (</w:t>
            </w:r>
            <w:r w:rsidRPr="002F1456">
              <w:rPr>
                <w:rFonts w:ascii="Arial" w:eastAsia="Arial" w:hAnsi="Arial" w:cs="Arial"/>
                <w:b w:val="0"/>
                <w:sz w:val="16"/>
                <w:szCs w:val="16"/>
              </w:rPr>
              <w:t>95% CI 78.9%-99.9%</w:t>
            </w:r>
            <w:r w:rsidRPr="002F1456">
              <w:rPr>
                <w:rFonts w:ascii="Arial" w:eastAsia="Arial" w:hAnsi="Arial" w:cs="Arial"/>
                <w:b w:val="0"/>
                <w:bCs w:val="0"/>
                <w:sz w:val="16"/>
                <w:szCs w:val="16"/>
              </w:rPr>
              <w:t>).</w:t>
            </w:r>
          </w:p>
          <w:p w14:paraId="54C8FE56" w14:textId="6115DB8D" w:rsidR="00AA2EE9" w:rsidRPr="00037F13" w:rsidRDefault="00AA2EE9" w:rsidP="00037F13">
            <w:pPr>
              <w:rPr>
                <w:rFonts w:ascii="Arial" w:hAnsi="Arial" w:cs="Arial"/>
                <w:b w:val="0"/>
                <w:sz w:val="20"/>
                <w:szCs w:val="20"/>
              </w:rPr>
            </w:pPr>
            <w:r w:rsidRPr="000A0FFD">
              <w:rPr>
                <w:rFonts w:ascii="Arial" w:eastAsia="Arial" w:hAnsi="Arial" w:cs="Arial"/>
                <w:b w:val="0"/>
                <w:sz w:val="16"/>
                <w:szCs w:val="16"/>
              </w:rPr>
              <w:t>PPA, positive percent agreement; NPA, negative percent agreement; LDT, laboratory-developed test; Panther Aptima-M, Panther Aptima with manufacturer-set relative light unit cutoff; Panther Aptima-350, Panther Aptima with relative light unit cutoff of &gt;350 considered positive; RLU, relative light unit.</w:t>
            </w:r>
          </w:p>
        </w:tc>
      </w:tr>
    </w:tbl>
    <w:p w14:paraId="2052662C" w14:textId="7EEB7EEA" w:rsidR="00B25D95" w:rsidRDefault="00B25D95">
      <w:pPr>
        <w:rPr>
          <w:rFonts w:ascii="Arial" w:hAnsi="Arial" w:cs="Arial"/>
          <w:b/>
          <w:sz w:val="20"/>
          <w:szCs w:val="20"/>
        </w:rPr>
      </w:pPr>
    </w:p>
    <w:p w14:paraId="21FB7CE4" w14:textId="263C52E4" w:rsidR="003C24DC" w:rsidRDefault="003C24DC">
      <w:pPr>
        <w:rPr>
          <w:b/>
        </w:rPr>
      </w:pPr>
      <w:r>
        <w:rPr>
          <w:b/>
        </w:rPr>
        <w:br w:type="page"/>
      </w:r>
    </w:p>
    <w:p w14:paraId="329BB913" w14:textId="7D113D76" w:rsidR="00083DAF" w:rsidRPr="00083DAF" w:rsidRDefault="001A4045" w:rsidP="00083DAF">
      <w:pPr>
        <w:spacing w:line="480" w:lineRule="auto"/>
        <w:rPr>
          <w:b/>
        </w:rPr>
      </w:pPr>
      <w:r w:rsidRPr="006F1059">
        <w:rPr>
          <w:b/>
        </w:rPr>
        <w:lastRenderedPageBreak/>
        <w:t>Figure Legends</w:t>
      </w:r>
    </w:p>
    <w:p w14:paraId="1B17CFC4" w14:textId="44A563A0" w:rsidR="00083DAF" w:rsidRDefault="00083DAF" w:rsidP="00083DAF">
      <w:pPr>
        <w:spacing w:line="480" w:lineRule="auto"/>
      </w:pPr>
      <w:r w:rsidRPr="007E18A2">
        <w:rPr>
          <w:b/>
        </w:rPr>
        <w:t>Figure 1.</w:t>
      </w:r>
      <w:r w:rsidRPr="006F1059">
        <w:t xml:space="preserve"> </w:t>
      </w:r>
      <w:r>
        <w:t>For a pool size of 8, p</w:t>
      </w:r>
      <w:r w:rsidRPr="006F1059">
        <w:t>aired individual and pooled C</w:t>
      </w:r>
      <w:r w:rsidRPr="006F1059">
        <w:rPr>
          <w:vertAlign w:val="subscript"/>
        </w:rPr>
        <w:t>t</w:t>
      </w:r>
      <w:r w:rsidRPr="006F1059">
        <w:t xml:space="preserve"> values for each individually positive sample</w:t>
      </w:r>
      <w:r w:rsidR="00941523">
        <w:t xml:space="preserve"> (n=58)</w:t>
      </w:r>
      <w:r w:rsidRPr="006F1059">
        <w:t xml:space="preserve">, </w:t>
      </w:r>
      <w:r w:rsidR="00941523">
        <w:t>in order of</w:t>
      </w:r>
      <w:r w:rsidRPr="006F1059">
        <w:t xml:space="preserve"> increasing individual C</w:t>
      </w:r>
      <w:r w:rsidRPr="006F1059">
        <w:rPr>
          <w:vertAlign w:val="subscript"/>
        </w:rPr>
        <w:t>t</w:t>
      </w:r>
      <w:r w:rsidRPr="006F1059">
        <w:t xml:space="preserve"> value. The left panel contains pools comprised of only a single positive sample. The right panel contains pools comprised of two or more positive samples. The grey lines span the range of C</w:t>
      </w:r>
      <w:r w:rsidRPr="006F1059">
        <w:rPr>
          <w:vertAlign w:val="subscript"/>
        </w:rPr>
        <w:t>t</w:t>
      </w:r>
      <w:r w:rsidRPr="006F1059">
        <w:t xml:space="preserve"> values associated with a given pool. Rows without grey lines represent individually positive samples belonging to pools that tested negative by </w:t>
      </w:r>
      <w:r>
        <w:t xml:space="preserve">both </w:t>
      </w:r>
      <w:proofErr w:type="spellStart"/>
      <w:r>
        <w:t>rRT</w:t>
      </w:r>
      <w:proofErr w:type="spellEnd"/>
      <w:r>
        <w:t>-PCR methods</w:t>
      </w:r>
      <w:r w:rsidRPr="006F1059">
        <w:t>.</w:t>
      </w:r>
    </w:p>
    <w:p w14:paraId="509EEAF1" w14:textId="77777777" w:rsidR="00083DAF" w:rsidRDefault="00083DAF" w:rsidP="00814D6B">
      <w:pPr>
        <w:spacing w:line="480" w:lineRule="auto"/>
      </w:pPr>
    </w:p>
    <w:p w14:paraId="18D88A26" w14:textId="1A7F83B6" w:rsidR="001A4045" w:rsidRDefault="00A407AA" w:rsidP="00814D6B">
      <w:pPr>
        <w:spacing w:line="480" w:lineRule="auto"/>
      </w:pPr>
      <w:r w:rsidRPr="007E18A2">
        <w:rPr>
          <w:b/>
        </w:rPr>
        <w:t xml:space="preserve">Figure </w:t>
      </w:r>
      <w:r w:rsidR="00083DAF" w:rsidRPr="007E18A2">
        <w:rPr>
          <w:b/>
        </w:rPr>
        <w:t>2</w:t>
      </w:r>
      <w:r w:rsidRPr="007E18A2">
        <w:rPr>
          <w:b/>
        </w:rPr>
        <w:t>.</w:t>
      </w:r>
      <w:r w:rsidRPr="006F1059">
        <w:t xml:space="preserve"> </w:t>
      </w:r>
      <w:r w:rsidR="00941523">
        <w:t xml:space="preserve">Passing-Bablok regression and Bland-Altman plots for pools of 8 containing only a </w:t>
      </w:r>
      <w:r w:rsidR="00365107" w:rsidRPr="006F1059">
        <w:t>single positive sample</w:t>
      </w:r>
      <w:r w:rsidR="00AC29D1" w:rsidRPr="006F1059">
        <w:t>, tested by A</w:t>
      </w:r>
      <w:r w:rsidR="009B704E">
        <w:t>-B</w:t>
      </w:r>
      <w:r w:rsidR="001A4045" w:rsidRPr="006F1059">
        <w:t>) pooled</w:t>
      </w:r>
      <w:r w:rsidR="001C3113" w:rsidRPr="001C3113">
        <w:rPr>
          <w:i/>
        </w:rPr>
        <w:t xml:space="preserve"> </w:t>
      </w:r>
      <w:r w:rsidR="001A4045" w:rsidRPr="006F1059">
        <w:t>LDT vs. individual</w:t>
      </w:r>
      <w:r w:rsidR="001C3113" w:rsidRPr="001C3113">
        <w:rPr>
          <w:i/>
        </w:rPr>
        <w:t xml:space="preserve"> </w:t>
      </w:r>
      <w:r w:rsidR="001A4045" w:rsidRPr="006F1059">
        <w:t xml:space="preserve">LDT (n=23), </w:t>
      </w:r>
      <w:r w:rsidR="009B704E">
        <w:t>C-D)</w:t>
      </w:r>
      <w:r w:rsidR="001A4045" w:rsidRPr="006F1059">
        <w:t xml:space="preserve"> pooled Panther Fusion vs. individual</w:t>
      </w:r>
      <w:r w:rsidR="001C3113" w:rsidRPr="001C3113">
        <w:rPr>
          <w:i/>
        </w:rPr>
        <w:t xml:space="preserve"> </w:t>
      </w:r>
      <w:r w:rsidR="001A4045" w:rsidRPr="006F1059">
        <w:t>LDT (n=25</w:t>
      </w:r>
      <w:r w:rsidR="009B704E">
        <w:t>), and E-F</w:t>
      </w:r>
      <w:r w:rsidR="001A4045" w:rsidRPr="006F1059">
        <w:t>) pooled Panther Fusion vs. pooled</w:t>
      </w:r>
      <w:r w:rsidR="001C3113" w:rsidRPr="001C3113">
        <w:rPr>
          <w:i/>
        </w:rPr>
        <w:t xml:space="preserve"> </w:t>
      </w:r>
      <w:r w:rsidRPr="006F1059">
        <w:t xml:space="preserve">LDT (n=32). For the </w:t>
      </w:r>
      <w:r w:rsidR="00083DAF">
        <w:t>Passing-Bablok</w:t>
      </w:r>
      <w:r w:rsidRPr="006F1059">
        <w:t xml:space="preserve"> regression plots (</w:t>
      </w:r>
      <w:r w:rsidR="009B704E">
        <w:t>A, C, E</w:t>
      </w:r>
      <w:r w:rsidRPr="006F1059">
        <w:t>), the solid line represents the line of regression, with 95% confidence interval shaded in grey. The dashed line represents the line of identity. The s</w:t>
      </w:r>
      <w:r w:rsidR="001A4045" w:rsidRPr="006F1059">
        <w:t xml:space="preserve">lope and intercept </w:t>
      </w:r>
      <w:r w:rsidRPr="006F1059">
        <w:t xml:space="preserve">of the regression line </w:t>
      </w:r>
      <w:r w:rsidR="001A4045" w:rsidRPr="006F1059">
        <w:t xml:space="preserve">are </w:t>
      </w:r>
      <w:r w:rsidRPr="006F1059">
        <w:t>reported with</w:t>
      </w:r>
      <w:r w:rsidR="001A4045" w:rsidRPr="006F1059">
        <w:t xml:space="preserve"> 95% confidence</w:t>
      </w:r>
      <w:r w:rsidRPr="006F1059">
        <w:t xml:space="preserve"> intervals</w:t>
      </w:r>
      <w:r w:rsidR="001A4045" w:rsidRPr="006F1059">
        <w:t xml:space="preserve"> </w:t>
      </w:r>
      <w:r w:rsidRPr="006F1059">
        <w:t>in parentheses. For the Bland-Altman plots (</w:t>
      </w:r>
      <w:r w:rsidR="009B704E">
        <w:t>B, D, F</w:t>
      </w:r>
      <w:r w:rsidRPr="006F1059">
        <w:t>), the solid line represents the mean difference in C</w:t>
      </w:r>
      <w:r w:rsidRPr="006F1059">
        <w:rPr>
          <w:vertAlign w:val="subscript"/>
        </w:rPr>
        <w:t>t</w:t>
      </w:r>
      <w:r w:rsidRPr="006F1059">
        <w:t xml:space="preserve"> value, with 95% </w:t>
      </w:r>
      <w:r w:rsidR="00AC29D1" w:rsidRPr="006F1059">
        <w:t>limits of agreement area</w:t>
      </w:r>
      <w:r w:rsidRPr="006F1059">
        <w:t xml:space="preserve"> shaded in grey.</w:t>
      </w:r>
    </w:p>
    <w:p w14:paraId="7BF54464" w14:textId="77777777" w:rsidR="007028D3" w:rsidRPr="006F1059" w:rsidRDefault="007028D3" w:rsidP="00814D6B">
      <w:pPr>
        <w:spacing w:line="480" w:lineRule="auto"/>
      </w:pPr>
    </w:p>
    <w:p w14:paraId="4B406AB4" w14:textId="228603B5" w:rsidR="007E24CE" w:rsidRDefault="00CB6FFC" w:rsidP="00814D6B">
      <w:pPr>
        <w:spacing w:line="480" w:lineRule="auto"/>
        <w:rPr>
          <w:bCs/>
        </w:rPr>
      </w:pPr>
      <w:r w:rsidRPr="007E18A2">
        <w:rPr>
          <w:b/>
        </w:rPr>
        <w:t xml:space="preserve">Figure </w:t>
      </w:r>
      <w:r w:rsidR="00C6158A" w:rsidRPr="007E18A2">
        <w:rPr>
          <w:b/>
        </w:rPr>
        <w:t>3</w:t>
      </w:r>
      <w:r w:rsidRPr="007E18A2">
        <w:rPr>
          <w:b/>
        </w:rPr>
        <w:t>.</w:t>
      </w:r>
      <w:r>
        <w:t xml:space="preserve"> </w:t>
      </w:r>
      <w:r w:rsidR="00626E65">
        <w:t>Model-estimated positive percent agreement (PPA) and testing efficiency, by pool size, proportion of tests positive, and proportion of samples with cycle threshold (</w:t>
      </w:r>
      <w:r w:rsidR="00626E65" w:rsidRPr="00DB1421">
        <w:rPr>
          <w:rFonts w:cs="Arial"/>
          <w:bCs/>
        </w:rPr>
        <w:t>C</w:t>
      </w:r>
      <w:r w:rsidR="00626E65" w:rsidRPr="00DB1421">
        <w:rPr>
          <w:rFonts w:cs="Arial"/>
          <w:bCs/>
          <w:vertAlign w:val="subscript"/>
        </w:rPr>
        <w:t>t</w:t>
      </w:r>
      <w:r w:rsidR="00626E65">
        <w:t>) above the 95% limit of detection (</w:t>
      </w:r>
      <w:proofErr w:type="spellStart"/>
      <w:r w:rsidR="00626E65">
        <w:t>LoD</w:t>
      </w:r>
      <w:proofErr w:type="spellEnd"/>
      <w:r w:rsidR="00626E65">
        <w:t>)</w:t>
      </w:r>
      <w:r w:rsidR="007061E9">
        <w:t xml:space="preserve">. </w:t>
      </w:r>
      <w:r w:rsidR="007061E9">
        <w:rPr>
          <w:bCs/>
        </w:rPr>
        <w:t xml:space="preserve">For these estimates, </w:t>
      </w:r>
      <w:proofErr w:type="spellStart"/>
      <w:r w:rsidR="007061E9">
        <w:rPr>
          <w:bCs/>
        </w:rPr>
        <w:t>LoD</w:t>
      </w:r>
      <w:proofErr w:type="spellEnd"/>
      <w:r w:rsidR="007061E9">
        <w:rPr>
          <w:bCs/>
        </w:rPr>
        <w:t xml:space="preserve"> has been held constant at the </w:t>
      </w:r>
      <w:proofErr w:type="gramStart"/>
      <w:r w:rsidR="007061E9">
        <w:rPr>
          <w:bCs/>
        </w:rPr>
        <w:t>experimentally-derived</w:t>
      </w:r>
      <w:proofErr w:type="gramEnd"/>
      <w:r w:rsidR="007061E9">
        <w:rPr>
          <w:bCs/>
        </w:rPr>
        <w:t xml:space="preserve"> </w:t>
      </w:r>
      <w:r w:rsidR="007061E9" w:rsidRPr="00DB1421">
        <w:rPr>
          <w:rFonts w:cs="Arial"/>
          <w:bCs/>
        </w:rPr>
        <w:t>C</w:t>
      </w:r>
      <w:r w:rsidR="007061E9" w:rsidRPr="00DB1421">
        <w:rPr>
          <w:rFonts w:cs="Arial"/>
          <w:bCs/>
          <w:vertAlign w:val="subscript"/>
        </w:rPr>
        <w:t>t</w:t>
      </w:r>
      <w:r w:rsidR="007061E9">
        <w:rPr>
          <w:bCs/>
        </w:rPr>
        <w:t xml:space="preserve"> of 35.9, although results are independent of specific </w:t>
      </w:r>
      <w:proofErr w:type="spellStart"/>
      <w:r w:rsidR="007061E9">
        <w:rPr>
          <w:bCs/>
        </w:rPr>
        <w:t>LoD</w:t>
      </w:r>
      <w:proofErr w:type="spellEnd"/>
      <w:r w:rsidR="007061E9">
        <w:rPr>
          <w:bCs/>
        </w:rPr>
        <w:t xml:space="preserve"> value. </w:t>
      </w:r>
      <w:r w:rsidR="009B704E">
        <w:t xml:space="preserve">A) </w:t>
      </w:r>
      <w:r w:rsidR="00967309">
        <w:t>Expected</w:t>
      </w:r>
      <w:r>
        <w:t xml:space="preserve"> </w:t>
      </w:r>
      <w:r w:rsidR="00626E65">
        <w:t>PPA</w:t>
      </w:r>
      <w:r>
        <w:t xml:space="preserve"> between pooled and individual testing at pool sizes from 1-20. PPA decreases with decreasing proportion of tests positive (indicated by colored lines in each plot), and with increasing proportion of samples with </w:t>
      </w:r>
      <w:r w:rsidRPr="00DB1421">
        <w:rPr>
          <w:rFonts w:cs="Arial"/>
          <w:bCs/>
        </w:rPr>
        <w:t>C</w:t>
      </w:r>
      <w:r w:rsidRPr="00DB1421">
        <w:rPr>
          <w:rFonts w:cs="Arial"/>
          <w:bCs/>
          <w:vertAlign w:val="subscript"/>
        </w:rPr>
        <w:t>t</w:t>
      </w:r>
      <w:r>
        <w:rPr>
          <w:rFonts w:cs="Arial"/>
          <w:bCs/>
        </w:rPr>
        <w:t xml:space="preserve"> </w:t>
      </w:r>
      <w:r w:rsidRPr="00DB1421">
        <w:rPr>
          <w:rFonts w:cs="Arial"/>
          <w:bCs/>
        </w:rPr>
        <w:t>value</w:t>
      </w:r>
      <w:r>
        <w:rPr>
          <w:bCs/>
        </w:rPr>
        <w:t>s bey</w:t>
      </w:r>
      <w:r w:rsidR="00501700">
        <w:rPr>
          <w:bCs/>
        </w:rPr>
        <w:t xml:space="preserve">ond the 95% </w:t>
      </w:r>
      <w:r w:rsidR="00626E65">
        <w:rPr>
          <w:bCs/>
        </w:rPr>
        <w:t>LoD</w:t>
      </w:r>
      <w:r w:rsidR="00501700">
        <w:rPr>
          <w:bCs/>
        </w:rPr>
        <w:t xml:space="preserve"> (</w:t>
      </w:r>
      <w:r w:rsidR="009B704E">
        <w:rPr>
          <w:bCs/>
        </w:rPr>
        <w:t>each panel</w:t>
      </w:r>
      <w:r>
        <w:rPr>
          <w:bCs/>
        </w:rPr>
        <w:t xml:space="preserve">). At &gt;5% test positivity, expected PPA starts to increase at larger pool sizes as there is a greater likelihood of two positive samples being in the same pool. The baseline </w:t>
      </w:r>
      <w:r>
        <w:rPr>
          <w:bCs/>
        </w:rPr>
        <w:lastRenderedPageBreak/>
        <w:t xml:space="preserve">PPA (pool size of </w:t>
      </w:r>
      <w:r w:rsidR="00967309">
        <w:rPr>
          <w:bCs/>
        </w:rPr>
        <w:t>one) reflects the likelihood of obtaining the same individual result wit</w:t>
      </w:r>
      <w:r w:rsidR="009B704E">
        <w:rPr>
          <w:bCs/>
        </w:rPr>
        <w:t xml:space="preserve">h repeat (non-pooled) testing. B) Estimated average tests per sample that would be performed at each pool size, </w:t>
      </w:r>
      <w:r w:rsidR="00C86E06">
        <w:rPr>
          <w:bCs/>
        </w:rPr>
        <w:t xml:space="preserve">with a </w:t>
      </w:r>
      <w:r w:rsidR="009B704E">
        <w:rPr>
          <w:bCs/>
        </w:rPr>
        <w:t xml:space="preserve">lower number of average tests per sample </w:t>
      </w:r>
      <w:r w:rsidR="00C86E06">
        <w:rPr>
          <w:bCs/>
        </w:rPr>
        <w:t xml:space="preserve">corresponding to </w:t>
      </w:r>
      <w:r w:rsidR="009B704E">
        <w:rPr>
          <w:bCs/>
        </w:rPr>
        <w:t>higher testing efficiency. Efficiency increases with decreasing p</w:t>
      </w:r>
      <w:r w:rsidR="00966988">
        <w:rPr>
          <w:bCs/>
        </w:rPr>
        <w:t xml:space="preserve">roportion of tests positive, and slightly increases with increasing samples </w:t>
      </w:r>
      <w:r w:rsidR="00626E65">
        <w:rPr>
          <w:bCs/>
        </w:rPr>
        <w:t xml:space="preserve">with </w:t>
      </w:r>
      <w:r w:rsidR="00626E65" w:rsidRPr="00DB1421">
        <w:rPr>
          <w:rFonts w:cs="Arial"/>
          <w:bCs/>
        </w:rPr>
        <w:t>C</w:t>
      </w:r>
      <w:r w:rsidR="00626E65" w:rsidRPr="00DB1421">
        <w:rPr>
          <w:rFonts w:cs="Arial"/>
          <w:bCs/>
          <w:vertAlign w:val="subscript"/>
        </w:rPr>
        <w:t>t</w:t>
      </w:r>
      <w:r w:rsidR="00626E65">
        <w:rPr>
          <w:bCs/>
        </w:rPr>
        <w:t xml:space="preserve"> above the </w:t>
      </w:r>
      <w:proofErr w:type="spellStart"/>
      <w:r w:rsidR="00626E65">
        <w:rPr>
          <w:bCs/>
        </w:rPr>
        <w:t>LoD</w:t>
      </w:r>
      <w:proofErr w:type="spellEnd"/>
      <w:r w:rsidR="00626E65">
        <w:rPr>
          <w:bCs/>
        </w:rPr>
        <w:t>. E</w:t>
      </w:r>
      <w:r w:rsidR="007061E9">
        <w:rPr>
          <w:bCs/>
        </w:rPr>
        <w:t>a</w:t>
      </w:r>
      <w:r w:rsidR="00966988">
        <w:rPr>
          <w:bCs/>
        </w:rPr>
        <w:t>ch missed pool results in fewer deconvolutions, and thus fewer total tests performed.</w:t>
      </w:r>
    </w:p>
    <w:p w14:paraId="5D3C8ECA" w14:textId="77777777" w:rsidR="003C24DC" w:rsidRDefault="003C24DC" w:rsidP="00814D6B">
      <w:pPr>
        <w:spacing w:line="480" w:lineRule="auto"/>
      </w:pPr>
    </w:p>
    <w:p w14:paraId="52B32440" w14:textId="57EF9153" w:rsidR="009B704E" w:rsidRPr="007061E9" w:rsidRDefault="007E24CE" w:rsidP="00814D6B">
      <w:pPr>
        <w:spacing w:line="480" w:lineRule="auto"/>
      </w:pPr>
      <w:r w:rsidRPr="007E18A2">
        <w:rPr>
          <w:b/>
        </w:rPr>
        <w:t xml:space="preserve">Figure </w:t>
      </w:r>
      <w:r w:rsidR="00C6158A" w:rsidRPr="007E18A2">
        <w:rPr>
          <w:b/>
        </w:rPr>
        <w:t>4</w:t>
      </w:r>
      <w:r w:rsidRPr="007E18A2">
        <w:rPr>
          <w:b/>
        </w:rPr>
        <w:t>.</w:t>
      </w:r>
      <w:r w:rsidR="009B704E">
        <w:t xml:space="preserve"> </w:t>
      </w:r>
      <w:r w:rsidR="00626E65">
        <w:t xml:space="preserve">Model-estimated positive percent agreement (PPA) and testing efficiency, by pool size, proportion of tests positive, and assay analytical sensitivity as approximated by the </w:t>
      </w:r>
      <w:r w:rsidR="007061E9">
        <w:t>cycle threshold (</w:t>
      </w:r>
      <w:r w:rsidR="007061E9" w:rsidRPr="00DB1421">
        <w:rPr>
          <w:rFonts w:cs="Arial"/>
          <w:bCs/>
        </w:rPr>
        <w:t>C</w:t>
      </w:r>
      <w:r w:rsidR="007061E9" w:rsidRPr="00DB1421">
        <w:rPr>
          <w:rFonts w:cs="Arial"/>
          <w:bCs/>
          <w:vertAlign w:val="subscript"/>
        </w:rPr>
        <w:t>t</w:t>
      </w:r>
      <w:r w:rsidR="007061E9">
        <w:t xml:space="preserve">) </w:t>
      </w:r>
      <w:r w:rsidR="00626E65">
        <w:t>corresponding to the 95% limit of detection (</w:t>
      </w:r>
      <w:proofErr w:type="spellStart"/>
      <w:r w:rsidR="00626E65">
        <w:t>LoD</w:t>
      </w:r>
      <w:proofErr w:type="spellEnd"/>
      <w:r w:rsidR="00626E65">
        <w:t xml:space="preserve">). </w:t>
      </w:r>
      <w:r w:rsidR="007061E9">
        <w:t xml:space="preserve">For these estimates, the population </w:t>
      </w:r>
      <w:r w:rsidR="007061E9">
        <w:rPr>
          <w:rFonts w:cs="Arial"/>
          <w:bCs/>
        </w:rPr>
        <w:t>viral load distribution</w:t>
      </w:r>
      <w:r w:rsidR="007061E9">
        <w:t xml:space="preserve"> has been held constant at 15% of samples with </w:t>
      </w:r>
      <w:r w:rsidR="007061E9" w:rsidRPr="00DB1421">
        <w:rPr>
          <w:rFonts w:cs="Arial"/>
          <w:bCs/>
        </w:rPr>
        <w:t>C</w:t>
      </w:r>
      <w:r w:rsidR="007061E9" w:rsidRPr="00DB1421">
        <w:rPr>
          <w:rFonts w:cs="Arial"/>
          <w:bCs/>
          <w:vertAlign w:val="subscript"/>
        </w:rPr>
        <w:t>t</w:t>
      </w:r>
      <w:r w:rsidR="007061E9">
        <w:rPr>
          <w:rFonts w:cs="Arial"/>
          <w:bCs/>
          <w:vertAlign w:val="subscript"/>
        </w:rPr>
        <w:t xml:space="preserve"> </w:t>
      </w:r>
      <w:r w:rsidR="007061E9">
        <w:t xml:space="preserve">values above 35. </w:t>
      </w:r>
      <w:r w:rsidR="009B704E">
        <w:t xml:space="preserve">A) Expected </w:t>
      </w:r>
      <w:r w:rsidR="007061E9">
        <w:t xml:space="preserve">PPA </w:t>
      </w:r>
      <w:r w:rsidR="009B704E">
        <w:t>between pooled and individual testing at pool sizes from 1-20</w:t>
      </w:r>
      <w:r w:rsidR="00966988">
        <w:t>. PPA decreases with decreasing proportion of tests positive (indicated by colored lines in each plot) and increases with increased analyti</w:t>
      </w:r>
      <w:r w:rsidR="00501700">
        <w:t>cal sensitivity (each panel).</w:t>
      </w:r>
      <w:r w:rsidR="00966988">
        <w:rPr>
          <w:rFonts w:cs="Arial"/>
          <w:bCs/>
        </w:rPr>
        <w:t xml:space="preserve"> </w:t>
      </w:r>
      <w:r w:rsidR="00AA19E6">
        <w:rPr>
          <w:rFonts w:cs="Arial"/>
          <w:bCs/>
        </w:rPr>
        <w:t xml:space="preserve">This occurs because the proportion of individuals samples with </w:t>
      </w:r>
      <w:r w:rsidR="007061E9" w:rsidRPr="00DB1421">
        <w:rPr>
          <w:rFonts w:cs="Arial"/>
          <w:bCs/>
        </w:rPr>
        <w:t>C</w:t>
      </w:r>
      <w:r w:rsidR="007061E9" w:rsidRPr="00DB1421">
        <w:rPr>
          <w:rFonts w:cs="Arial"/>
          <w:bCs/>
          <w:vertAlign w:val="subscript"/>
        </w:rPr>
        <w:t>t</w:t>
      </w:r>
      <w:r w:rsidR="007061E9">
        <w:rPr>
          <w:rFonts w:cs="Arial"/>
          <w:bCs/>
          <w:vertAlign w:val="subscript"/>
        </w:rPr>
        <w:t xml:space="preserve"> </w:t>
      </w:r>
      <w:r w:rsidR="00AA19E6">
        <w:rPr>
          <w:rFonts w:cs="Arial"/>
          <w:bCs/>
        </w:rPr>
        <w:t xml:space="preserve">value above each </w:t>
      </w:r>
      <w:proofErr w:type="spellStart"/>
      <w:r w:rsidR="00AA19E6">
        <w:rPr>
          <w:rFonts w:cs="Arial"/>
          <w:bCs/>
        </w:rPr>
        <w:t>LoD</w:t>
      </w:r>
      <w:proofErr w:type="spellEnd"/>
      <w:r w:rsidR="00AA19E6">
        <w:rPr>
          <w:rFonts w:cs="Arial"/>
          <w:bCs/>
        </w:rPr>
        <w:t xml:space="preserve"> decreases as the Ct </w:t>
      </w:r>
      <w:proofErr w:type="spellStart"/>
      <w:r w:rsidR="00AA19E6">
        <w:rPr>
          <w:rFonts w:cs="Arial"/>
          <w:bCs/>
        </w:rPr>
        <w:t>LoD</w:t>
      </w:r>
      <w:proofErr w:type="spellEnd"/>
      <w:r w:rsidR="00AA19E6">
        <w:rPr>
          <w:rFonts w:cs="Arial"/>
          <w:bCs/>
        </w:rPr>
        <w:t xml:space="preserve"> increases. </w:t>
      </w:r>
      <w:r w:rsidR="009B704E">
        <w:rPr>
          <w:bCs/>
        </w:rPr>
        <w:t xml:space="preserve">B) </w:t>
      </w:r>
      <w:r w:rsidR="000B3275">
        <w:rPr>
          <w:bCs/>
        </w:rPr>
        <w:t xml:space="preserve">Estimated average tests per sample that would be performed at each pool size, with a lower number of average tests per sample corresponding to higher testing efficiency. </w:t>
      </w:r>
      <w:r w:rsidR="009B704E">
        <w:rPr>
          <w:bCs/>
        </w:rPr>
        <w:t xml:space="preserve">Efficiency increases with decreasing proportion of tests positive, </w:t>
      </w:r>
      <w:r w:rsidR="00966988">
        <w:rPr>
          <w:bCs/>
        </w:rPr>
        <w:t>and slightly decreases with increased analytical sensitivity, as more pools detected results in an increased number of individual tests performed at the deconvolution step.</w:t>
      </w:r>
    </w:p>
    <w:p w14:paraId="2DF6C456" w14:textId="77777777" w:rsidR="00C6158A" w:rsidRDefault="00C6158A" w:rsidP="00C6158A">
      <w:pPr>
        <w:spacing w:line="480" w:lineRule="auto"/>
      </w:pPr>
    </w:p>
    <w:p w14:paraId="4CEC4599" w14:textId="272932DB" w:rsidR="00C6158A" w:rsidRDefault="00C6158A" w:rsidP="00814D6B">
      <w:pPr>
        <w:spacing w:line="480" w:lineRule="auto"/>
        <w:rPr>
          <w:bCs/>
        </w:rPr>
      </w:pPr>
      <w:r w:rsidRPr="007E18A2">
        <w:rPr>
          <w:b/>
        </w:rPr>
        <w:t>Figure 5.</w:t>
      </w:r>
      <w:r>
        <w:t xml:space="preserve"> </w:t>
      </w:r>
      <w:r w:rsidR="00630547">
        <w:t xml:space="preserve">Empiric and modeled estimates of positive percent agreement (PPA) with 95% confidence intervals </w:t>
      </w:r>
      <w:r w:rsidR="00BC1B51">
        <w:t xml:space="preserve">(CI) </w:t>
      </w:r>
      <w:r w:rsidR="00630547">
        <w:t xml:space="preserve">for </w:t>
      </w:r>
      <w:r w:rsidR="00BC1B51">
        <w:t xml:space="preserve">each pool size, testing platform, and sample type (all vs. first initial diagnostic vs. follow-up). The black circles represent the empiric PPA point estimates, </w:t>
      </w:r>
      <w:r w:rsidR="00433396">
        <w:t>and</w:t>
      </w:r>
      <w:r w:rsidR="00BC1B51">
        <w:t xml:space="preserve"> colored horizontal bars </w:t>
      </w:r>
      <w:r w:rsidR="00433396">
        <w:t>indicate</w:t>
      </w:r>
      <w:r w:rsidR="00BC1B51">
        <w:t xml:space="preserve"> the 95% CI. </w:t>
      </w:r>
      <w:r w:rsidR="00433396">
        <w:t xml:space="preserve">The 95% CI for the </w:t>
      </w:r>
      <w:proofErr w:type="gramStart"/>
      <w:r w:rsidR="00433396">
        <w:t>in silico</w:t>
      </w:r>
      <w:proofErr w:type="gramEnd"/>
      <w:r w:rsidR="00433396">
        <w:t xml:space="preserve"> data are too narrow to be visible in this plot. </w:t>
      </w:r>
      <w:r w:rsidR="00BC1B51">
        <w:t xml:space="preserve">The grey boxplots represent the modeled estimate of PPA, with vertical black line indicating the modeled </w:t>
      </w:r>
      <w:r w:rsidR="00BC1B51">
        <w:lastRenderedPageBreak/>
        <w:t>PPA point estimate, and grey box marking the 95% CI of the probabilistic sensitivity analysis. No modeled estimates are available for Panther Aptima because this is a transcription mediated amplification assay</w:t>
      </w:r>
      <w:r w:rsidR="00433396">
        <w:t>, and the model is based on dilutional effects inherent to real</w:t>
      </w:r>
      <w:r w:rsidR="000B3275">
        <w:t>-</w:t>
      </w:r>
      <w:r w:rsidR="00433396">
        <w:t>time PCR only. The empiric 95% confidence intervals contain the modeled PPA point estimates for all conditions except for “pools of 8 follow-up tests only” and the “in silico” data.</w:t>
      </w:r>
      <w:r w:rsidR="009F50B1">
        <w:t xml:space="preserve"> The data used to </w:t>
      </w:r>
      <w:r w:rsidR="00D41357">
        <w:t xml:space="preserve">generate this figure is provided in Appendix Table </w:t>
      </w:r>
      <w:r w:rsidR="000B3275">
        <w:t>3</w:t>
      </w:r>
      <w:r w:rsidR="00D41357">
        <w:t>.</w:t>
      </w:r>
    </w:p>
    <w:p w14:paraId="07E1F1AE" w14:textId="49A65286" w:rsidR="003C24DC" w:rsidRDefault="003C24DC">
      <w:r>
        <w:br w:type="page"/>
      </w:r>
    </w:p>
    <w:p w14:paraId="1A9A71FD" w14:textId="565DA00D" w:rsidR="00667A33" w:rsidRDefault="00667A33" w:rsidP="00814D6B">
      <w:pPr>
        <w:spacing w:line="480" w:lineRule="auto"/>
        <w:rPr>
          <w:b/>
        </w:rPr>
      </w:pPr>
      <w:r>
        <w:rPr>
          <w:b/>
        </w:rPr>
        <w:lastRenderedPageBreak/>
        <w:t xml:space="preserve">Technical </w:t>
      </w:r>
      <w:r w:rsidR="00BE223E" w:rsidRPr="00F00EC8">
        <w:rPr>
          <w:b/>
        </w:rPr>
        <w:t>Appendix</w:t>
      </w:r>
    </w:p>
    <w:p w14:paraId="0CA44AE2" w14:textId="39F2FCF7" w:rsidR="0036245F" w:rsidRDefault="0036245F" w:rsidP="00814D6B">
      <w:pPr>
        <w:spacing w:line="480" w:lineRule="auto"/>
      </w:pPr>
    </w:p>
    <w:p w14:paraId="582FE2D2" w14:textId="4FFAF4D4" w:rsidR="00363C87" w:rsidRPr="00814D6B" w:rsidRDefault="00363C87" w:rsidP="00363C87">
      <w:pPr>
        <w:spacing w:line="480" w:lineRule="auto"/>
        <w:rPr>
          <w:bCs/>
        </w:rPr>
      </w:pPr>
      <w:r>
        <w:rPr>
          <w:bCs/>
        </w:rPr>
        <w:t xml:space="preserve">Assay Comparisons for Pools of </w:t>
      </w:r>
      <w:r w:rsidR="001214DA">
        <w:rPr>
          <w:bCs/>
        </w:rPr>
        <w:t>4</w:t>
      </w:r>
    </w:p>
    <w:p w14:paraId="401D68C2" w14:textId="59E690EA" w:rsidR="00363C87" w:rsidRDefault="00363C87" w:rsidP="0005248C">
      <w:pPr>
        <w:spacing w:line="480" w:lineRule="auto"/>
        <w:ind w:firstLine="720"/>
      </w:pPr>
      <w:r>
        <w:t xml:space="preserve">To evaluate a pool size of </w:t>
      </w:r>
      <w:r w:rsidR="001214DA">
        <w:t>4</w:t>
      </w:r>
      <w:r>
        <w:t xml:space="preserve">, a total of 192 pools from 768 unique samples </w:t>
      </w:r>
      <w:r w:rsidRPr="006F1059">
        <w:t xml:space="preserve">were tested on three different </w:t>
      </w:r>
      <w:r>
        <w:t xml:space="preserve">NAAT </w:t>
      </w:r>
      <w:r w:rsidRPr="006F1059">
        <w:t>platforms</w:t>
      </w:r>
      <w:r>
        <w:t xml:space="preserve"> (Table 1)</w:t>
      </w:r>
      <w:r w:rsidRPr="006F1059">
        <w:t xml:space="preserve">. </w:t>
      </w:r>
      <w:r w:rsidR="0005248C">
        <w:t xml:space="preserve">Due to unforeseen logistical considerations, 56 of the 192 pools were </w:t>
      </w:r>
      <w:r w:rsidR="00224E1A">
        <w:t xml:space="preserve">tested only by LDT and Panther Aptima, but </w:t>
      </w:r>
      <w:r w:rsidR="0005248C">
        <w:t>not tested by Panther Fusion</w:t>
      </w:r>
      <w:r w:rsidR="00224E1A">
        <w:t xml:space="preserve">. The remaining </w:t>
      </w:r>
      <w:r w:rsidR="0005248C">
        <w:t>13</w:t>
      </w:r>
      <w:r w:rsidR="00224E1A">
        <w:t>6</w:t>
      </w:r>
      <w:r w:rsidR="0005248C">
        <w:t xml:space="preserve"> pools </w:t>
      </w:r>
      <w:r w:rsidR="00224E1A">
        <w:t>were tested by all three methods</w:t>
      </w:r>
      <w:r w:rsidR="0005248C">
        <w:t xml:space="preserve">. </w:t>
      </w:r>
      <w:r>
        <w:t>Among the 768 individual samples, 38 (4.9%) were positive, with a median C</w:t>
      </w:r>
      <w:r w:rsidRPr="00716A4B">
        <w:rPr>
          <w:vertAlign w:val="subscript"/>
        </w:rPr>
        <w:t>t</w:t>
      </w:r>
      <w:r>
        <w:t xml:space="preserve"> value of </w:t>
      </w:r>
      <w:r w:rsidRPr="00363C87">
        <w:t>29.3 (</w:t>
      </w:r>
      <w:r>
        <w:t xml:space="preserve">95% CI </w:t>
      </w:r>
      <w:r w:rsidRPr="00363C87">
        <w:t>20.3-33.9)</w:t>
      </w:r>
      <w:r>
        <w:t xml:space="preserve">. </w:t>
      </w:r>
      <w:r w:rsidR="00DE7440">
        <w:t xml:space="preserve">First-time diagnostic samples had higher median </w:t>
      </w:r>
      <w:r w:rsidR="007E0BC9">
        <w:t>C</w:t>
      </w:r>
      <w:r w:rsidR="007E0BC9" w:rsidRPr="00716A4B">
        <w:rPr>
          <w:vertAlign w:val="subscript"/>
        </w:rPr>
        <w:t>t</w:t>
      </w:r>
      <w:r w:rsidR="00DE7440">
        <w:t xml:space="preserve"> values than follow-up </w:t>
      </w:r>
      <w:r w:rsidR="007E0BC9">
        <w:t>tests</w:t>
      </w:r>
      <w:r w:rsidR="00DE7440">
        <w:t xml:space="preserve"> </w:t>
      </w:r>
      <w:r w:rsidR="00492F59">
        <w:t>(Table 2)</w:t>
      </w:r>
      <w:r w:rsidR="007E0BC9">
        <w:t>.</w:t>
      </w:r>
    </w:p>
    <w:p w14:paraId="54E36760" w14:textId="1EE9152A" w:rsidR="00454162" w:rsidRDefault="00363C87" w:rsidP="00454162">
      <w:pPr>
        <w:spacing w:line="480" w:lineRule="auto"/>
        <w:ind w:firstLine="720"/>
      </w:pPr>
      <w:r>
        <w:t>Among</w:t>
      </w:r>
      <w:r w:rsidRPr="006F1059">
        <w:t xml:space="preserve"> the tested </w:t>
      </w:r>
      <w:r>
        <w:t xml:space="preserve">pools of </w:t>
      </w:r>
      <w:r w:rsidR="001214DA">
        <w:t>4</w:t>
      </w:r>
      <w:r w:rsidRPr="006F1059">
        <w:t xml:space="preserve">, </w:t>
      </w:r>
      <w:r w:rsidR="007E0BC9">
        <w:t>18.2</w:t>
      </w:r>
      <w:r w:rsidRPr="006F1059">
        <w:t>% (</w:t>
      </w:r>
      <w:r w:rsidR="007E0BC9">
        <w:t>35</w:t>
      </w:r>
      <w:r w:rsidRPr="006F1059">
        <w:t>/1</w:t>
      </w:r>
      <w:r w:rsidR="007E0BC9">
        <w:t>92</w:t>
      </w:r>
      <w:r w:rsidRPr="006F1059">
        <w:t xml:space="preserve">) contained at least one positive sample. The positive pools were comprised of </w:t>
      </w:r>
      <w:r w:rsidR="007E0BC9">
        <w:t>32</w:t>
      </w:r>
      <w:r w:rsidRPr="006F1059">
        <w:t xml:space="preserve"> pools with one positive sample, </w:t>
      </w:r>
      <w:r w:rsidR="007E0BC9">
        <w:t>and 3</w:t>
      </w:r>
      <w:r w:rsidRPr="006F1059">
        <w:t xml:space="preserve"> pools with two positive samples</w:t>
      </w:r>
      <w:r w:rsidR="007E0BC9">
        <w:t xml:space="preserve"> </w:t>
      </w:r>
      <w:r w:rsidRPr="006F1059">
        <w:t>(</w:t>
      </w:r>
      <w:r w:rsidR="007E0BC9">
        <w:t xml:space="preserve">Appendix </w:t>
      </w:r>
      <w:r w:rsidRPr="006F1059">
        <w:t xml:space="preserve">Table 2). There were </w:t>
      </w:r>
      <w:r w:rsidR="00224E1A">
        <w:t>no</w:t>
      </w:r>
      <w:r w:rsidRPr="006F1059">
        <w:t xml:space="preserve"> false positive pools. The overall </w:t>
      </w:r>
      <w:r>
        <w:t>PPA</w:t>
      </w:r>
      <w:r w:rsidRPr="006F1059">
        <w:t xml:space="preserve"> of pooled testing ranged from </w:t>
      </w:r>
      <w:r w:rsidR="00224E1A">
        <w:t>82.9</w:t>
      </w:r>
      <w:r w:rsidRPr="006F1059">
        <w:t xml:space="preserve">% to </w:t>
      </w:r>
      <w:r w:rsidR="00224E1A">
        <w:t>100</w:t>
      </w:r>
      <w:r w:rsidRPr="006F1059">
        <w:t>%</w:t>
      </w:r>
      <w:r w:rsidR="00224E1A">
        <w:t xml:space="preserve"> </w:t>
      </w:r>
      <w:r w:rsidRPr="006F1059">
        <w:t>(Table 3).</w:t>
      </w:r>
      <w:r w:rsidR="00454162">
        <w:t xml:space="preserve"> The 26 pools containing positive first-time diagnostic samples had higher PPA than the 9 pools containing positive follow-up tests </w:t>
      </w:r>
      <w:r w:rsidR="00CB337B">
        <w:t xml:space="preserve">by LDT </w:t>
      </w:r>
      <w:r w:rsidR="00454162">
        <w:t>(Appendix Table 3).</w:t>
      </w:r>
    </w:p>
    <w:p w14:paraId="2A03071F" w14:textId="08A097B4" w:rsidR="00363C87" w:rsidRDefault="00363C87" w:rsidP="00CB337B">
      <w:pPr>
        <w:spacing w:line="480" w:lineRule="auto"/>
        <w:ind w:firstLine="720"/>
        <w:rPr>
          <w:rFonts w:eastAsia="Arial"/>
        </w:rPr>
      </w:pPr>
      <w:r w:rsidRPr="006F1059">
        <w:rPr>
          <w:rFonts w:eastAsia="Arial"/>
        </w:rPr>
        <w:t xml:space="preserve">There were </w:t>
      </w:r>
      <w:r w:rsidR="00224E1A">
        <w:rPr>
          <w:rFonts w:eastAsia="Arial"/>
        </w:rPr>
        <w:t>6</w:t>
      </w:r>
      <w:r w:rsidRPr="006F1059">
        <w:rPr>
          <w:rFonts w:eastAsia="Arial"/>
        </w:rPr>
        <w:t xml:space="preserve"> total pools for which at least one method was falsely negative</w:t>
      </w:r>
      <w:r w:rsidR="00224E1A">
        <w:rPr>
          <w:rFonts w:eastAsia="Arial"/>
        </w:rPr>
        <w:t>, all of which contained only a single positive specimen.</w:t>
      </w:r>
      <w:r w:rsidRPr="006F1059">
        <w:rPr>
          <w:rFonts w:eastAsia="Arial"/>
        </w:rPr>
        <w:t xml:space="preserve"> </w:t>
      </w:r>
      <w:r w:rsidR="00367573">
        <w:rPr>
          <w:rFonts w:eastAsia="Arial"/>
        </w:rPr>
        <w:t xml:space="preserve">Each of these 6 specimens had an individual </w:t>
      </w:r>
      <w:r w:rsidR="00367573" w:rsidRPr="006F1059">
        <w:t>C</w:t>
      </w:r>
      <w:r w:rsidR="00367573" w:rsidRPr="006F1059">
        <w:rPr>
          <w:vertAlign w:val="subscript"/>
        </w:rPr>
        <w:t>t</w:t>
      </w:r>
      <w:r w:rsidR="00367573">
        <w:rPr>
          <w:rFonts w:eastAsia="Arial"/>
        </w:rPr>
        <w:t xml:space="preserve"> value greater than 34 cycles </w:t>
      </w:r>
      <w:r w:rsidR="00367573" w:rsidRPr="006F1059">
        <w:rPr>
          <w:rFonts w:eastAsia="Arial"/>
        </w:rPr>
        <w:t>(median 3</w:t>
      </w:r>
      <w:r w:rsidR="00367573">
        <w:rPr>
          <w:rFonts w:eastAsia="Arial"/>
        </w:rPr>
        <w:t>6.4</w:t>
      </w:r>
      <w:r w:rsidR="00367573" w:rsidRPr="006F1059">
        <w:rPr>
          <w:rFonts w:eastAsia="Arial"/>
        </w:rPr>
        <w:t xml:space="preserve">, IQR </w:t>
      </w:r>
      <w:r w:rsidR="00367573">
        <w:rPr>
          <w:rFonts w:eastAsia="Arial"/>
        </w:rPr>
        <w:t xml:space="preserve">34.6-37.5). </w:t>
      </w:r>
      <w:r w:rsidR="000D20BD" w:rsidRPr="000D20BD">
        <w:rPr>
          <w:rFonts w:eastAsia="Arial"/>
        </w:rPr>
        <w:t>Among individual positive specimens in the pools of 4 dataset, 10 (26.3%) had Ct&gt;34. For the LDT, Panther Fusion, Panther Aptima-M, and Panther Aptima-350, 2/10 (20.0%), 0/6 (0.0%, 4 samples were not subjected to pooled testing), 6/10 (60.0%), and 4/10 (40.0%) were falsely negative.</w:t>
      </w:r>
      <w:r w:rsidR="00367573">
        <w:rPr>
          <w:rFonts w:eastAsia="Arial"/>
        </w:rPr>
        <w:t xml:space="preserve"> </w:t>
      </w:r>
      <w:r w:rsidR="008D4B18">
        <w:rPr>
          <w:rFonts w:eastAsia="Arial"/>
        </w:rPr>
        <w:t>Four samples were first-time diagnostic specimens in individuals who were either symptomatic or had suspected exposures; the other 2 were follow-up tests in individuals with a prior diagnosis of COVID-19.</w:t>
      </w:r>
    </w:p>
    <w:p w14:paraId="7CEDF084" w14:textId="77777777" w:rsidR="008D4B18" w:rsidRPr="00DE700A" w:rsidRDefault="008D4B18" w:rsidP="00DE700A">
      <w:pPr>
        <w:spacing w:line="480" w:lineRule="auto"/>
        <w:ind w:firstLine="720"/>
        <w:rPr>
          <w:rFonts w:eastAsia="Arial"/>
        </w:rPr>
      </w:pPr>
    </w:p>
    <w:p w14:paraId="51350109" w14:textId="4813B2E4" w:rsidR="00363C87" w:rsidRPr="006F1059" w:rsidRDefault="00363C87" w:rsidP="00363C87">
      <w:pPr>
        <w:spacing w:line="480" w:lineRule="auto"/>
      </w:pPr>
      <w:r>
        <w:t xml:space="preserve">Linearity Studies for Pools of </w:t>
      </w:r>
      <w:r w:rsidR="001214DA">
        <w:t>4</w:t>
      </w:r>
    </w:p>
    <w:p w14:paraId="0D10378D" w14:textId="3726C146" w:rsidR="00667A33" w:rsidRDefault="00363C87" w:rsidP="008D4B18">
      <w:pPr>
        <w:spacing w:line="480" w:lineRule="auto"/>
        <w:ind w:firstLine="720"/>
      </w:pPr>
      <w:r w:rsidRPr="006F1059">
        <w:lastRenderedPageBreak/>
        <w:t xml:space="preserve">For pools containing only a single positive sample, the pooled </w:t>
      </w:r>
      <w:r w:rsidR="008D4B18">
        <w:t>Panther Fusion assay</w:t>
      </w:r>
      <w:r w:rsidRPr="006F1059">
        <w:t xml:space="preserve"> showed positive system</w:t>
      </w:r>
      <w:r w:rsidR="002E7D13">
        <w:t>at</w:t>
      </w:r>
      <w:r w:rsidRPr="006F1059">
        <w:t>ic bias when compared to the individual</w:t>
      </w:r>
      <w:r w:rsidRPr="001C3113">
        <w:rPr>
          <w:i/>
        </w:rPr>
        <w:t xml:space="preserve"> </w:t>
      </w:r>
      <w:r w:rsidRPr="006F1059">
        <w:t>LDT assay</w:t>
      </w:r>
      <w:r>
        <w:t>, as evidenced by the Passing-Bablok regression intercept value being greater than zero</w:t>
      </w:r>
      <w:r w:rsidRPr="006F1059">
        <w:t>. By</w:t>
      </w:r>
      <w:r w:rsidRPr="001C3113">
        <w:rPr>
          <w:i/>
        </w:rPr>
        <w:t xml:space="preserve"> </w:t>
      </w:r>
      <w:r w:rsidRPr="006F1059">
        <w:t xml:space="preserve">LDT, pools resulted an average of </w:t>
      </w:r>
      <w:r w:rsidR="008D4B18">
        <w:t>2.2</w:t>
      </w:r>
      <w:r w:rsidRPr="006F1059">
        <w:t xml:space="preserve"> cycles (95% limits of agreement </w:t>
      </w:r>
      <w:r w:rsidR="008D4B18">
        <w:t>0.6-3.9</w:t>
      </w:r>
      <w:r w:rsidRPr="006F1059">
        <w:t>, p&lt;0.001) later than the individual positive samples (</w:t>
      </w:r>
      <w:r w:rsidR="008D4B18">
        <w:t xml:space="preserve">Appendix </w:t>
      </w:r>
      <w:r w:rsidRPr="006F1059">
        <w:t xml:space="preserve">Figure </w:t>
      </w:r>
      <w:r w:rsidR="008D4B18">
        <w:t>3</w:t>
      </w:r>
      <w:r w:rsidRPr="006F1059">
        <w:t>A</w:t>
      </w:r>
      <w:r>
        <w:t xml:space="preserve">, </w:t>
      </w:r>
      <w:r w:rsidR="008D4B18">
        <w:t>3</w:t>
      </w:r>
      <w:r>
        <w:t>B</w:t>
      </w:r>
      <w:r w:rsidRPr="006F1059">
        <w:t xml:space="preserve">). By Panther Fusion, pools resulted an average of </w:t>
      </w:r>
      <w:r w:rsidR="008D4B18">
        <w:t>3.1</w:t>
      </w:r>
      <w:r w:rsidRPr="006F1059">
        <w:t xml:space="preserve"> cycles (0.</w:t>
      </w:r>
      <w:r w:rsidR="008D4B18">
        <w:t>8-5.3</w:t>
      </w:r>
      <w:r w:rsidRPr="006F1059">
        <w:t>, p&lt;0.001) later than the individual positive samples (</w:t>
      </w:r>
      <w:r w:rsidR="000B3275">
        <w:t xml:space="preserve">Appendix </w:t>
      </w:r>
      <w:r w:rsidRPr="006F1059">
        <w:t xml:space="preserve">Figure </w:t>
      </w:r>
      <w:r w:rsidR="008D4B18">
        <w:t>3</w:t>
      </w:r>
      <w:r>
        <w:t xml:space="preserve">C, </w:t>
      </w:r>
      <w:r w:rsidR="008D4B18">
        <w:t>3</w:t>
      </w:r>
      <w:r>
        <w:t>D</w:t>
      </w:r>
      <w:r w:rsidRPr="006F1059">
        <w:t xml:space="preserve">). Pools resulted an average of </w:t>
      </w:r>
      <w:r w:rsidR="007401DE">
        <w:t>0.73</w:t>
      </w:r>
      <w:r w:rsidRPr="006F1059">
        <w:t xml:space="preserve"> cycles (</w:t>
      </w:r>
      <w:r w:rsidR="007401DE">
        <w:t>-1.06-2.53</w:t>
      </w:r>
      <w:r w:rsidRPr="006F1059">
        <w:t>, p&lt;0.001) later on Panther Fusion when compared to</w:t>
      </w:r>
      <w:r w:rsidRPr="001C3113">
        <w:rPr>
          <w:i/>
        </w:rPr>
        <w:t xml:space="preserve"> </w:t>
      </w:r>
      <w:r>
        <w:rPr>
          <w:iCs/>
        </w:rPr>
        <w:t>the</w:t>
      </w:r>
      <w:r>
        <w:t xml:space="preserve"> LDT (</w:t>
      </w:r>
      <w:r w:rsidR="000B3275">
        <w:t xml:space="preserve">Appendix </w:t>
      </w:r>
      <w:r>
        <w:t xml:space="preserve">Figure </w:t>
      </w:r>
      <w:r w:rsidR="007401DE">
        <w:t>3</w:t>
      </w:r>
      <w:r>
        <w:t xml:space="preserve">E, </w:t>
      </w:r>
      <w:r w:rsidR="007401DE">
        <w:t>3</w:t>
      </w:r>
      <w:r>
        <w:t>F</w:t>
      </w:r>
      <w:r w:rsidRPr="006F1059">
        <w:t xml:space="preserve">). </w:t>
      </w:r>
      <w:r w:rsidR="007401DE">
        <w:t xml:space="preserve">There was minimal proportional bias among the three assays, although </w:t>
      </w:r>
      <w:r w:rsidR="001C04C7">
        <w:t xml:space="preserve">the 95% confidence intervals </w:t>
      </w:r>
      <w:r w:rsidR="009521FC">
        <w:t xml:space="preserve">for the Passing-Bablok regression slope </w:t>
      </w:r>
      <w:r w:rsidR="001C04C7">
        <w:t xml:space="preserve">for individual LDT versus pooled LDT, and for pooled LDT versus pooled Panther Fusion </w:t>
      </w:r>
      <w:r w:rsidR="009521FC">
        <w:t>do</w:t>
      </w:r>
      <w:r w:rsidR="001C04C7">
        <w:t xml:space="preserve"> not contain 1</w:t>
      </w:r>
      <w:r w:rsidR="009521FC">
        <w:t>. This indicates</w:t>
      </w:r>
      <w:r w:rsidR="001C04C7">
        <w:t xml:space="preserve"> slight positive and negative proportional biases respectively. </w:t>
      </w:r>
      <w:r w:rsidR="009521FC">
        <w:t>The proportional bias</w:t>
      </w:r>
      <w:r w:rsidR="001C04C7">
        <w:t xml:space="preserve"> is additionally highlighted in the Bland-Altman plots, which demonstrate that at higher C</w:t>
      </w:r>
      <w:r w:rsidR="001C04C7" w:rsidRPr="00DE700A">
        <w:rPr>
          <w:vertAlign w:val="subscript"/>
        </w:rPr>
        <w:t>t</w:t>
      </w:r>
      <w:r w:rsidR="001C04C7">
        <w:t xml:space="preserve"> values, Panther Fusion outperforms the LDT.</w:t>
      </w:r>
    </w:p>
    <w:p w14:paraId="665126D9" w14:textId="16ADD8E9" w:rsidR="00F7475E" w:rsidRDefault="00F7475E" w:rsidP="00F7475E">
      <w:pPr>
        <w:spacing w:line="480" w:lineRule="auto"/>
        <w:rPr>
          <w:rFonts w:eastAsia="Arial"/>
        </w:rPr>
      </w:pPr>
    </w:p>
    <w:p w14:paraId="4B8BFBA3" w14:textId="77777777" w:rsidR="00467C59" w:rsidRDefault="00467C59" w:rsidP="00467C59">
      <w:pPr>
        <w:spacing w:line="480" w:lineRule="auto"/>
      </w:pPr>
      <w:r>
        <w:t xml:space="preserve">External </w:t>
      </w:r>
      <w:proofErr w:type="gramStart"/>
      <w:r>
        <w:t>In</w:t>
      </w:r>
      <w:proofErr w:type="gramEnd"/>
      <w:r>
        <w:t xml:space="preserve"> Silico Validation Data</w:t>
      </w:r>
    </w:p>
    <w:p w14:paraId="5441881C" w14:textId="0BDBEBFF" w:rsidR="00467C59" w:rsidRDefault="00467C59" w:rsidP="00A463D7">
      <w:pPr>
        <w:spacing w:line="480" w:lineRule="auto"/>
        <w:ind w:firstLine="720"/>
      </w:pPr>
      <w:r>
        <w:t xml:space="preserve">Data from an </w:t>
      </w:r>
      <w:proofErr w:type="gramStart"/>
      <w:r>
        <w:t>in silico</w:t>
      </w:r>
      <w:proofErr w:type="gramEnd"/>
      <w:r>
        <w:t xml:space="preserve"> sensitivity analysis for the Panther Fusion assay was obtained </w:t>
      </w:r>
      <w:r w:rsidRPr="00071C38">
        <w:t>(</w:t>
      </w:r>
      <w:r>
        <w:t>Hologic</w:t>
      </w:r>
      <w:r w:rsidR="000B3275">
        <w:t xml:space="preserve"> Inc.</w:t>
      </w:r>
      <w:r>
        <w:t>,</w:t>
      </w:r>
      <w:r w:rsidRPr="00071C38">
        <w:t xml:space="preserve"> pers. comm.)</w:t>
      </w:r>
      <w:r>
        <w:t xml:space="preserve"> to validate our model. The data include a total of 52,272 SARS-CoV-2 tests performed from March through July 2020 at two external sites with an average prevalence of 19.1% (Table 2), and 13.0% of positive specimens with a C</w:t>
      </w:r>
      <w:r w:rsidRPr="00DB1421">
        <w:rPr>
          <w:rFonts w:cs="Arial"/>
          <w:bCs/>
          <w:vertAlign w:val="subscript"/>
        </w:rPr>
        <w:t>t</w:t>
      </w:r>
      <w:r>
        <w:t xml:space="preserve"> above that corresponding to the limit of detection of 35.6.</w:t>
      </w:r>
      <w:r w:rsidR="00A463D7">
        <w:t xml:space="preserve"> The </w:t>
      </w:r>
      <w:proofErr w:type="gramStart"/>
      <w:r w:rsidR="00A463D7">
        <w:t>in silico</w:t>
      </w:r>
      <w:proofErr w:type="gramEnd"/>
      <w:r w:rsidR="00A463D7">
        <w:t xml:space="preserve"> sensitivity analysis was performed according to FDA recommendations by first determining the expected shift in C</w:t>
      </w:r>
      <w:r w:rsidR="00A463D7" w:rsidRPr="00DB1421">
        <w:rPr>
          <w:rFonts w:cs="Arial"/>
          <w:bCs/>
          <w:vertAlign w:val="subscript"/>
        </w:rPr>
        <w:t>t</w:t>
      </w:r>
      <w:r w:rsidR="00A463D7">
        <w:t xml:space="preserve"> values using the Passing-Bablok regression equation generated through verification testing</w:t>
      </w:r>
      <w:r w:rsidR="00597F3E">
        <w:t xml:space="preserve"> </w:t>
      </w:r>
      <w:r w:rsidR="00597F3E">
        <w:rPr>
          <w:i/>
        </w:rPr>
        <w:t>(1)</w:t>
      </w:r>
      <w:r w:rsidR="00A463D7">
        <w:t>. The expected positive percent agreement was calculated by dividing the number of specimens with a shifted C</w:t>
      </w:r>
      <w:r w:rsidR="00A463D7" w:rsidRPr="00DB1421">
        <w:rPr>
          <w:rFonts w:cs="Arial"/>
          <w:bCs/>
          <w:vertAlign w:val="subscript"/>
        </w:rPr>
        <w:t>t</w:t>
      </w:r>
      <w:r w:rsidR="00A463D7" w:rsidRPr="00DB1421">
        <w:rPr>
          <w:rFonts w:cs="Arial"/>
          <w:bCs/>
        </w:rPr>
        <w:t xml:space="preserve"> </w:t>
      </w:r>
      <w:r w:rsidR="00A463D7">
        <w:t xml:space="preserve">value beyond the cut-off of the assay. </w:t>
      </w:r>
      <w:r>
        <w:t xml:space="preserve">Pool sizes of </w:t>
      </w:r>
      <w:r w:rsidR="0036245F">
        <w:t>5</w:t>
      </w:r>
      <w:r>
        <w:t xml:space="preserve"> and </w:t>
      </w:r>
      <w:r w:rsidR="0036245F">
        <w:t>3</w:t>
      </w:r>
      <w:r>
        <w:t xml:space="preserve"> were evaluated in this manner, with </w:t>
      </w:r>
      <w:r w:rsidR="0036245F">
        <w:t>expected PPA of</w:t>
      </w:r>
      <w:r>
        <w:t xml:space="preserve"> </w:t>
      </w:r>
      <w:r w:rsidR="0036245F">
        <w:t xml:space="preserve">95.0% (94.7-95.2) and 99.9% (99.9-99.9) respectively (Appendix Table </w:t>
      </w:r>
      <w:r w:rsidR="000B3275">
        <w:t>3</w:t>
      </w:r>
      <w:r w:rsidR="0036245F">
        <w:t>).</w:t>
      </w:r>
    </w:p>
    <w:p w14:paraId="7FF6E112" w14:textId="55B6FD44" w:rsidR="00A463D7" w:rsidRDefault="00A463D7" w:rsidP="00A463D7">
      <w:pPr>
        <w:spacing w:line="480" w:lineRule="auto"/>
      </w:pPr>
    </w:p>
    <w:p w14:paraId="61B4CBC0" w14:textId="77777777" w:rsidR="00A463D7" w:rsidRPr="0067130F" w:rsidRDefault="00A463D7" w:rsidP="00A463D7">
      <w:pPr>
        <w:spacing w:line="480" w:lineRule="auto"/>
      </w:pPr>
      <w:r w:rsidRPr="0067130F">
        <w:lastRenderedPageBreak/>
        <w:t>Modeling</w:t>
      </w:r>
    </w:p>
    <w:p w14:paraId="6FF979DC" w14:textId="461E6534" w:rsidR="00A463D7" w:rsidRDefault="00A463D7" w:rsidP="00A463D7">
      <w:pPr>
        <w:spacing w:line="480" w:lineRule="auto"/>
        <w:ind w:firstLine="720"/>
      </w:pPr>
      <w:r>
        <w:t xml:space="preserve">We developed a </w:t>
      </w:r>
      <w:r w:rsidRPr="009A5508">
        <w:rPr>
          <w:highlight w:val="yellow"/>
        </w:rPr>
        <w:t>stochastic simulation model</w:t>
      </w:r>
      <w:r>
        <w:t xml:space="preserve"> to estimate PPA and efficiency for a two-stage pooled testing algorithm, based on characteristics of the underlying assay and patient population. To study the impact upon PPA and efficiency, we varied the proportion of positive tests (</w:t>
      </w:r>
      <w:r>
        <w:rPr>
          <w:i/>
          <w:iCs/>
        </w:rPr>
        <w:t xml:space="preserve">s: </w:t>
      </w:r>
      <w:r>
        <w:t xml:space="preserve">0.1%, 1.0%, 3.0%, 5.0%, 10.0%, 15.0%), the 95% assay limit of detection </w:t>
      </w:r>
      <w:r w:rsidRPr="00DB1421">
        <w:rPr>
          <w:rFonts w:cs="Arial"/>
          <w:bCs/>
        </w:rPr>
        <w:t>C</w:t>
      </w:r>
      <w:r w:rsidRPr="00DB1421">
        <w:rPr>
          <w:rFonts w:cs="Arial"/>
          <w:bCs/>
          <w:vertAlign w:val="subscript"/>
        </w:rPr>
        <w:t>t</w:t>
      </w:r>
      <w:r>
        <w:t xml:space="preserve"> value (</w:t>
      </w:r>
      <w:proofErr w:type="spellStart"/>
      <w:r>
        <w:t>LoD</w:t>
      </w:r>
      <w:proofErr w:type="spellEnd"/>
      <w:r>
        <w:t xml:space="preserve">; </w:t>
      </w:r>
      <w:r>
        <w:rPr>
          <w:i/>
          <w:iCs/>
        </w:rPr>
        <w:t xml:space="preserve">l: </w:t>
      </w:r>
      <w:r w:rsidRPr="00DB1421">
        <w:rPr>
          <w:rFonts w:cs="Arial"/>
          <w:bCs/>
        </w:rPr>
        <w:t>C</w:t>
      </w:r>
      <w:r w:rsidRPr="00DB1421">
        <w:rPr>
          <w:rFonts w:cs="Arial"/>
          <w:bCs/>
          <w:vertAlign w:val="subscript"/>
        </w:rPr>
        <w:t>t</w:t>
      </w:r>
      <w:r>
        <w:rPr>
          <w:rFonts w:cs="Arial"/>
          <w:bCs/>
        </w:rPr>
        <w:t xml:space="preserve"> </w:t>
      </w:r>
      <w:r>
        <w:t xml:space="preserve">corresponding to 95% detection: 32-40), the percentage of </w:t>
      </w:r>
      <w:r w:rsidR="00A76852">
        <w:t xml:space="preserve">individual </w:t>
      </w:r>
      <w:r>
        <w:t xml:space="preserve">amplified </w:t>
      </w:r>
      <w:r w:rsidRPr="00DB1421">
        <w:rPr>
          <w:rFonts w:cs="Arial"/>
          <w:bCs/>
        </w:rPr>
        <w:t>C</w:t>
      </w:r>
      <w:r w:rsidRPr="00DB1421">
        <w:rPr>
          <w:rFonts w:cs="Arial"/>
          <w:bCs/>
          <w:vertAlign w:val="subscript"/>
        </w:rPr>
        <w:t>t</w:t>
      </w:r>
      <w:r>
        <w:rPr>
          <w:rFonts w:cs="Arial"/>
          <w:bCs/>
        </w:rPr>
        <w:t xml:space="preserve"> </w:t>
      </w:r>
      <w:r>
        <w:t xml:space="preserve">values above the </w:t>
      </w:r>
      <w:proofErr w:type="spellStart"/>
      <w:r>
        <w:t>LoD</w:t>
      </w:r>
      <w:proofErr w:type="spellEnd"/>
      <w:r>
        <w:t xml:space="preserve"> (</w:t>
      </w:r>
      <w:r w:rsidRPr="00735EE5">
        <w:rPr>
          <w:i/>
          <w:iCs/>
        </w:rPr>
        <w:t xml:space="preserve">x: </w:t>
      </w:r>
      <w:r>
        <w:t>5.0%, 10.0%, 15.0%, 20.0%, 25.0%, 30.0%), and pool size (</w:t>
      </w:r>
      <w:r>
        <w:rPr>
          <w:i/>
          <w:iCs/>
        </w:rPr>
        <w:t xml:space="preserve">p: </w:t>
      </w:r>
      <w:r>
        <w:t>1-20).</w:t>
      </w:r>
    </w:p>
    <w:p w14:paraId="50C4E974" w14:textId="26ACB9EA" w:rsidR="00A463D7" w:rsidRDefault="00A463D7" w:rsidP="00A463D7">
      <w:pPr>
        <w:spacing w:line="480" w:lineRule="auto"/>
        <w:ind w:firstLine="720"/>
      </w:pPr>
      <w:r w:rsidRPr="00897CF7">
        <w:t xml:space="preserve">We fit the </w:t>
      </w:r>
      <w:r w:rsidR="00CC1209" w:rsidRPr="00DB1421">
        <w:rPr>
          <w:rFonts w:cs="Arial"/>
          <w:bCs/>
        </w:rPr>
        <w:t>C</w:t>
      </w:r>
      <w:r w:rsidR="00CC1209" w:rsidRPr="00DB1421">
        <w:rPr>
          <w:rFonts w:cs="Arial"/>
          <w:bCs/>
          <w:vertAlign w:val="subscript"/>
        </w:rPr>
        <w:t>t</w:t>
      </w:r>
      <w:r w:rsidRPr="00897CF7">
        <w:t xml:space="preserve"> values of samples positive for SARS-CoV-2 by </w:t>
      </w:r>
      <w:proofErr w:type="spellStart"/>
      <w:r w:rsidRPr="00897CF7">
        <w:t>rRT</w:t>
      </w:r>
      <w:proofErr w:type="spellEnd"/>
      <w:r w:rsidRPr="00897CF7">
        <w:t xml:space="preserve">-PCR (n=804) received from </w:t>
      </w:r>
      <w:r w:rsidR="00A76852">
        <w:t xml:space="preserve">an independent set of </w:t>
      </w:r>
      <w:r w:rsidRPr="00897CF7">
        <w:t>unique patients undergoing testing for SARS-CoV-2 from March 1 through June 24, 2020 (n=66,070) to candidate continuous probability distributions, and selected the best-fitting distribution based on the Bayesian information criterion</w:t>
      </w:r>
      <w:r w:rsidR="00CC1209">
        <w:t xml:space="preserve"> </w:t>
      </w:r>
      <w:r w:rsidRPr="00897CF7">
        <w:t>and Kolmogorov-Smirnov statistic</w:t>
      </w:r>
      <w:r w:rsidR="00CC1209">
        <w:t xml:space="preserve"> (</w:t>
      </w:r>
      <w:r w:rsidR="00CC1209" w:rsidRPr="00CC1209">
        <w:t>0.0436</w:t>
      </w:r>
      <w:r w:rsidR="00CC1209">
        <w:t>)</w:t>
      </w:r>
      <w:r w:rsidRPr="00897CF7">
        <w:t xml:space="preserve">. </w:t>
      </w:r>
      <w:r w:rsidRPr="009A5508">
        <w:rPr>
          <w:highlight w:val="yellow"/>
        </w:rPr>
        <w:t>Because of slight negative skewness, a Weibull distribution best fit these data with shape and scale parameters of 4.55 and 29.86</w:t>
      </w:r>
      <w:r>
        <w:t xml:space="preserve"> (Appendix Figure 4)</w:t>
      </w:r>
      <w:r w:rsidRPr="00897CF7">
        <w:t xml:space="preserve">. </w:t>
      </w:r>
      <w:r w:rsidRPr="009A5508">
        <w:rPr>
          <w:highlight w:val="yellow"/>
        </w:rPr>
        <w:t xml:space="preserve">We then generated a set of random </w:t>
      </w:r>
      <w:r w:rsidRPr="009A5508">
        <w:rPr>
          <w:rFonts w:cs="Arial"/>
          <w:bCs/>
          <w:highlight w:val="yellow"/>
        </w:rPr>
        <w:t>C</w:t>
      </w:r>
      <w:r w:rsidRPr="009A5508">
        <w:rPr>
          <w:rFonts w:cs="Arial"/>
          <w:bCs/>
          <w:highlight w:val="yellow"/>
          <w:vertAlign w:val="subscript"/>
        </w:rPr>
        <w:t>t</w:t>
      </w:r>
      <w:r w:rsidRPr="009A5508">
        <w:rPr>
          <w:rFonts w:cs="Arial"/>
          <w:bCs/>
          <w:highlight w:val="yellow"/>
        </w:rPr>
        <w:t xml:space="preserve"> value</w:t>
      </w:r>
      <w:r w:rsidRPr="009A5508">
        <w:rPr>
          <w:highlight w:val="yellow"/>
        </w:rPr>
        <w:t>s by sampling 50,000 times from this distribution</w:t>
      </w:r>
      <w:r>
        <w:t xml:space="preserve">. To study differing scenarios in which a variable proportion of samples had viral loads below the </w:t>
      </w:r>
      <w:proofErr w:type="spellStart"/>
      <w:r>
        <w:t>LoD</w:t>
      </w:r>
      <w:proofErr w:type="spellEnd"/>
      <w:r>
        <w:t xml:space="preserve">, we generated additional sets of 50,000 </w:t>
      </w:r>
      <w:r w:rsidRPr="00DB1421">
        <w:rPr>
          <w:rFonts w:cs="Arial"/>
          <w:bCs/>
        </w:rPr>
        <w:t>C</w:t>
      </w:r>
      <w:r w:rsidRPr="00DB1421">
        <w:rPr>
          <w:rFonts w:cs="Arial"/>
          <w:bCs/>
          <w:vertAlign w:val="subscript"/>
        </w:rPr>
        <w:t>t</w:t>
      </w:r>
      <w:r w:rsidRPr="00DB1421">
        <w:rPr>
          <w:rFonts w:cs="Arial"/>
          <w:bCs/>
        </w:rPr>
        <w:t xml:space="preserve"> value</w:t>
      </w:r>
      <w:r>
        <w:t xml:space="preserve">s with 5-30% of values above each </w:t>
      </w:r>
      <w:proofErr w:type="spellStart"/>
      <w:r>
        <w:t>LoD</w:t>
      </w:r>
      <w:proofErr w:type="spellEnd"/>
      <w:r>
        <w:t>. For the base case, the</w:t>
      </w:r>
      <w:r w:rsidRPr="006F1059">
        <w:t xml:space="preserve"> expected C</w:t>
      </w:r>
      <w:r w:rsidRPr="006F1059">
        <w:rPr>
          <w:vertAlign w:val="subscript"/>
        </w:rPr>
        <w:t>t</w:t>
      </w:r>
      <w:r w:rsidRPr="006F1059">
        <w:rPr>
          <w:rFonts w:eastAsia="Arial"/>
        </w:rPr>
        <w:t xml:space="preserve"> value of the pool was calculated using the following equation: </w:t>
      </w:r>
      <w:proofErr w:type="spellStart"/>
      <w:r w:rsidRPr="002254FF">
        <w:rPr>
          <w:i/>
          <w:iCs/>
          <w:color w:val="000000"/>
        </w:rPr>
        <w:t>Ct</w:t>
      </w:r>
      <w:r w:rsidRPr="002254FF">
        <w:rPr>
          <w:i/>
          <w:iCs/>
          <w:color w:val="000000"/>
          <w:vertAlign w:val="subscript"/>
        </w:rPr>
        <w:t>poolexpected</w:t>
      </w:r>
      <w:proofErr w:type="spellEnd"/>
      <w:r w:rsidRPr="006F1059">
        <w:rPr>
          <w:color w:val="000000"/>
        </w:rPr>
        <w:t> = -log</w:t>
      </w:r>
      <w:r w:rsidRPr="006F1059">
        <w:rPr>
          <w:color w:val="000000"/>
          <w:vertAlign w:val="subscript"/>
        </w:rPr>
        <w:t>2</w:t>
      </w:r>
      <w:r w:rsidRPr="006F1059">
        <w:rPr>
          <w:color w:val="000000"/>
        </w:rPr>
        <w:t>((∑2</w:t>
      </w:r>
      <w:r w:rsidRPr="006F1059">
        <w:rPr>
          <w:color w:val="000000"/>
          <w:vertAlign w:val="superscript"/>
        </w:rPr>
        <w:t>-</w:t>
      </w:r>
      <w:r w:rsidRPr="002254FF">
        <w:rPr>
          <w:i/>
          <w:iCs/>
          <w:color w:val="000000"/>
          <w:vertAlign w:val="superscript"/>
        </w:rPr>
        <w:t>Ctsingle</w:t>
      </w:r>
      <w:r w:rsidRPr="006F1059">
        <w:rPr>
          <w:color w:val="000000"/>
        </w:rPr>
        <w:t>)/</w:t>
      </w:r>
      <w:proofErr w:type="spellStart"/>
      <w:r w:rsidRPr="002254FF">
        <w:rPr>
          <w:i/>
          <w:iCs/>
          <w:color w:val="000000"/>
        </w:rPr>
        <w:t>poolsize</w:t>
      </w:r>
      <w:proofErr w:type="spellEnd"/>
      <w:r w:rsidRPr="006F1059">
        <w:rPr>
          <w:color w:val="000000"/>
        </w:rPr>
        <w:t>).</w:t>
      </w:r>
      <w:r>
        <w:t xml:space="preserve"> To model the probabilistic nature of detecting RNA at a given calculated pooled </w:t>
      </w:r>
      <w:r w:rsidRPr="00DB1421">
        <w:rPr>
          <w:rFonts w:cs="Arial"/>
          <w:bCs/>
        </w:rPr>
        <w:t>C</w:t>
      </w:r>
      <w:r w:rsidRPr="00DB1421">
        <w:rPr>
          <w:rFonts w:cs="Arial"/>
          <w:bCs/>
          <w:vertAlign w:val="subscript"/>
        </w:rPr>
        <w:t>t</w:t>
      </w:r>
      <w:r w:rsidRPr="00DB1421">
        <w:rPr>
          <w:rFonts w:cs="Arial"/>
          <w:bCs/>
        </w:rPr>
        <w:t xml:space="preserve"> value</w:t>
      </w:r>
      <w:r>
        <w:t xml:space="preserve">, we first fit a probit regression model using binary detection from an independent </w:t>
      </w:r>
      <w:proofErr w:type="spellStart"/>
      <w:r>
        <w:t>LoD</w:t>
      </w:r>
      <w:proofErr w:type="spellEnd"/>
      <w:r>
        <w:t xml:space="preserve"> experiment (100, 200, 500, 1000, 2000, 2500, 5000, 10,000</w:t>
      </w:r>
      <w:r w:rsidR="004F4CED">
        <w:t xml:space="preserve"> </w:t>
      </w:r>
      <w:r>
        <w:t>c</w:t>
      </w:r>
      <w:r w:rsidR="004F4CED">
        <w:t>opies</w:t>
      </w:r>
      <w:r>
        <w:t xml:space="preserve">/mL in replicates of 5-20). This experiment’s </w:t>
      </w:r>
      <w:proofErr w:type="spellStart"/>
      <w:r>
        <w:t>LoD</w:t>
      </w:r>
      <w:proofErr w:type="spellEnd"/>
      <w:r>
        <w:t xml:space="preserve"> and confidence interval (685</w:t>
      </w:r>
      <w:r w:rsidR="00DE700A">
        <w:t xml:space="preserve"> </w:t>
      </w:r>
      <w:r>
        <w:t>c</w:t>
      </w:r>
      <w:r w:rsidR="00DE700A">
        <w:t>opies</w:t>
      </w:r>
      <w:r>
        <w:t xml:space="preserve">/mL [95%CI 484-1074], Ct 35.9 [35.3-36.5]) were incorporated into the base case and sensitivity analyses. </w:t>
      </w:r>
    </w:p>
    <w:p w14:paraId="681EEF0B" w14:textId="0ED470C4" w:rsidR="00A463D7" w:rsidRDefault="00A463D7" w:rsidP="00DE700A">
      <w:pPr>
        <w:spacing w:line="480" w:lineRule="auto"/>
        <w:ind w:firstLine="720"/>
        <w:rPr>
          <w:color w:val="000000"/>
        </w:rPr>
      </w:pPr>
      <w:r>
        <w:t xml:space="preserve">For each pool size </w:t>
      </w:r>
      <w:r>
        <w:rPr>
          <w:i/>
          <w:iCs/>
        </w:rPr>
        <w:t>p</w:t>
      </w:r>
      <w:r>
        <w:t xml:space="preserve">, prevalence </w:t>
      </w:r>
      <w:r>
        <w:rPr>
          <w:i/>
          <w:iCs/>
        </w:rPr>
        <w:t>s</w:t>
      </w:r>
      <w:r>
        <w:t xml:space="preserve">, </w:t>
      </w:r>
      <w:proofErr w:type="spellStart"/>
      <w:r>
        <w:t>LoD</w:t>
      </w:r>
      <w:proofErr w:type="spellEnd"/>
      <w:r>
        <w:t xml:space="preserve"> </w:t>
      </w:r>
      <w:r>
        <w:rPr>
          <w:i/>
          <w:iCs/>
        </w:rPr>
        <w:t>l</w:t>
      </w:r>
      <w:r>
        <w:t xml:space="preserve">, and proportion of </w:t>
      </w:r>
      <w:proofErr w:type="gramStart"/>
      <w:r>
        <w:t>randomly-generated</w:t>
      </w:r>
      <w:proofErr w:type="gramEnd"/>
      <w:r>
        <w:t xml:space="preserve"> </w:t>
      </w:r>
      <w:r w:rsidRPr="00DB1421">
        <w:rPr>
          <w:rFonts w:cs="Arial"/>
          <w:bCs/>
        </w:rPr>
        <w:t>C</w:t>
      </w:r>
      <w:r w:rsidRPr="00DB1421">
        <w:rPr>
          <w:rFonts w:cs="Arial"/>
          <w:bCs/>
          <w:vertAlign w:val="subscript"/>
        </w:rPr>
        <w:t>t</w:t>
      </w:r>
      <w:r w:rsidRPr="00DB1421">
        <w:rPr>
          <w:rFonts w:cs="Arial"/>
          <w:bCs/>
        </w:rPr>
        <w:t xml:space="preserve"> valu</w:t>
      </w:r>
      <w:r>
        <w:t xml:space="preserve">es above </w:t>
      </w:r>
      <w:proofErr w:type="spellStart"/>
      <w:r>
        <w:t>LoD</w:t>
      </w:r>
      <w:proofErr w:type="spellEnd"/>
      <w:r>
        <w:t xml:space="preserve"> </w:t>
      </w:r>
      <w:r>
        <w:rPr>
          <w:i/>
          <w:iCs/>
        </w:rPr>
        <w:t>x</w:t>
      </w:r>
      <w:r>
        <w:t xml:space="preserve">, we randomly generated 10,000 pools for each possible combination of negative and positive pools (1 + </w:t>
      </w:r>
      <w:r w:rsidRPr="00333B72">
        <w:rPr>
          <w:i/>
          <w:iCs/>
        </w:rPr>
        <w:t>p</w:t>
      </w:r>
      <w:r>
        <w:t xml:space="preserve">). Pools with zero positive samples were considered to be true negatives. For each </w:t>
      </w:r>
      <w:proofErr w:type="gramStart"/>
      <w:r>
        <w:lastRenderedPageBreak/>
        <w:t>randomly-generated</w:t>
      </w:r>
      <w:proofErr w:type="gramEnd"/>
      <w:r>
        <w:t xml:space="preserve"> pool with positive samples, we calculated the expected pooled </w:t>
      </w:r>
      <w:r w:rsidRPr="00DB1421">
        <w:rPr>
          <w:rFonts w:cs="Arial"/>
          <w:bCs/>
        </w:rPr>
        <w:t>C</w:t>
      </w:r>
      <w:r w:rsidRPr="00DB1421">
        <w:rPr>
          <w:rFonts w:cs="Arial"/>
          <w:bCs/>
          <w:vertAlign w:val="subscript"/>
        </w:rPr>
        <w:t>t</w:t>
      </w:r>
      <w:r w:rsidRPr="00DB1421">
        <w:rPr>
          <w:rFonts w:cs="Arial"/>
          <w:bCs/>
        </w:rPr>
        <w:t xml:space="preserve"> value</w:t>
      </w:r>
      <w:r w:rsidRPr="00DB1421">
        <w:rPr>
          <w:bCs/>
        </w:rPr>
        <w:t xml:space="preserve"> </w:t>
      </w:r>
      <w:r>
        <w:t xml:space="preserve">from the individual randomly-sampled </w:t>
      </w:r>
      <w:r w:rsidRPr="00DB1421">
        <w:rPr>
          <w:rFonts w:cs="Arial"/>
          <w:bCs/>
        </w:rPr>
        <w:t>C</w:t>
      </w:r>
      <w:r w:rsidRPr="00DB1421">
        <w:rPr>
          <w:rFonts w:cs="Arial"/>
          <w:bCs/>
          <w:vertAlign w:val="subscript"/>
        </w:rPr>
        <w:t>t</w:t>
      </w:r>
      <w:r w:rsidRPr="00DB1421">
        <w:rPr>
          <w:rFonts w:cs="Arial"/>
          <w:bCs/>
        </w:rPr>
        <w:t xml:space="preserve"> value</w:t>
      </w:r>
      <w:r>
        <w:t xml:space="preserve">s and assigned each pool as a true positive or false negative based upon the probability of detection derived from the probit regression model at a given </w:t>
      </w:r>
      <w:proofErr w:type="spellStart"/>
      <w:r>
        <w:t>LoD</w:t>
      </w:r>
      <w:proofErr w:type="spellEnd"/>
      <w:r>
        <w:t xml:space="preserve"> and expected pooled Ct value. Estimated PPA (true positives / [true positives + false negatives]) and average tests expected per sample ([1 + </w:t>
      </w:r>
      <w:r>
        <w:rPr>
          <w:i/>
          <w:iCs/>
        </w:rPr>
        <w:t>p*</w:t>
      </w:r>
      <w:r>
        <w:t>(true positive pools)]/</w:t>
      </w:r>
      <w:r w:rsidRPr="00EA1CFA">
        <w:rPr>
          <w:i/>
          <w:iCs/>
        </w:rPr>
        <w:t>p</w:t>
      </w:r>
      <w:r>
        <w:t xml:space="preserve">) were calculated, and results were weighted by the probability of observing a given pool combination with </w:t>
      </w:r>
      <w:proofErr w:type="spellStart"/>
      <w:r w:rsidRPr="004D0639">
        <w:rPr>
          <w:i/>
          <w:iCs/>
        </w:rPr>
        <w:t>i</w:t>
      </w:r>
      <w:proofErr w:type="spellEnd"/>
      <w:r>
        <w:rPr>
          <w:i/>
          <w:iCs/>
        </w:rPr>
        <w:t xml:space="preserve"> </w:t>
      </w:r>
      <w:r w:rsidRPr="00642C04">
        <w:t xml:space="preserve">individual </w:t>
      </w:r>
      <w:r>
        <w:t xml:space="preserve">positive samples (from 1 to </w:t>
      </w:r>
      <w:r>
        <w:rPr>
          <w:i/>
          <w:iCs/>
        </w:rPr>
        <w:t>p</w:t>
      </w:r>
      <w:r w:rsidRPr="004D0639">
        <w:t>)</w:t>
      </w:r>
      <w:r>
        <w:t xml:space="preserve"> using a binomial distribution. NPA was assumed to be 100%. Because the input datasets used to train this model were independent from the pooled datasets, we subsequently validated modeled estimates of PPA and average tests expected per sample against our empirical data for pools of </w:t>
      </w:r>
      <w:r w:rsidR="00CC1209">
        <w:t>8</w:t>
      </w:r>
      <w:r>
        <w:t xml:space="preserve"> and </w:t>
      </w:r>
      <w:r w:rsidR="00CC1209">
        <w:t>4, as well as external in silico data for pools of 5 and 3</w:t>
      </w:r>
      <w:r>
        <w:t>. Beyond the external factors that contributed to model estimates (individual C</w:t>
      </w:r>
      <w:r w:rsidR="00CC1209" w:rsidRPr="00DE700A">
        <w:rPr>
          <w:iCs/>
          <w:color w:val="000000"/>
        </w:rPr>
        <w:t>t</w:t>
      </w:r>
      <w:r w:rsidR="00CC1209">
        <w:t xml:space="preserve"> </w:t>
      </w:r>
      <w:r>
        <w:t xml:space="preserve">values, prevalence, proportion of samples above </w:t>
      </w:r>
      <w:proofErr w:type="spellStart"/>
      <w:r>
        <w:t>LoD</w:t>
      </w:r>
      <w:proofErr w:type="spellEnd"/>
      <w:r>
        <w:t>), we also assessed model robustness via deterministic and probabilistic sensitivity analyses by varying pooling dilution (</w:t>
      </w:r>
      <w:proofErr w:type="spellStart"/>
      <w:r w:rsidRPr="002254FF">
        <w:rPr>
          <w:i/>
          <w:iCs/>
          <w:color w:val="000000"/>
        </w:rPr>
        <w:t>Ct</w:t>
      </w:r>
      <w:r w:rsidRPr="002254FF">
        <w:rPr>
          <w:i/>
          <w:iCs/>
          <w:color w:val="000000"/>
          <w:vertAlign w:val="subscript"/>
        </w:rPr>
        <w:t>poolexpected</w:t>
      </w:r>
      <w:proofErr w:type="spellEnd"/>
      <w:r w:rsidRPr="006F1059">
        <w:rPr>
          <w:color w:val="000000"/>
        </w:rPr>
        <w:t> = -log</w:t>
      </w:r>
      <w:r w:rsidRPr="006F1059">
        <w:rPr>
          <w:color w:val="000000"/>
          <w:vertAlign w:val="subscript"/>
        </w:rPr>
        <w:t>2</w:t>
      </w:r>
      <w:r w:rsidRPr="006F1059">
        <w:rPr>
          <w:color w:val="000000"/>
        </w:rPr>
        <w:t>((∑2</w:t>
      </w:r>
      <w:r w:rsidRPr="006F1059">
        <w:rPr>
          <w:color w:val="000000"/>
          <w:vertAlign w:val="superscript"/>
        </w:rPr>
        <w:t>-</w:t>
      </w:r>
      <w:r w:rsidRPr="002254FF">
        <w:rPr>
          <w:i/>
          <w:iCs/>
          <w:color w:val="000000"/>
          <w:vertAlign w:val="superscript"/>
        </w:rPr>
        <w:t>Ctsingle</w:t>
      </w:r>
      <w:r w:rsidRPr="006F1059">
        <w:rPr>
          <w:color w:val="000000"/>
        </w:rPr>
        <w:t>)/</w:t>
      </w:r>
      <w:proofErr w:type="spellStart"/>
      <w:r w:rsidRPr="002254FF">
        <w:rPr>
          <w:i/>
          <w:iCs/>
          <w:color w:val="000000"/>
        </w:rPr>
        <w:t>poolsize</w:t>
      </w:r>
      <w:proofErr w:type="spellEnd"/>
      <w:r>
        <w:rPr>
          <w:i/>
          <w:iCs/>
          <w:color w:val="000000"/>
        </w:rPr>
        <w:t xml:space="preserve"> </w:t>
      </w:r>
      <w:r w:rsidRPr="00E33066">
        <w:rPr>
          <w:i/>
          <w:iCs/>
          <w:color w:val="000000"/>
        </w:rPr>
        <w:t>±</w:t>
      </w:r>
      <w:r>
        <w:rPr>
          <w:i/>
          <w:iCs/>
          <w:color w:val="000000"/>
        </w:rPr>
        <w:t xml:space="preserve"> </w:t>
      </w:r>
      <w:r>
        <w:rPr>
          <w:color w:val="000000"/>
        </w:rPr>
        <w:t>1 Ct</w:t>
      </w:r>
      <w:r w:rsidRPr="006F1059">
        <w:rPr>
          <w:color w:val="000000"/>
        </w:rPr>
        <w:t>)</w:t>
      </w:r>
      <w:r>
        <w:rPr>
          <w:color w:val="000000"/>
        </w:rPr>
        <w:t xml:space="preserve"> and sampling from the 95% confidence interval of the probit regression</w:t>
      </w:r>
      <w:r w:rsidRPr="006F1059">
        <w:rPr>
          <w:color w:val="000000"/>
        </w:rPr>
        <w:t>.</w:t>
      </w:r>
    </w:p>
    <w:p w14:paraId="06F6DA96" w14:textId="66F57E87" w:rsidR="00592BB1" w:rsidRDefault="00592BB1" w:rsidP="00DE700A">
      <w:pPr>
        <w:spacing w:line="480" w:lineRule="auto"/>
        <w:ind w:firstLine="720"/>
      </w:pPr>
      <w:r>
        <w:t xml:space="preserve">The implementation code and </w:t>
      </w:r>
      <w:r w:rsidR="00405D76">
        <w:t>data used to generate and validate this model can be made available upon request to the corresponding author.</w:t>
      </w:r>
    </w:p>
    <w:p w14:paraId="7303FCBF" w14:textId="39AC0CD0" w:rsidR="00597F3E" w:rsidRDefault="00597F3E" w:rsidP="00DE700A">
      <w:pPr>
        <w:spacing w:line="480" w:lineRule="auto"/>
        <w:ind w:firstLine="720"/>
      </w:pPr>
    </w:p>
    <w:p w14:paraId="18746227" w14:textId="0C89A6AC" w:rsidR="00597F3E" w:rsidRDefault="00597F3E" w:rsidP="00597F3E">
      <w:pPr>
        <w:spacing w:line="480" w:lineRule="auto"/>
        <w:rPr>
          <w:b/>
        </w:rPr>
      </w:pPr>
      <w:r w:rsidRPr="00597F3E">
        <w:rPr>
          <w:b/>
        </w:rPr>
        <w:t>Appendix References</w:t>
      </w:r>
    </w:p>
    <w:p w14:paraId="0CA0E7CB" w14:textId="0DEEAC37" w:rsidR="00363C87" w:rsidRPr="00084FA1" w:rsidRDefault="00084FA1" w:rsidP="00084FA1">
      <w:pPr>
        <w:widowControl w:val="0"/>
        <w:autoSpaceDE w:val="0"/>
        <w:autoSpaceDN w:val="0"/>
        <w:adjustRightInd w:val="0"/>
        <w:spacing w:line="480" w:lineRule="auto"/>
        <w:ind w:left="640" w:hanging="640"/>
        <w:rPr>
          <w:noProof/>
        </w:rPr>
      </w:pPr>
      <w:r w:rsidRPr="00597F3E">
        <w:rPr>
          <w:noProof/>
        </w:rPr>
        <w:t xml:space="preserve">1. </w:t>
      </w:r>
      <w:r w:rsidRPr="00597F3E">
        <w:rPr>
          <w:noProof/>
        </w:rPr>
        <w:tab/>
        <w:t xml:space="preserve">Food and Drug Administration. Molecular Diagnostic Template for Laboratories. 2020 July 28 [cited 2020 Sep 18). https://www.fda.gov/media/135658/download. </w:t>
      </w:r>
    </w:p>
    <w:p w14:paraId="043B31C6" w14:textId="77777777" w:rsidR="00084FA1" w:rsidRDefault="00084FA1">
      <w:pPr>
        <w:rPr>
          <w:b/>
          <w:bCs/>
        </w:rPr>
      </w:pPr>
      <w:r>
        <w:rPr>
          <w:b/>
          <w:bCs/>
        </w:rPr>
        <w:br w:type="page"/>
      </w:r>
    </w:p>
    <w:p w14:paraId="2471BA10" w14:textId="796B0F96" w:rsidR="00DF0907" w:rsidRDefault="00DF0907" w:rsidP="00814D6B">
      <w:pPr>
        <w:spacing w:line="480" w:lineRule="auto"/>
      </w:pPr>
      <w:r w:rsidRPr="00B1770D">
        <w:rPr>
          <w:b/>
          <w:bCs/>
        </w:rPr>
        <w:lastRenderedPageBreak/>
        <w:t>Appendix Table 1.</w:t>
      </w:r>
      <w:r w:rsidR="004A0E44">
        <w:t xml:space="preserve"> Receiver operating </w:t>
      </w:r>
      <w:r w:rsidR="00AC4712">
        <w:t xml:space="preserve">characteristic </w:t>
      </w:r>
      <w:r w:rsidR="004A0E44">
        <w:t xml:space="preserve">curve </w:t>
      </w:r>
      <w:r w:rsidR="00EA2D7C">
        <w:t>table for Panther Aptima</w:t>
      </w:r>
      <w:r w:rsidR="00200BFB">
        <w:t>, based on pools of 8 containing a single positive sample (n=36)</w:t>
      </w:r>
    </w:p>
    <w:tbl>
      <w:tblPr>
        <w:tblStyle w:val="PlainTable21"/>
        <w:tblW w:w="0" w:type="auto"/>
        <w:tblInd w:w="378" w:type="dxa"/>
        <w:tblLook w:val="04A0" w:firstRow="1" w:lastRow="0" w:firstColumn="1" w:lastColumn="0" w:noHBand="0" w:noVBand="1"/>
      </w:tblPr>
      <w:tblGrid>
        <w:gridCol w:w="3165"/>
        <w:gridCol w:w="3265"/>
        <w:gridCol w:w="3128"/>
      </w:tblGrid>
      <w:tr w:rsidR="00BD2970" w:rsidRPr="004A0E44" w14:paraId="3239AD86" w14:textId="77777777" w:rsidTr="00D3036A">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bottom w:val="single" w:sz="4" w:space="0" w:color="auto"/>
            </w:tcBorders>
            <w:noWrap/>
            <w:vAlign w:val="bottom"/>
            <w:hideMark/>
          </w:tcPr>
          <w:p w14:paraId="03792A0F" w14:textId="1C75C64F" w:rsidR="00BD2970" w:rsidRPr="00D3036A" w:rsidRDefault="00BD2970" w:rsidP="007C46D3">
            <w:pPr>
              <w:rPr>
                <w:rFonts w:ascii="Arial" w:hAnsi="Arial" w:cs="Arial"/>
                <w:b w:val="0"/>
                <w:sz w:val="16"/>
                <w:szCs w:val="16"/>
              </w:rPr>
            </w:pPr>
            <w:r w:rsidRPr="00D3036A">
              <w:rPr>
                <w:rFonts w:ascii="Arial" w:hAnsi="Arial" w:cs="Arial"/>
                <w:b w:val="0"/>
                <w:color w:val="000000"/>
                <w:sz w:val="16"/>
                <w:szCs w:val="16"/>
              </w:rPr>
              <w:t>Positive percent agreement</w:t>
            </w:r>
          </w:p>
        </w:tc>
        <w:tc>
          <w:tcPr>
            <w:tcW w:w="0" w:type="auto"/>
            <w:tcBorders>
              <w:top w:val="single" w:sz="4" w:space="0" w:color="7F7F7F" w:themeColor="text1" w:themeTint="80"/>
              <w:bottom w:val="single" w:sz="4" w:space="0" w:color="auto"/>
            </w:tcBorders>
            <w:noWrap/>
            <w:vAlign w:val="bottom"/>
            <w:hideMark/>
          </w:tcPr>
          <w:p w14:paraId="5A4F3ED0" w14:textId="6E204F57" w:rsidR="00BD2970" w:rsidRPr="00BD2970" w:rsidRDefault="00BD2970" w:rsidP="007C46D3">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16"/>
                <w:szCs w:val="16"/>
              </w:rPr>
            </w:pPr>
            <w:r>
              <w:rPr>
                <w:rFonts w:ascii="Arial" w:hAnsi="Arial" w:cs="Arial"/>
                <w:b w:val="0"/>
                <w:color w:val="000000"/>
                <w:sz w:val="16"/>
                <w:szCs w:val="16"/>
              </w:rPr>
              <w:t>Negative percent agreement</w:t>
            </w:r>
          </w:p>
        </w:tc>
        <w:tc>
          <w:tcPr>
            <w:tcW w:w="0" w:type="auto"/>
            <w:tcBorders>
              <w:top w:val="single" w:sz="4" w:space="0" w:color="7F7F7F" w:themeColor="text1" w:themeTint="80"/>
              <w:bottom w:val="single" w:sz="4" w:space="0" w:color="auto"/>
            </w:tcBorders>
            <w:noWrap/>
            <w:vAlign w:val="bottom"/>
            <w:hideMark/>
          </w:tcPr>
          <w:p w14:paraId="2D29A8B3" w14:textId="1D38F6A7" w:rsidR="00BD2970" w:rsidRPr="00BD2970" w:rsidRDefault="00BD2970" w:rsidP="007C46D3">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16"/>
                <w:szCs w:val="16"/>
              </w:rPr>
            </w:pPr>
            <w:r w:rsidRPr="00BD2970">
              <w:rPr>
                <w:rFonts w:ascii="Arial" w:hAnsi="Arial" w:cs="Arial"/>
                <w:b w:val="0"/>
                <w:color w:val="000000"/>
                <w:sz w:val="16"/>
                <w:szCs w:val="16"/>
              </w:rPr>
              <w:t>Relative light unit threshold</w:t>
            </w:r>
          </w:p>
        </w:tc>
      </w:tr>
      <w:tr w:rsidR="00F862D2" w:rsidRPr="004A0E44" w14:paraId="31D08A98" w14:textId="77777777" w:rsidTr="00D3036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noWrap/>
            <w:hideMark/>
          </w:tcPr>
          <w:p w14:paraId="535F9170" w14:textId="4E43B0FD" w:rsidR="00F862D2" w:rsidRPr="00D3036A" w:rsidRDefault="00F862D2" w:rsidP="00F862D2">
            <w:pPr>
              <w:rPr>
                <w:rFonts w:ascii="Arial" w:hAnsi="Arial" w:cs="Arial"/>
                <w:b w:val="0"/>
                <w:sz w:val="16"/>
                <w:szCs w:val="16"/>
              </w:rPr>
            </w:pPr>
            <w:r w:rsidRPr="00D3036A">
              <w:rPr>
                <w:rFonts w:ascii="Arial" w:hAnsi="Arial" w:cs="Arial"/>
                <w:b w:val="0"/>
                <w:sz w:val="16"/>
                <w:szCs w:val="16"/>
              </w:rPr>
              <w:t>1.000</w:t>
            </w:r>
          </w:p>
        </w:tc>
        <w:tc>
          <w:tcPr>
            <w:tcW w:w="0" w:type="auto"/>
            <w:noWrap/>
            <w:hideMark/>
          </w:tcPr>
          <w:p w14:paraId="145B5693" w14:textId="15E9C01E" w:rsidR="00F862D2" w:rsidRPr="00F862D2" w:rsidRDefault="00F862D2" w:rsidP="00F862D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D3036A">
              <w:rPr>
                <w:rFonts w:ascii="Arial" w:hAnsi="Arial" w:cs="Arial"/>
                <w:sz w:val="16"/>
                <w:szCs w:val="16"/>
              </w:rPr>
              <w:t>0.047</w:t>
            </w:r>
          </w:p>
        </w:tc>
        <w:tc>
          <w:tcPr>
            <w:tcW w:w="0" w:type="auto"/>
            <w:noWrap/>
            <w:hideMark/>
          </w:tcPr>
          <w:p w14:paraId="0F14F390" w14:textId="437BE915" w:rsidR="00F862D2" w:rsidRPr="00F862D2" w:rsidRDefault="00F862D2" w:rsidP="00F862D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D3036A">
              <w:rPr>
                <w:rFonts w:ascii="Arial" w:hAnsi="Arial" w:cs="Arial"/>
                <w:sz w:val="16"/>
                <w:szCs w:val="16"/>
              </w:rPr>
              <w:t>301</w:t>
            </w:r>
          </w:p>
        </w:tc>
      </w:tr>
      <w:tr w:rsidR="00F862D2" w:rsidRPr="004A0E44" w14:paraId="701D0AF2" w14:textId="77777777" w:rsidTr="00D3036A">
        <w:trPr>
          <w:trHeight w:val="144"/>
        </w:trPr>
        <w:tc>
          <w:tcPr>
            <w:cnfStyle w:val="001000000000" w:firstRow="0" w:lastRow="0" w:firstColumn="1" w:lastColumn="0" w:oddVBand="0" w:evenVBand="0" w:oddHBand="0" w:evenHBand="0" w:firstRowFirstColumn="0" w:firstRowLastColumn="0" w:lastRowFirstColumn="0" w:lastRowLastColumn="0"/>
            <w:tcW w:w="0" w:type="auto"/>
            <w:noWrap/>
            <w:hideMark/>
          </w:tcPr>
          <w:p w14:paraId="2861B44C" w14:textId="03A9AE96" w:rsidR="00F862D2" w:rsidRPr="00D3036A" w:rsidRDefault="00F862D2" w:rsidP="00F862D2">
            <w:pPr>
              <w:rPr>
                <w:rFonts w:ascii="Arial" w:hAnsi="Arial" w:cs="Arial"/>
                <w:b w:val="0"/>
                <w:sz w:val="16"/>
                <w:szCs w:val="16"/>
              </w:rPr>
            </w:pPr>
            <w:r w:rsidRPr="00D3036A">
              <w:rPr>
                <w:rFonts w:ascii="Arial" w:hAnsi="Arial" w:cs="Arial"/>
                <w:b w:val="0"/>
                <w:sz w:val="16"/>
                <w:szCs w:val="16"/>
              </w:rPr>
              <w:t>0.972</w:t>
            </w:r>
          </w:p>
        </w:tc>
        <w:tc>
          <w:tcPr>
            <w:tcW w:w="0" w:type="auto"/>
            <w:noWrap/>
            <w:hideMark/>
          </w:tcPr>
          <w:p w14:paraId="474EA199" w14:textId="1F9B6FCF" w:rsidR="00F862D2" w:rsidRPr="00F862D2" w:rsidRDefault="00F862D2" w:rsidP="00F862D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D3036A">
              <w:rPr>
                <w:rFonts w:ascii="Arial" w:hAnsi="Arial" w:cs="Arial"/>
                <w:sz w:val="16"/>
                <w:szCs w:val="16"/>
              </w:rPr>
              <w:t>0.109</w:t>
            </w:r>
          </w:p>
        </w:tc>
        <w:tc>
          <w:tcPr>
            <w:tcW w:w="0" w:type="auto"/>
            <w:noWrap/>
            <w:hideMark/>
          </w:tcPr>
          <w:p w14:paraId="2E9A4A31" w14:textId="291D1E55" w:rsidR="00F862D2" w:rsidRPr="00F862D2" w:rsidRDefault="00F862D2" w:rsidP="00F862D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D3036A">
              <w:rPr>
                <w:rFonts w:ascii="Arial" w:hAnsi="Arial" w:cs="Arial"/>
                <w:sz w:val="16"/>
                <w:szCs w:val="16"/>
              </w:rPr>
              <w:t>302</w:t>
            </w:r>
          </w:p>
        </w:tc>
      </w:tr>
      <w:tr w:rsidR="00F862D2" w:rsidRPr="004A0E44" w14:paraId="5D239091" w14:textId="77777777" w:rsidTr="00D3036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noWrap/>
            <w:hideMark/>
          </w:tcPr>
          <w:p w14:paraId="2539DB41" w14:textId="5D217D51" w:rsidR="00F862D2" w:rsidRPr="00D3036A" w:rsidRDefault="00F862D2" w:rsidP="00F862D2">
            <w:pPr>
              <w:rPr>
                <w:rFonts w:ascii="Arial" w:hAnsi="Arial" w:cs="Arial"/>
                <w:b w:val="0"/>
                <w:sz w:val="16"/>
                <w:szCs w:val="16"/>
              </w:rPr>
            </w:pPr>
            <w:r w:rsidRPr="00D3036A">
              <w:rPr>
                <w:rFonts w:ascii="Arial" w:hAnsi="Arial" w:cs="Arial"/>
                <w:b w:val="0"/>
                <w:sz w:val="16"/>
                <w:szCs w:val="16"/>
              </w:rPr>
              <w:t>0.972</w:t>
            </w:r>
          </w:p>
        </w:tc>
        <w:tc>
          <w:tcPr>
            <w:tcW w:w="0" w:type="auto"/>
            <w:noWrap/>
            <w:hideMark/>
          </w:tcPr>
          <w:p w14:paraId="379D1179" w14:textId="68D16F7B" w:rsidR="00F862D2" w:rsidRPr="00F862D2" w:rsidRDefault="00F862D2" w:rsidP="00F862D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D3036A">
              <w:rPr>
                <w:rFonts w:ascii="Arial" w:hAnsi="Arial" w:cs="Arial"/>
                <w:sz w:val="16"/>
                <w:szCs w:val="16"/>
              </w:rPr>
              <w:t>0.156</w:t>
            </w:r>
          </w:p>
        </w:tc>
        <w:tc>
          <w:tcPr>
            <w:tcW w:w="0" w:type="auto"/>
            <w:noWrap/>
            <w:hideMark/>
          </w:tcPr>
          <w:p w14:paraId="1FB42607" w14:textId="45AEA078" w:rsidR="00F862D2" w:rsidRPr="00F862D2" w:rsidRDefault="00F862D2" w:rsidP="00F862D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D3036A">
              <w:rPr>
                <w:rFonts w:ascii="Arial" w:hAnsi="Arial" w:cs="Arial"/>
                <w:sz w:val="16"/>
                <w:szCs w:val="16"/>
              </w:rPr>
              <w:t>304</w:t>
            </w:r>
          </w:p>
        </w:tc>
      </w:tr>
      <w:tr w:rsidR="00F862D2" w:rsidRPr="004A0E44" w14:paraId="14FBDE54" w14:textId="77777777" w:rsidTr="00D3036A">
        <w:trPr>
          <w:trHeight w:val="144"/>
        </w:trPr>
        <w:tc>
          <w:tcPr>
            <w:cnfStyle w:val="001000000000" w:firstRow="0" w:lastRow="0" w:firstColumn="1" w:lastColumn="0" w:oddVBand="0" w:evenVBand="0" w:oddHBand="0" w:evenHBand="0" w:firstRowFirstColumn="0" w:firstRowLastColumn="0" w:lastRowFirstColumn="0" w:lastRowLastColumn="0"/>
            <w:tcW w:w="0" w:type="auto"/>
            <w:noWrap/>
            <w:hideMark/>
          </w:tcPr>
          <w:p w14:paraId="386DE318" w14:textId="574EECD1" w:rsidR="00F862D2" w:rsidRPr="00D3036A" w:rsidRDefault="00F862D2" w:rsidP="00F862D2">
            <w:pPr>
              <w:rPr>
                <w:rFonts w:ascii="Arial" w:hAnsi="Arial" w:cs="Arial"/>
                <w:b w:val="0"/>
                <w:sz w:val="16"/>
                <w:szCs w:val="16"/>
              </w:rPr>
            </w:pPr>
            <w:r w:rsidRPr="00D3036A">
              <w:rPr>
                <w:rFonts w:ascii="Arial" w:hAnsi="Arial" w:cs="Arial"/>
                <w:b w:val="0"/>
                <w:sz w:val="16"/>
                <w:szCs w:val="16"/>
              </w:rPr>
              <w:t>0.972</w:t>
            </w:r>
          </w:p>
        </w:tc>
        <w:tc>
          <w:tcPr>
            <w:tcW w:w="0" w:type="auto"/>
            <w:noWrap/>
            <w:hideMark/>
          </w:tcPr>
          <w:p w14:paraId="6AADD014" w14:textId="09DFE3DF" w:rsidR="00F862D2" w:rsidRPr="00F862D2" w:rsidRDefault="00F862D2" w:rsidP="00F862D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D3036A">
              <w:rPr>
                <w:rFonts w:ascii="Arial" w:hAnsi="Arial" w:cs="Arial"/>
                <w:sz w:val="16"/>
                <w:szCs w:val="16"/>
              </w:rPr>
              <w:t>0.188</w:t>
            </w:r>
          </w:p>
        </w:tc>
        <w:tc>
          <w:tcPr>
            <w:tcW w:w="0" w:type="auto"/>
            <w:noWrap/>
            <w:hideMark/>
          </w:tcPr>
          <w:p w14:paraId="29149098" w14:textId="6D35A299" w:rsidR="00F862D2" w:rsidRPr="00F862D2" w:rsidRDefault="00F862D2" w:rsidP="00F862D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D3036A">
              <w:rPr>
                <w:rFonts w:ascii="Arial" w:hAnsi="Arial" w:cs="Arial"/>
                <w:sz w:val="16"/>
                <w:szCs w:val="16"/>
              </w:rPr>
              <w:t>305</w:t>
            </w:r>
          </w:p>
        </w:tc>
      </w:tr>
      <w:tr w:rsidR="00F862D2" w:rsidRPr="004A0E44" w14:paraId="384ED2B2" w14:textId="77777777" w:rsidTr="00D3036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noWrap/>
            <w:hideMark/>
          </w:tcPr>
          <w:p w14:paraId="1D8CFE74" w14:textId="3DABB773" w:rsidR="00F862D2" w:rsidRPr="00D3036A" w:rsidRDefault="00F862D2" w:rsidP="00F862D2">
            <w:pPr>
              <w:rPr>
                <w:rFonts w:ascii="Arial" w:hAnsi="Arial" w:cs="Arial"/>
                <w:b w:val="0"/>
                <w:sz w:val="16"/>
                <w:szCs w:val="16"/>
              </w:rPr>
            </w:pPr>
            <w:r w:rsidRPr="00D3036A">
              <w:rPr>
                <w:rFonts w:ascii="Arial" w:hAnsi="Arial" w:cs="Arial"/>
                <w:b w:val="0"/>
                <w:sz w:val="16"/>
                <w:szCs w:val="16"/>
              </w:rPr>
              <w:t>0.972</w:t>
            </w:r>
          </w:p>
        </w:tc>
        <w:tc>
          <w:tcPr>
            <w:tcW w:w="0" w:type="auto"/>
            <w:noWrap/>
            <w:hideMark/>
          </w:tcPr>
          <w:p w14:paraId="450A7BFC" w14:textId="7FA997F5" w:rsidR="00F862D2" w:rsidRPr="00F862D2" w:rsidRDefault="00F862D2" w:rsidP="00F862D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D3036A">
              <w:rPr>
                <w:rFonts w:ascii="Arial" w:hAnsi="Arial" w:cs="Arial"/>
                <w:sz w:val="16"/>
                <w:szCs w:val="16"/>
              </w:rPr>
              <w:t>0.203</w:t>
            </w:r>
          </w:p>
        </w:tc>
        <w:tc>
          <w:tcPr>
            <w:tcW w:w="0" w:type="auto"/>
            <w:noWrap/>
            <w:hideMark/>
          </w:tcPr>
          <w:p w14:paraId="3E435634" w14:textId="28378266" w:rsidR="00F862D2" w:rsidRPr="00F862D2" w:rsidRDefault="00F862D2" w:rsidP="00F862D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D3036A">
              <w:rPr>
                <w:rFonts w:ascii="Arial" w:hAnsi="Arial" w:cs="Arial"/>
                <w:sz w:val="16"/>
                <w:szCs w:val="16"/>
              </w:rPr>
              <w:t>306</w:t>
            </w:r>
          </w:p>
        </w:tc>
      </w:tr>
      <w:tr w:rsidR="00F862D2" w:rsidRPr="004A0E44" w14:paraId="08609D8E" w14:textId="77777777" w:rsidTr="00D3036A">
        <w:trPr>
          <w:trHeight w:val="144"/>
        </w:trPr>
        <w:tc>
          <w:tcPr>
            <w:cnfStyle w:val="001000000000" w:firstRow="0" w:lastRow="0" w:firstColumn="1" w:lastColumn="0" w:oddVBand="0" w:evenVBand="0" w:oddHBand="0" w:evenHBand="0" w:firstRowFirstColumn="0" w:firstRowLastColumn="0" w:lastRowFirstColumn="0" w:lastRowLastColumn="0"/>
            <w:tcW w:w="0" w:type="auto"/>
            <w:noWrap/>
            <w:hideMark/>
          </w:tcPr>
          <w:p w14:paraId="42F5CD48" w14:textId="74924836" w:rsidR="00F862D2" w:rsidRPr="00D3036A" w:rsidRDefault="00F862D2" w:rsidP="00F862D2">
            <w:pPr>
              <w:rPr>
                <w:rFonts w:ascii="Arial" w:hAnsi="Arial" w:cs="Arial"/>
                <w:b w:val="0"/>
                <w:sz w:val="16"/>
                <w:szCs w:val="16"/>
              </w:rPr>
            </w:pPr>
            <w:r w:rsidRPr="00D3036A">
              <w:rPr>
                <w:rFonts w:ascii="Arial" w:hAnsi="Arial" w:cs="Arial"/>
                <w:b w:val="0"/>
                <w:sz w:val="16"/>
                <w:szCs w:val="16"/>
              </w:rPr>
              <w:t>0.972</w:t>
            </w:r>
          </w:p>
        </w:tc>
        <w:tc>
          <w:tcPr>
            <w:tcW w:w="0" w:type="auto"/>
            <w:noWrap/>
            <w:hideMark/>
          </w:tcPr>
          <w:p w14:paraId="6AD11C18" w14:textId="2AE9328F" w:rsidR="00F862D2" w:rsidRPr="00F862D2" w:rsidRDefault="00F862D2" w:rsidP="00F862D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D3036A">
              <w:rPr>
                <w:rFonts w:ascii="Arial" w:hAnsi="Arial" w:cs="Arial"/>
                <w:sz w:val="16"/>
                <w:szCs w:val="16"/>
              </w:rPr>
              <w:t>0.219</w:t>
            </w:r>
          </w:p>
        </w:tc>
        <w:tc>
          <w:tcPr>
            <w:tcW w:w="0" w:type="auto"/>
            <w:noWrap/>
            <w:hideMark/>
          </w:tcPr>
          <w:p w14:paraId="732FB5DC" w14:textId="4F456400" w:rsidR="00F862D2" w:rsidRPr="00F862D2" w:rsidRDefault="00F862D2" w:rsidP="00F862D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D3036A">
              <w:rPr>
                <w:rFonts w:ascii="Arial" w:hAnsi="Arial" w:cs="Arial"/>
                <w:sz w:val="16"/>
                <w:szCs w:val="16"/>
              </w:rPr>
              <w:t>307</w:t>
            </w:r>
          </w:p>
        </w:tc>
      </w:tr>
      <w:tr w:rsidR="00F862D2" w:rsidRPr="004A0E44" w14:paraId="11E3C9FB" w14:textId="77777777" w:rsidTr="00D3036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noWrap/>
            <w:hideMark/>
          </w:tcPr>
          <w:p w14:paraId="7D8901F6" w14:textId="341A3BDA" w:rsidR="00F862D2" w:rsidRPr="00D3036A" w:rsidRDefault="00F862D2" w:rsidP="00F862D2">
            <w:pPr>
              <w:rPr>
                <w:rFonts w:ascii="Arial" w:hAnsi="Arial" w:cs="Arial"/>
                <w:b w:val="0"/>
                <w:sz w:val="16"/>
                <w:szCs w:val="16"/>
              </w:rPr>
            </w:pPr>
            <w:r w:rsidRPr="00D3036A">
              <w:rPr>
                <w:rFonts w:ascii="Arial" w:hAnsi="Arial" w:cs="Arial"/>
                <w:b w:val="0"/>
                <w:sz w:val="16"/>
                <w:szCs w:val="16"/>
              </w:rPr>
              <w:t>0.972</w:t>
            </w:r>
          </w:p>
        </w:tc>
        <w:tc>
          <w:tcPr>
            <w:tcW w:w="0" w:type="auto"/>
            <w:noWrap/>
            <w:hideMark/>
          </w:tcPr>
          <w:p w14:paraId="0C1D2F1C" w14:textId="6D76EA97" w:rsidR="00F862D2" w:rsidRPr="00F862D2" w:rsidRDefault="00F862D2" w:rsidP="00F862D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D3036A">
              <w:rPr>
                <w:rFonts w:ascii="Arial" w:hAnsi="Arial" w:cs="Arial"/>
                <w:sz w:val="16"/>
                <w:szCs w:val="16"/>
              </w:rPr>
              <w:t>0.234</w:t>
            </w:r>
          </w:p>
        </w:tc>
        <w:tc>
          <w:tcPr>
            <w:tcW w:w="0" w:type="auto"/>
            <w:noWrap/>
            <w:hideMark/>
          </w:tcPr>
          <w:p w14:paraId="56A4F8A6" w14:textId="06129F3E" w:rsidR="00F862D2" w:rsidRPr="00F862D2" w:rsidRDefault="00F862D2" w:rsidP="00F862D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D3036A">
              <w:rPr>
                <w:rFonts w:ascii="Arial" w:hAnsi="Arial" w:cs="Arial"/>
                <w:sz w:val="16"/>
                <w:szCs w:val="16"/>
              </w:rPr>
              <w:t>308</w:t>
            </w:r>
          </w:p>
        </w:tc>
      </w:tr>
      <w:tr w:rsidR="00F862D2" w:rsidRPr="004A0E44" w14:paraId="61840EAF" w14:textId="77777777" w:rsidTr="00D3036A">
        <w:trPr>
          <w:trHeight w:val="144"/>
        </w:trPr>
        <w:tc>
          <w:tcPr>
            <w:cnfStyle w:val="001000000000" w:firstRow="0" w:lastRow="0" w:firstColumn="1" w:lastColumn="0" w:oddVBand="0" w:evenVBand="0" w:oddHBand="0" w:evenHBand="0" w:firstRowFirstColumn="0" w:firstRowLastColumn="0" w:lastRowFirstColumn="0" w:lastRowLastColumn="0"/>
            <w:tcW w:w="0" w:type="auto"/>
            <w:noWrap/>
            <w:hideMark/>
          </w:tcPr>
          <w:p w14:paraId="6AC85535" w14:textId="1373AEB8" w:rsidR="00F862D2" w:rsidRPr="00D3036A" w:rsidRDefault="00F862D2" w:rsidP="00F862D2">
            <w:pPr>
              <w:rPr>
                <w:rFonts w:ascii="Arial" w:hAnsi="Arial" w:cs="Arial"/>
                <w:b w:val="0"/>
                <w:sz w:val="16"/>
                <w:szCs w:val="16"/>
              </w:rPr>
            </w:pPr>
            <w:r w:rsidRPr="00D3036A">
              <w:rPr>
                <w:rFonts w:ascii="Arial" w:hAnsi="Arial" w:cs="Arial"/>
                <w:b w:val="0"/>
                <w:sz w:val="16"/>
                <w:szCs w:val="16"/>
              </w:rPr>
              <w:t>0.944</w:t>
            </w:r>
          </w:p>
        </w:tc>
        <w:tc>
          <w:tcPr>
            <w:tcW w:w="0" w:type="auto"/>
            <w:noWrap/>
            <w:hideMark/>
          </w:tcPr>
          <w:p w14:paraId="2279C6D8" w14:textId="58028E3A" w:rsidR="00F862D2" w:rsidRPr="00F862D2" w:rsidRDefault="00F862D2" w:rsidP="00F862D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D3036A">
              <w:rPr>
                <w:rFonts w:ascii="Arial" w:hAnsi="Arial" w:cs="Arial"/>
                <w:sz w:val="16"/>
                <w:szCs w:val="16"/>
              </w:rPr>
              <w:t>0.297</w:t>
            </w:r>
          </w:p>
        </w:tc>
        <w:tc>
          <w:tcPr>
            <w:tcW w:w="0" w:type="auto"/>
            <w:noWrap/>
            <w:hideMark/>
          </w:tcPr>
          <w:p w14:paraId="34CE1839" w14:textId="7517288D" w:rsidR="00F862D2" w:rsidRPr="00F862D2" w:rsidRDefault="00F862D2" w:rsidP="00F862D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D3036A">
              <w:rPr>
                <w:rFonts w:ascii="Arial" w:hAnsi="Arial" w:cs="Arial"/>
                <w:sz w:val="16"/>
                <w:szCs w:val="16"/>
              </w:rPr>
              <w:t>309</w:t>
            </w:r>
          </w:p>
        </w:tc>
      </w:tr>
      <w:tr w:rsidR="00F862D2" w:rsidRPr="004A0E44" w14:paraId="11F04DBC" w14:textId="77777777" w:rsidTr="00D3036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noWrap/>
            <w:hideMark/>
          </w:tcPr>
          <w:p w14:paraId="22343075" w14:textId="147B8F21" w:rsidR="00F862D2" w:rsidRPr="00D3036A" w:rsidRDefault="00F862D2" w:rsidP="00F862D2">
            <w:pPr>
              <w:rPr>
                <w:rFonts w:ascii="Arial" w:hAnsi="Arial" w:cs="Arial"/>
                <w:b w:val="0"/>
                <w:sz w:val="16"/>
                <w:szCs w:val="16"/>
              </w:rPr>
            </w:pPr>
            <w:r w:rsidRPr="00D3036A">
              <w:rPr>
                <w:rFonts w:ascii="Arial" w:hAnsi="Arial" w:cs="Arial"/>
                <w:b w:val="0"/>
                <w:sz w:val="16"/>
                <w:szCs w:val="16"/>
              </w:rPr>
              <w:t>0.944</w:t>
            </w:r>
          </w:p>
        </w:tc>
        <w:tc>
          <w:tcPr>
            <w:tcW w:w="0" w:type="auto"/>
            <w:noWrap/>
            <w:hideMark/>
          </w:tcPr>
          <w:p w14:paraId="4733CD06" w14:textId="632E99A9" w:rsidR="00F862D2" w:rsidRPr="00F862D2" w:rsidRDefault="00F862D2" w:rsidP="00F862D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D3036A">
              <w:rPr>
                <w:rFonts w:ascii="Arial" w:hAnsi="Arial" w:cs="Arial"/>
                <w:sz w:val="16"/>
                <w:szCs w:val="16"/>
              </w:rPr>
              <w:t>0.359</w:t>
            </w:r>
          </w:p>
        </w:tc>
        <w:tc>
          <w:tcPr>
            <w:tcW w:w="0" w:type="auto"/>
            <w:noWrap/>
            <w:hideMark/>
          </w:tcPr>
          <w:p w14:paraId="294D34D3" w14:textId="0DC9DCD6" w:rsidR="00F862D2" w:rsidRPr="00F862D2" w:rsidRDefault="00F862D2" w:rsidP="00F862D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D3036A">
              <w:rPr>
                <w:rFonts w:ascii="Arial" w:hAnsi="Arial" w:cs="Arial"/>
                <w:sz w:val="16"/>
                <w:szCs w:val="16"/>
              </w:rPr>
              <w:t>310</w:t>
            </w:r>
          </w:p>
        </w:tc>
      </w:tr>
      <w:tr w:rsidR="00F862D2" w:rsidRPr="004A0E44" w14:paraId="7FC0C7F2" w14:textId="77777777" w:rsidTr="00D3036A">
        <w:trPr>
          <w:trHeight w:val="144"/>
        </w:trPr>
        <w:tc>
          <w:tcPr>
            <w:cnfStyle w:val="001000000000" w:firstRow="0" w:lastRow="0" w:firstColumn="1" w:lastColumn="0" w:oddVBand="0" w:evenVBand="0" w:oddHBand="0" w:evenHBand="0" w:firstRowFirstColumn="0" w:firstRowLastColumn="0" w:lastRowFirstColumn="0" w:lastRowLastColumn="0"/>
            <w:tcW w:w="0" w:type="auto"/>
            <w:noWrap/>
            <w:hideMark/>
          </w:tcPr>
          <w:p w14:paraId="4AE2D8EC" w14:textId="1429BB90" w:rsidR="00F862D2" w:rsidRPr="00D3036A" w:rsidRDefault="00F862D2" w:rsidP="00F862D2">
            <w:pPr>
              <w:rPr>
                <w:rFonts w:ascii="Arial" w:hAnsi="Arial" w:cs="Arial"/>
                <w:b w:val="0"/>
                <w:sz w:val="16"/>
                <w:szCs w:val="16"/>
              </w:rPr>
            </w:pPr>
            <w:r w:rsidRPr="00D3036A">
              <w:rPr>
                <w:rFonts w:ascii="Arial" w:hAnsi="Arial" w:cs="Arial"/>
                <w:b w:val="0"/>
                <w:sz w:val="16"/>
                <w:szCs w:val="16"/>
              </w:rPr>
              <w:t>0.944</w:t>
            </w:r>
          </w:p>
        </w:tc>
        <w:tc>
          <w:tcPr>
            <w:tcW w:w="0" w:type="auto"/>
            <w:noWrap/>
            <w:hideMark/>
          </w:tcPr>
          <w:p w14:paraId="7BA8B557" w14:textId="200D312C" w:rsidR="00F862D2" w:rsidRPr="00F862D2" w:rsidRDefault="00F862D2" w:rsidP="00F862D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D3036A">
              <w:rPr>
                <w:rFonts w:ascii="Arial" w:hAnsi="Arial" w:cs="Arial"/>
                <w:sz w:val="16"/>
                <w:szCs w:val="16"/>
              </w:rPr>
              <w:t>0.406</w:t>
            </w:r>
          </w:p>
        </w:tc>
        <w:tc>
          <w:tcPr>
            <w:tcW w:w="0" w:type="auto"/>
            <w:noWrap/>
            <w:hideMark/>
          </w:tcPr>
          <w:p w14:paraId="1241C21F" w14:textId="35241EC1" w:rsidR="00F862D2" w:rsidRPr="00F862D2" w:rsidRDefault="00F862D2" w:rsidP="00F862D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D3036A">
              <w:rPr>
                <w:rFonts w:ascii="Arial" w:hAnsi="Arial" w:cs="Arial"/>
                <w:sz w:val="16"/>
                <w:szCs w:val="16"/>
              </w:rPr>
              <w:t>311</w:t>
            </w:r>
          </w:p>
        </w:tc>
      </w:tr>
      <w:tr w:rsidR="00F862D2" w:rsidRPr="004A0E44" w14:paraId="11BE14A6" w14:textId="77777777" w:rsidTr="00D3036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noWrap/>
            <w:hideMark/>
          </w:tcPr>
          <w:p w14:paraId="21C380F5" w14:textId="45BCADAD" w:rsidR="00F862D2" w:rsidRPr="00D3036A" w:rsidRDefault="00F862D2" w:rsidP="00F862D2">
            <w:pPr>
              <w:rPr>
                <w:rFonts w:ascii="Arial" w:hAnsi="Arial" w:cs="Arial"/>
                <w:b w:val="0"/>
                <w:sz w:val="16"/>
                <w:szCs w:val="16"/>
              </w:rPr>
            </w:pPr>
            <w:r w:rsidRPr="00D3036A">
              <w:rPr>
                <w:rFonts w:ascii="Arial" w:hAnsi="Arial" w:cs="Arial"/>
                <w:b w:val="0"/>
                <w:sz w:val="16"/>
                <w:szCs w:val="16"/>
              </w:rPr>
              <w:t>0.944</w:t>
            </w:r>
          </w:p>
        </w:tc>
        <w:tc>
          <w:tcPr>
            <w:tcW w:w="0" w:type="auto"/>
            <w:noWrap/>
            <w:hideMark/>
          </w:tcPr>
          <w:p w14:paraId="6436FC29" w14:textId="725F9E56" w:rsidR="00F862D2" w:rsidRPr="00F862D2" w:rsidRDefault="00F862D2" w:rsidP="00F862D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D3036A">
              <w:rPr>
                <w:rFonts w:ascii="Arial" w:hAnsi="Arial" w:cs="Arial"/>
                <w:sz w:val="16"/>
                <w:szCs w:val="16"/>
              </w:rPr>
              <w:t>0.438</w:t>
            </w:r>
          </w:p>
        </w:tc>
        <w:tc>
          <w:tcPr>
            <w:tcW w:w="0" w:type="auto"/>
            <w:noWrap/>
            <w:hideMark/>
          </w:tcPr>
          <w:p w14:paraId="2C74A3D6" w14:textId="594A36F0" w:rsidR="00F862D2" w:rsidRPr="00F862D2" w:rsidRDefault="00F862D2" w:rsidP="00F862D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D3036A">
              <w:rPr>
                <w:rFonts w:ascii="Arial" w:hAnsi="Arial" w:cs="Arial"/>
                <w:sz w:val="16"/>
                <w:szCs w:val="16"/>
              </w:rPr>
              <w:t>312</w:t>
            </w:r>
          </w:p>
        </w:tc>
      </w:tr>
      <w:tr w:rsidR="00F862D2" w:rsidRPr="004A0E44" w14:paraId="60BC02B5" w14:textId="77777777" w:rsidTr="00D3036A">
        <w:trPr>
          <w:trHeight w:val="144"/>
        </w:trPr>
        <w:tc>
          <w:tcPr>
            <w:cnfStyle w:val="001000000000" w:firstRow="0" w:lastRow="0" w:firstColumn="1" w:lastColumn="0" w:oddVBand="0" w:evenVBand="0" w:oddHBand="0" w:evenHBand="0" w:firstRowFirstColumn="0" w:firstRowLastColumn="0" w:lastRowFirstColumn="0" w:lastRowLastColumn="0"/>
            <w:tcW w:w="0" w:type="auto"/>
            <w:noWrap/>
            <w:hideMark/>
          </w:tcPr>
          <w:p w14:paraId="442AD7DB" w14:textId="0F2A6C08" w:rsidR="00F862D2" w:rsidRPr="00D3036A" w:rsidRDefault="00F862D2" w:rsidP="00F862D2">
            <w:pPr>
              <w:rPr>
                <w:rFonts w:ascii="Arial" w:hAnsi="Arial" w:cs="Arial"/>
                <w:b w:val="0"/>
                <w:sz w:val="16"/>
                <w:szCs w:val="16"/>
              </w:rPr>
            </w:pPr>
            <w:r w:rsidRPr="00D3036A">
              <w:rPr>
                <w:rFonts w:ascii="Arial" w:hAnsi="Arial" w:cs="Arial"/>
                <w:b w:val="0"/>
                <w:sz w:val="16"/>
                <w:szCs w:val="16"/>
              </w:rPr>
              <w:t>0.944</w:t>
            </w:r>
          </w:p>
        </w:tc>
        <w:tc>
          <w:tcPr>
            <w:tcW w:w="0" w:type="auto"/>
            <w:noWrap/>
            <w:hideMark/>
          </w:tcPr>
          <w:p w14:paraId="3AA7C533" w14:textId="697F3663" w:rsidR="00F862D2" w:rsidRPr="00F862D2" w:rsidRDefault="00F862D2" w:rsidP="00F862D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D3036A">
              <w:rPr>
                <w:rFonts w:ascii="Arial" w:hAnsi="Arial" w:cs="Arial"/>
                <w:sz w:val="16"/>
                <w:szCs w:val="16"/>
              </w:rPr>
              <w:t>0.469</w:t>
            </w:r>
          </w:p>
        </w:tc>
        <w:tc>
          <w:tcPr>
            <w:tcW w:w="0" w:type="auto"/>
            <w:noWrap/>
            <w:hideMark/>
          </w:tcPr>
          <w:p w14:paraId="51450ACC" w14:textId="505658BE" w:rsidR="00F862D2" w:rsidRPr="00F862D2" w:rsidRDefault="00F862D2" w:rsidP="00F862D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D3036A">
              <w:rPr>
                <w:rFonts w:ascii="Arial" w:hAnsi="Arial" w:cs="Arial"/>
                <w:sz w:val="16"/>
                <w:szCs w:val="16"/>
              </w:rPr>
              <w:t>313</w:t>
            </w:r>
          </w:p>
        </w:tc>
      </w:tr>
      <w:tr w:rsidR="00F862D2" w:rsidRPr="004A0E44" w14:paraId="611A45BC" w14:textId="77777777" w:rsidTr="00D3036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noWrap/>
            <w:hideMark/>
          </w:tcPr>
          <w:p w14:paraId="27C0C85A" w14:textId="1B9756A1" w:rsidR="00F862D2" w:rsidRPr="00D3036A" w:rsidRDefault="00F862D2" w:rsidP="00F862D2">
            <w:pPr>
              <w:rPr>
                <w:rFonts w:ascii="Arial" w:hAnsi="Arial" w:cs="Arial"/>
                <w:b w:val="0"/>
                <w:sz w:val="16"/>
                <w:szCs w:val="16"/>
              </w:rPr>
            </w:pPr>
            <w:r w:rsidRPr="00D3036A">
              <w:rPr>
                <w:rFonts w:ascii="Arial" w:hAnsi="Arial" w:cs="Arial"/>
                <w:b w:val="0"/>
                <w:sz w:val="16"/>
                <w:szCs w:val="16"/>
              </w:rPr>
              <w:t>0.944</w:t>
            </w:r>
          </w:p>
        </w:tc>
        <w:tc>
          <w:tcPr>
            <w:tcW w:w="0" w:type="auto"/>
            <w:noWrap/>
            <w:hideMark/>
          </w:tcPr>
          <w:p w14:paraId="29D2DC12" w14:textId="17E31DA8" w:rsidR="00F862D2" w:rsidRPr="00F862D2" w:rsidRDefault="00F862D2" w:rsidP="00F862D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D3036A">
              <w:rPr>
                <w:rFonts w:ascii="Arial" w:hAnsi="Arial" w:cs="Arial"/>
                <w:sz w:val="16"/>
                <w:szCs w:val="16"/>
              </w:rPr>
              <w:t>0.500</w:t>
            </w:r>
          </w:p>
        </w:tc>
        <w:tc>
          <w:tcPr>
            <w:tcW w:w="0" w:type="auto"/>
            <w:noWrap/>
            <w:hideMark/>
          </w:tcPr>
          <w:p w14:paraId="19515AEF" w14:textId="7EF56E39" w:rsidR="00F862D2" w:rsidRPr="00F862D2" w:rsidRDefault="00F862D2" w:rsidP="00F862D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D3036A">
              <w:rPr>
                <w:rFonts w:ascii="Arial" w:hAnsi="Arial" w:cs="Arial"/>
                <w:sz w:val="16"/>
                <w:szCs w:val="16"/>
              </w:rPr>
              <w:t>314</w:t>
            </w:r>
          </w:p>
        </w:tc>
      </w:tr>
      <w:tr w:rsidR="00F862D2" w:rsidRPr="004A0E44" w14:paraId="7020EC92" w14:textId="77777777" w:rsidTr="00D3036A">
        <w:trPr>
          <w:trHeight w:val="144"/>
        </w:trPr>
        <w:tc>
          <w:tcPr>
            <w:cnfStyle w:val="001000000000" w:firstRow="0" w:lastRow="0" w:firstColumn="1" w:lastColumn="0" w:oddVBand="0" w:evenVBand="0" w:oddHBand="0" w:evenHBand="0" w:firstRowFirstColumn="0" w:firstRowLastColumn="0" w:lastRowFirstColumn="0" w:lastRowLastColumn="0"/>
            <w:tcW w:w="0" w:type="auto"/>
            <w:noWrap/>
            <w:hideMark/>
          </w:tcPr>
          <w:p w14:paraId="47F21F01" w14:textId="289289C1" w:rsidR="00F862D2" w:rsidRPr="00D3036A" w:rsidRDefault="00F862D2" w:rsidP="00F862D2">
            <w:pPr>
              <w:rPr>
                <w:rFonts w:ascii="Arial" w:hAnsi="Arial" w:cs="Arial"/>
                <w:b w:val="0"/>
                <w:sz w:val="16"/>
                <w:szCs w:val="16"/>
              </w:rPr>
            </w:pPr>
            <w:r w:rsidRPr="00D3036A">
              <w:rPr>
                <w:rFonts w:ascii="Arial" w:hAnsi="Arial" w:cs="Arial"/>
                <w:b w:val="0"/>
                <w:sz w:val="16"/>
                <w:szCs w:val="16"/>
              </w:rPr>
              <w:t>0.944</w:t>
            </w:r>
          </w:p>
        </w:tc>
        <w:tc>
          <w:tcPr>
            <w:tcW w:w="0" w:type="auto"/>
            <w:noWrap/>
            <w:hideMark/>
          </w:tcPr>
          <w:p w14:paraId="2E9C3DCF" w14:textId="18BB6D22" w:rsidR="00F862D2" w:rsidRPr="00F862D2" w:rsidRDefault="00F862D2" w:rsidP="00F862D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D3036A">
              <w:rPr>
                <w:rFonts w:ascii="Arial" w:hAnsi="Arial" w:cs="Arial"/>
                <w:sz w:val="16"/>
                <w:szCs w:val="16"/>
              </w:rPr>
              <w:t>0.516</w:t>
            </w:r>
          </w:p>
        </w:tc>
        <w:tc>
          <w:tcPr>
            <w:tcW w:w="0" w:type="auto"/>
            <w:noWrap/>
            <w:hideMark/>
          </w:tcPr>
          <w:p w14:paraId="3AFBFCE0" w14:textId="695677C8" w:rsidR="00F862D2" w:rsidRPr="00F862D2" w:rsidRDefault="00F862D2" w:rsidP="00F862D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D3036A">
              <w:rPr>
                <w:rFonts w:ascii="Arial" w:hAnsi="Arial" w:cs="Arial"/>
                <w:sz w:val="16"/>
                <w:szCs w:val="16"/>
              </w:rPr>
              <w:t>315</w:t>
            </w:r>
          </w:p>
        </w:tc>
      </w:tr>
      <w:tr w:rsidR="00F862D2" w:rsidRPr="004A0E44" w14:paraId="6BDDCD33" w14:textId="77777777" w:rsidTr="00D3036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noWrap/>
            <w:hideMark/>
          </w:tcPr>
          <w:p w14:paraId="3A209D04" w14:textId="353E29F8" w:rsidR="00F862D2" w:rsidRPr="00D3036A" w:rsidRDefault="00F862D2" w:rsidP="00F862D2">
            <w:pPr>
              <w:rPr>
                <w:rFonts w:ascii="Arial" w:hAnsi="Arial" w:cs="Arial"/>
                <w:b w:val="0"/>
                <w:sz w:val="16"/>
                <w:szCs w:val="16"/>
              </w:rPr>
            </w:pPr>
            <w:r w:rsidRPr="00D3036A">
              <w:rPr>
                <w:rFonts w:ascii="Arial" w:hAnsi="Arial" w:cs="Arial"/>
                <w:b w:val="0"/>
                <w:sz w:val="16"/>
                <w:szCs w:val="16"/>
              </w:rPr>
              <w:t>0.917</w:t>
            </w:r>
          </w:p>
        </w:tc>
        <w:tc>
          <w:tcPr>
            <w:tcW w:w="0" w:type="auto"/>
            <w:noWrap/>
            <w:hideMark/>
          </w:tcPr>
          <w:p w14:paraId="10348596" w14:textId="2CDCE1AB" w:rsidR="00F862D2" w:rsidRPr="00F862D2" w:rsidRDefault="00F862D2" w:rsidP="00F862D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D3036A">
              <w:rPr>
                <w:rFonts w:ascii="Arial" w:hAnsi="Arial" w:cs="Arial"/>
                <w:sz w:val="16"/>
                <w:szCs w:val="16"/>
              </w:rPr>
              <w:t>0.578</w:t>
            </w:r>
          </w:p>
        </w:tc>
        <w:tc>
          <w:tcPr>
            <w:tcW w:w="0" w:type="auto"/>
            <w:noWrap/>
            <w:hideMark/>
          </w:tcPr>
          <w:p w14:paraId="49F58AE2" w14:textId="30CA170B" w:rsidR="00F862D2" w:rsidRPr="00F862D2" w:rsidRDefault="00F862D2" w:rsidP="00F862D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D3036A">
              <w:rPr>
                <w:rFonts w:ascii="Arial" w:hAnsi="Arial" w:cs="Arial"/>
                <w:sz w:val="16"/>
                <w:szCs w:val="16"/>
              </w:rPr>
              <w:t>316</w:t>
            </w:r>
          </w:p>
        </w:tc>
      </w:tr>
      <w:tr w:rsidR="00F862D2" w:rsidRPr="004A0E44" w14:paraId="5AF42EB9" w14:textId="77777777" w:rsidTr="00D3036A">
        <w:trPr>
          <w:trHeight w:val="144"/>
        </w:trPr>
        <w:tc>
          <w:tcPr>
            <w:cnfStyle w:val="001000000000" w:firstRow="0" w:lastRow="0" w:firstColumn="1" w:lastColumn="0" w:oddVBand="0" w:evenVBand="0" w:oddHBand="0" w:evenHBand="0" w:firstRowFirstColumn="0" w:firstRowLastColumn="0" w:lastRowFirstColumn="0" w:lastRowLastColumn="0"/>
            <w:tcW w:w="0" w:type="auto"/>
            <w:noWrap/>
            <w:hideMark/>
          </w:tcPr>
          <w:p w14:paraId="37161A35" w14:textId="53E2C422" w:rsidR="00F862D2" w:rsidRPr="00D3036A" w:rsidRDefault="00F862D2" w:rsidP="00F862D2">
            <w:pPr>
              <w:rPr>
                <w:rFonts w:ascii="Arial" w:hAnsi="Arial" w:cs="Arial"/>
                <w:b w:val="0"/>
                <w:sz w:val="16"/>
                <w:szCs w:val="16"/>
              </w:rPr>
            </w:pPr>
            <w:r w:rsidRPr="00D3036A">
              <w:rPr>
                <w:rFonts w:ascii="Arial" w:hAnsi="Arial" w:cs="Arial"/>
                <w:b w:val="0"/>
                <w:sz w:val="16"/>
                <w:szCs w:val="16"/>
              </w:rPr>
              <w:t>0.889</w:t>
            </w:r>
          </w:p>
        </w:tc>
        <w:tc>
          <w:tcPr>
            <w:tcW w:w="0" w:type="auto"/>
            <w:noWrap/>
            <w:hideMark/>
          </w:tcPr>
          <w:p w14:paraId="65F846AF" w14:textId="3D8B1C9A" w:rsidR="00F862D2" w:rsidRPr="00F862D2" w:rsidRDefault="00F862D2" w:rsidP="00F862D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D3036A">
              <w:rPr>
                <w:rFonts w:ascii="Arial" w:hAnsi="Arial" w:cs="Arial"/>
                <w:sz w:val="16"/>
                <w:szCs w:val="16"/>
              </w:rPr>
              <w:t>0.641</w:t>
            </w:r>
          </w:p>
        </w:tc>
        <w:tc>
          <w:tcPr>
            <w:tcW w:w="0" w:type="auto"/>
            <w:noWrap/>
            <w:hideMark/>
          </w:tcPr>
          <w:p w14:paraId="00BC82D7" w14:textId="1CD50807" w:rsidR="00F862D2" w:rsidRPr="00F862D2" w:rsidRDefault="00F862D2" w:rsidP="00F862D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D3036A">
              <w:rPr>
                <w:rFonts w:ascii="Arial" w:hAnsi="Arial" w:cs="Arial"/>
                <w:sz w:val="16"/>
                <w:szCs w:val="16"/>
              </w:rPr>
              <w:t>317</w:t>
            </w:r>
          </w:p>
        </w:tc>
      </w:tr>
      <w:tr w:rsidR="00F862D2" w:rsidRPr="004A0E44" w14:paraId="22A1DCB5" w14:textId="77777777" w:rsidTr="00D3036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noWrap/>
            <w:hideMark/>
          </w:tcPr>
          <w:p w14:paraId="64B14706" w14:textId="33A1C458" w:rsidR="00F862D2" w:rsidRPr="00D3036A" w:rsidRDefault="00F862D2" w:rsidP="00F862D2">
            <w:pPr>
              <w:rPr>
                <w:rFonts w:ascii="Arial" w:hAnsi="Arial" w:cs="Arial"/>
                <w:b w:val="0"/>
                <w:sz w:val="16"/>
                <w:szCs w:val="16"/>
              </w:rPr>
            </w:pPr>
            <w:r w:rsidRPr="00D3036A">
              <w:rPr>
                <w:rFonts w:ascii="Arial" w:hAnsi="Arial" w:cs="Arial"/>
                <w:b w:val="0"/>
                <w:sz w:val="16"/>
                <w:szCs w:val="16"/>
              </w:rPr>
              <w:t>0.861</w:t>
            </w:r>
          </w:p>
        </w:tc>
        <w:tc>
          <w:tcPr>
            <w:tcW w:w="0" w:type="auto"/>
            <w:noWrap/>
            <w:hideMark/>
          </w:tcPr>
          <w:p w14:paraId="7FFE91FC" w14:textId="5FF6289A" w:rsidR="00F862D2" w:rsidRPr="00F862D2" w:rsidRDefault="00F862D2" w:rsidP="00F862D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D3036A">
              <w:rPr>
                <w:rFonts w:ascii="Arial" w:hAnsi="Arial" w:cs="Arial"/>
                <w:sz w:val="16"/>
                <w:szCs w:val="16"/>
              </w:rPr>
              <w:t>0.688</w:t>
            </w:r>
          </w:p>
        </w:tc>
        <w:tc>
          <w:tcPr>
            <w:tcW w:w="0" w:type="auto"/>
            <w:noWrap/>
            <w:hideMark/>
          </w:tcPr>
          <w:p w14:paraId="64336476" w14:textId="01808479" w:rsidR="00F862D2" w:rsidRPr="00F862D2" w:rsidRDefault="00F862D2" w:rsidP="00F862D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D3036A">
              <w:rPr>
                <w:rFonts w:ascii="Arial" w:hAnsi="Arial" w:cs="Arial"/>
                <w:sz w:val="16"/>
                <w:szCs w:val="16"/>
              </w:rPr>
              <w:t>318</w:t>
            </w:r>
          </w:p>
        </w:tc>
      </w:tr>
      <w:tr w:rsidR="00F862D2" w:rsidRPr="004A0E44" w14:paraId="6F665177" w14:textId="77777777" w:rsidTr="00D3036A">
        <w:trPr>
          <w:trHeight w:val="144"/>
        </w:trPr>
        <w:tc>
          <w:tcPr>
            <w:cnfStyle w:val="001000000000" w:firstRow="0" w:lastRow="0" w:firstColumn="1" w:lastColumn="0" w:oddVBand="0" w:evenVBand="0" w:oddHBand="0" w:evenHBand="0" w:firstRowFirstColumn="0" w:firstRowLastColumn="0" w:lastRowFirstColumn="0" w:lastRowLastColumn="0"/>
            <w:tcW w:w="0" w:type="auto"/>
            <w:noWrap/>
            <w:hideMark/>
          </w:tcPr>
          <w:p w14:paraId="369CDD6D" w14:textId="3A66D858" w:rsidR="00F862D2" w:rsidRPr="00D3036A" w:rsidRDefault="00F862D2" w:rsidP="00F862D2">
            <w:pPr>
              <w:rPr>
                <w:rFonts w:ascii="Arial" w:hAnsi="Arial" w:cs="Arial"/>
                <w:b w:val="0"/>
                <w:sz w:val="16"/>
                <w:szCs w:val="16"/>
              </w:rPr>
            </w:pPr>
            <w:r w:rsidRPr="00D3036A">
              <w:rPr>
                <w:rFonts w:ascii="Arial" w:hAnsi="Arial" w:cs="Arial"/>
                <w:b w:val="0"/>
                <w:sz w:val="16"/>
                <w:szCs w:val="16"/>
              </w:rPr>
              <w:t>0.833</w:t>
            </w:r>
          </w:p>
        </w:tc>
        <w:tc>
          <w:tcPr>
            <w:tcW w:w="0" w:type="auto"/>
            <w:noWrap/>
            <w:hideMark/>
          </w:tcPr>
          <w:p w14:paraId="3AE777FD" w14:textId="16867F44" w:rsidR="00F862D2" w:rsidRPr="00F862D2" w:rsidRDefault="00F862D2" w:rsidP="00F862D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D3036A">
              <w:rPr>
                <w:rFonts w:ascii="Arial" w:hAnsi="Arial" w:cs="Arial"/>
                <w:sz w:val="16"/>
                <w:szCs w:val="16"/>
              </w:rPr>
              <w:t>0.688</w:t>
            </w:r>
          </w:p>
        </w:tc>
        <w:tc>
          <w:tcPr>
            <w:tcW w:w="0" w:type="auto"/>
            <w:noWrap/>
            <w:hideMark/>
          </w:tcPr>
          <w:p w14:paraId="5CF2F322" w14:textId="40CD03BC" w:rsidR="00F862D2" w:rsidRPr="00F862D2" w:rsidRDefault="00F862D2" w:rsidP="00F862D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D3036A">
              <w:rPr>
                <w:rFonts w:ascii="Arial" w:hAnsi="Arial" w:cs="Arial"/>
                <w:sz w:val="16"/>
                <w:szCs w:val="16"/>
              </w:rPr>
              <w:t>320</w:t>
            </w:r>
          </w:p>
        </w:tc>
      </w:tr>
      <w:tr w:rsidR="00F862D2" w:rsidRPr="004A0E44" w14:paraId="4A891E30" w14:textId="77777777" w:rsidTr="00D3036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noWrap/>
            <w:hideMark/>
          </w:tcPr>
          <w:p w14:paraId="43503492" w14:textId="14150756" w:rsidR="00F862D2" w:rsidRPr="00D3036A" w:rsidRDefault="00F862D2" w:rsidP="00F862D2">
            <w:pPr>
              <w:rPr>
                <w:rFonts w:ascii="Arial" w:hAnsi="Arial" w:cs="Arial"/>
                <w:b w:val="0"/>
                <w:sz w:val="16"/>
                <w:szCs w:val="16"/>
              </w:rPr>
            </w:pPr>
            <w:r w:rsidRPr="00D3036A">
              <w:rPr>
                <w:rFonts w:ascii="Arial" w:hAnsi="Arial" w:cs="Arial"/>
                <w:b w:val="0"/>
                <w:sz w:val="16"/>
                <w:szCs w:val="16"/>
              </w:rPr>
              <w:t>0.833</w:t>
            </w:r>
          </w:p>
        </w:tc>
        <w:tc>
          <w:tcPr>
            <w:tcW w:w="0" w:type="auto"/>
            <w:noWrap/>
            <w:hideMark/>
          </w:tcPr>
          <w:p w14:paraId="76FDA611" w14:textId="05C71F06" w:rsidR="00F862D2" w:rsidRPr="00F862D2" w:rsidRDefault="00F862D2" w:rsidP="00F862D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D3036A">
              <w:rPr>
                <w:rFonts w:ascii="Arial" w:hAnsi="Arial" w:cs="Arial"/>
                <w:sz w:val="16"/>
                <w:szCs w:val="16"/>
              </w:rPr>
              <w:t>0.703</w:t>
            </w:r>
          </w:p>
        </w:tc>
        <w:tc>
          <w:tcPr>
            <w:tcW w:w="0" w:type="auto"/>
            <w:noWrap/>
            <w:hideMark/>
          </w:tcPr>
          <w:p w14:paraId="7BD8E2FE" w14:textId="42FDE62C" w:rsidR="00F862D2" w:rsidRPr="00F862D2" w:rsidRDefault="00F862D2" w:rsidP="00F862D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D3036A">
              <w:rPr>
                <w:rFonts w:ascii="Arial" w:hAnsi="Arial" w:cs="Arial"/>
                <w:sz w:val="16"/>
                <w:szCs w:val="16"/>
              </w:rPr>
              <w:t>321</w:t>
            </w:r>
          </w:p>
        </w:tc>
      </w:tr>
      <w:tr w:rsidR="00F862D2" w:rsidRPr="004A0E44" w14:paraId="6AE969FC" w14:textId="77777777" w:rsidTr="00D3036A">
        <w:trPr>
          <w:trHeight w:val="144"/>
        </w:trPr>
        <w:tc>
          <w:tcPr>
            <w:cnfStyle w:val="001000000000" w:firstRow="0" w:lastRow="0" w:firstColumn="1" w:lastColumn="0" w:oddVBand="0" w:evenVBand="0" w:oddHBand="0" w:evenHBand="0" w:firstRowFirstColumn="0" w:firstRowLastColumn="0" w:lastRowFirstColumn="0" w:lastRowLastColumn="0"/>
            <w:tcW w:w="0" w:type="auto"/>
            <w:noWrap/>
            <w:hideMark/>
          </w:tcPr>
          <w:p w14:paraId="0957F148" w14:textId="2173FA48" w:rsidR="00F862D2" w:rsidRPr="00D3036A" w:rsidRDefault="00F862D2" w:rsidP="00F862D2">
            <w:pPr>
              <w:rPr>
                <w:rFonts w:ascii="Arial" w:hAnsi="Arial" w:cs="Arial"/>
                <w:b w:val="0"/>
                <w:sz w:val="16"/>
                <w:szCs w:val="16"/>
              </w:rPr>
            </w:pPr>
            <w:r w:rsidRPr="00D3036A">
              <w:rPr>
                <w:rFonts w:ascii="Arial" w:hAnsi="Arial" w:cs="Arial"/>
                <w:b w:val="0"/>
                <w:sz w:val="16"/>
                <w:szCs w:val="16"/>
              </w:rPr>
              <w:t>0.833</w:t>
            </w:r>
          </w:p>
        </w:tc>
        <w:tc>
          <w:tcPr>
            <w:tcW w:w="0" w:type="auto"/>
            <w:noWrap/>
            <w:hideMark/>
          </w:tcPr>
          <w:p w14:paraId="0DD00278" w14:textId="79555CE4" w:rsidR="00F862D2" w:rsidRPr="00F862D2" w:rsidRDefault="00F862D2" w:rsidP="00F862D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D3036A">
              <w:rPr>
                <w:rFonts w:ascii="Arial" w:hAnsi="Arial" w:cs="Arial"/>
                <w:sz w:val="16"/>
                <w:szCs w:val="16"/>
              </w:rPr>
              <w:t>0.750</w:t>
            </w:r>
          </w:p>
        </w:tc>
        <w:tc>
          <w:tcPr>
            <w:tcW w:w="0" w:type="auto"/>
            <w:noWrap/>
            <w:hideMark/>
          </w:tcPr>
          <w:p w14:paraId="7FFB689E" w14:textId="5AD994A2" w:rsidR="00F862D2" w:rsidRPr="00F862D2" w:rsidRDefault="00F862D2" w:rsidP="00F862D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D3036A">
              <w:rPr>
                <w:rFonts w:ascii="Arial" w:hAnsi="Arial" w:cs="Arial"/>
                <w:sz w:val="16"/>
                <w:szCs w:val="16"/>
              </w:rPr>
              <w:t>322</w:t>
            </w:r>
          </w:p>
        </w:tc>
      </w:tr>
      <w:tr w:rsidR="00F862D2" w:rsidRPr="004A0E44" w14:paraId="32624B1F" w14:textId="77777777" w:rsidTr="00D3036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noWrap/>
            <w:hideMark/>
          </w:tcPr>
          <w:p w14:paraId="1793DAAA" w14:textId="6827E3CA" w:rsidR="00F862D2" w:rsidRPr="00D3036A" w:rsidRDefault="00F862D2" w:rsidP="00F862D2">
            <w:pPr>
              <w:rPr>
                <w:rFonts w:ascii="Arial" w:hAnsi="Arial" w:cs="Arial"/>
                <w:b w:val="0"/>
                <w:sz w:val="16"/>
                <w:szCs w:val="16"/>
              </w:rPr>
            </w:pPr>
            <w:r w:rsidRPr="00D3036A">
              <w:rPr>
                <w:rFonts w:ascii="Arial" w:hAnsi="Arial" w:cs="Arial"/>
                <w:b w:val="0"/>
                <w:sz w:val="16"/>
                <w:szCs w:val="16"/>
              </w:rPr>
              <w:t>0.833</w:t>
            </w:r>
          </w:p>
        </w:tc>
        <w:tc>
          <w:tcPr>
            <w:tcW w:w="0" w:type="auto"/>
            <w:noWrap/>
            <w:hideMark/>
          </w:tcPr>
          <w:p w14:paraId="1E3877D0" w14:textId="5D5AAD86" w:rsidR="00F862D2" w:rsidRPr="00F862D2" w:rsidRDefault="00F862D2" w:rsidP="00F862D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D3036A">
              <w:rPr>
                <w:rFonts w:ascii="Arial" w:hAnsi="Arial" w:cs="Arial"/>
                <w:sz w:val="16"/>
                <w:szCs w:val="16"/>
              </w:rPr>
              <w:t>0.797</w:t>
            </w:r>
          </w:p>
        </w:tc>
        <w:tc>
          <w:tcPr>
            <w:tcW w:w="0" w:type="auto"/>
            <w:noWrap/>
            <w:hideMark/>
          </w:tcPr>
          <w:p w14:paraId="7759280C" w14:textId="7ABFD228" w:rsidR="00F862D2" w:rsidRPr="00F862D2" w:rsidRDefault="00F862D2" w:rsidP="00F862D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D3036A">
              <w:rPr>
                <w:rFonts w:ascii="Arial" w:hAnsi="Arial" w:cs="Arial"/>
                <w:sz w:val="16"/>
                <w:szCs w:val="16"/>
              </w:rPr>
              <w:t>323</w:t>
            </w:r>
          </w:p>
        </w:tc>
      </w:tr>
      <w:tr w:rsidR="00F862D2" w:rsidRPr="004A0E44" w14:paraId="6CC397F8" w14:textId="77777777" w:rsidTr="00D3036A">
        <w:trPr>
          <w:trHeight w:val="144"/>
        </w:trPr>
        <w:tc>
          <w:tcPr>
            <w:cnfStyle w:val="001000000000" w:firstRow="0" w:lastRow="0" w:firstColumn="1" w:lastColumn="0" w:oddVBand="0" w:evenVBand="0" w:oddHBand="0" w:evenHBand="0" w:firstRowFirstColumn="0" w:firstRowLastColumn="0" w:lastRowFirstColumn="0" w:lastRowLastColumn="0"/>
            <w:tcW w:w="0" w:type="auto"/>
            <w:noWrap/>
            <w:hideMark/>
          </w:tcPr>
          <w:p w14:paraId="7FE8BA5A" w14:textId="2BEE38A0" w:rsidR="00F862D2" w:rsidRPr="00D3036A" w:rsidRDefault="00F862D2" w:rsidP="00F862D2">
            <w:pPr>
              <w:rPr>
                <w:rFonts w:ascii="Arial" w:hAnsi="Arial" w:cs="Arial"/>
                <w:b w:val="0"/>
                <w:sz w:val="16"/>
                <w:szCs w:val="16"/>
              </w:rPr>
            </w:pPr>
            <w:r w:rsidRPr="00D3036A">
              <w:rPr>
                <w:rFonts w:ascii="Arial" w:hAnsi="Arial" w:cs="Arial"/>
                <w:b w:val="0"/>
                <w:sz w:val="16"/>
                <w:szCs w:val="16"/>
              </w:rPr>
              <w:t>0.833</w:t>
            </w:r>
          </w:p>
        </w:tc>
        <w:tc>
          <w:tcPr>
            <w:tcW w:w="0" w:type="auto"/>
            <w:noWrap/>
            <w:hideMark/>
          </w:tcPr>
          <w:p w14:paraId="1E420396" w14:textId="6CFF21C5" w:rsidR="00F862D2" w:rsidRPr="00F862D2" w:rsidRDefault="00F862D2" w:rsidP="00F862D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D3036A">
              <w:rPr>
                <w:rFonts w:ascii="Arial" w:hAnsi="Arial" w:cs="Arial"/>
                <w:sz w:val="16"/>
                <w:szCs w:val="16"/>
              </w:rPr>
              <w:t>0.844</w:t>
            </w:r>
          </w:p>
        </w:tc>
        <w:tc>
          <w:tcPr>
            <w:tcW w:w="0" w:type="auto"/>
            <w:noWrap/>
            <w:hideMark/>
          </w:tcPr>
          <w:p w14:paraId="659052C1" w14:textId="12BF85FE" w:rsidR="00F862D2" w:rsidRPr="00F862D2" w:rsidRDefault="00F862D2" w:rsidP="00F862D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D3036A">
              <w:rPr>
                <w:rFonts w:ascii="Arial" w:hAnsi="Arial" w:cs="Arial"/>
                <w:sz w:val="16"/>
                <w:szCs w:val="16"/>
              </w:rPr>
              <w:t>325</w:t>
            </w:r>
          </w:p>
        </w:tc>
      </w:tr>
      <w:tr w:rsidR="00F862D2" w:rsidRPr="004A0E44" w14:paraId="26E86F47" w14:textId="77777777" w:rsidTr="00D3036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noWrap/>
            <w:hideMark/>
          </w:tcPr>
          <w:p w14:paraId="26A9E77A" w14:textId="58842BD3" w:rsidR="00F862D2" w:rsidRPr="00D3036A" w:rsidRDefault="00F862D2" w:rsidP="00F862D2">
            <w:pPr>
              <w:rPr>
                <w:rFonts w:ascii="Arial" w:hAnsi="Arial" w:cs="Arial"/>
                <w:b w:val="0"/>
                <w:sz w:val="16"/>
                <w:szCs w:val="16"/>
              </w:rPr>
            </w:pPr>
            <w:r w:rsidRPr="00D3036A">
              <w:rPr>
                <w:rFonts w:ascii="Arial" w:hAnsi="Arial" w:cs="Arial"/>
                <w:b w:val="0"/>
                <w:sz w:val="16"/>
                <w:szCs w:val="16"/>
              </w:rPr>
              <w:t>0.833</w:t>
            </w:r>
          </w:p>
        </w:tc>
        <w:tc>
          <w:tcPr>
            <w:tcW w:w="0" w:type="auto"/>
            <w:noWrap/>
            <w:hideMark/>
          </w:tcPr>
          <w:p w14:paraId="5F21F9D4" w14:textId="61923396" w:rsidR="00F862D2" w:rsidRPr="00F862D2" w:rsidRDefault="00F862D2" w:rsidP="00F862D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D3036A">
              <w:rPr>
                <w:rFonts w:ascii="Arial" w:hAnsi="Arial" w:cs="Arial"/>
                <w:sz w:val="16"/>
                <w:szCs w:val="16"/>
              </w:rPr>
              <w:t>0.891</w:t>
            </w:r>
          </w:p>
        </w:tc>
        <w:tc>
          <w:tcPr>
            <w:tcW w:w="0" w:type="auto"/>
            <w:noWrap/>
            <w:hideMark/>
          </w:tcPr>
          <w:p w14:paraId="357A10EF" w14:textId="40D1FDF3" w:rsidR="00F862D2" w:rsidRPr="00F862D2" w:rsidRDefault="00F862D2" w:rsidP="00F862D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D3036A">
              <w:rPr>
                <w:rFonts w:ascii="Arial" w:hAnsi="Arial" w:cs="Arial"/>
                <w:sz w:val="16"/>
                <w:szCs w:val="16"/>
              </w:rPr>
              <w:t>326</w:t>
            </w:r>
          </w:p>
        </w:tc>
      </w:tr>
      <w:tr w:rsidR="00F862D2" w:rsidRPr="004A0E44" w14:paraId="183AF967" w14:textId="77777777" w:rsidTr="00D3036A">
        <w:trPr>
          <w:trHeight w:val="144"/>
        </w:trPr>
        <w:tc>
          <w:tcPr>
            <w:cnfStyle w:val="001000000000" w:firstRow="0" w:lastRow="0" w:firstColumn="1" w:lastColumn="0" w:oddVBand="0" w:evenVBand="0" w:oddHBand="0" w:evenHBand="0" w:firstRowFirstColumn="0" w:firstRowLastColumn="0" w:lastRowFirstColumn="0" w:lastRowLastColumn="0"/>
            <w:tcW w:w="0" w:type="auto"/>
            <w:noWrap/>
            <w:hideMark/>
          </w:tcPr>
          <w:p w14:paraId="3E01B116" w14:textId="530821CD" w:rsidR="00F862D2" w:rsidRPr="00D3036A" w:rsidRDefault="00F862D2" w:rsidP="00F862D2">
            <w:pPr>
              <w:rPr>
                <w:rFonts w:ascii="Arial" w:hAnsi="Arial" w:cs="Arial"/>
                <w:b w:val="0"/>
                <w:sz w:val="16"/>
                <w:szCs w:val="16"/>
              </w:rPr>
            </w:pPr>
            <w:r w:rsidRPr="00D3036A">
              <w:rPr>
                <w:rFonts w:ascii="Arial" w:hAnsi="Arial" w:cs="Arial"/>
                <w:b w:val="0"/>
                <w:sz w:val="16"/>
                <w:szCs w:val="16"/>
              </w:rPr>
              <w:t>0.833</w:t>
            </w:r>
          </w:p>
        </w:tc>
        <w:tc>
          <w:tcPr>
            <w:tcW w:w="0" w:type="auto"/>
            <w:noWrap/>
            <w:hideMark/>
          </w:tcPr>
          <w:p w14:paraId="61F37EF8" w14:textId="7A059D18" w:rsidR="00F862D2" w:rsidRPr="00F862D2" w:rsidRDefault="00F862D2" w:rsidP="00F862D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D3036A">
              <w:rPr>
                <w:rFonts w:ascii="Arial" w:hAnsi="Arial" w:cs="Arial"/>
                <w:sz w:val="16"/>
                <w:szCs w:val="16"/>
              </w:rPr>
              <w:t>0.906</w:t>
            </w:r>
          </w:p>
        </w:tc>
        <w:tc>
          <w:tcPr>
            <w:tcW w:w="0" w:type="auto"/>
            <w:noWrap/>
            <w:hideMark/>
          </w:tcPr>
          <w:p w14:paraId="555AD219" w14:textId="4468A9F0" w:rsidR="00F862D2" w:rsidRPr="00F862D2" w:rsidRDefault="00F862D2" w:rsidP="00F862D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D3036A">
              <w:rPr>
                <w:rFonts w:ascii="Arial" w:hAnsi="Arial" w:cs="Arial"/>
                <w:sz w:val="16"/>
                <w:szCs w:val="16"/>
              </w:rPr>
              <w:t>327</w:t>
            </w:r>
          </w:p>
        </w:tc>
      </w:tr>
      <w:tr w:rsidR="00F862D2" w:rsidRPr="004A0E44" w14:paraId="51B0E811" w14:textId="77777777" w:rsidTr="00D3036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noWrap/>
            <w:hideMark/>
          </w:tcPr>
          <w:p w14:paraId="297EA29C" w14:textId="7E4C3EB7" w:rsidR="00F862D2" w:rsidRPr="00D3036A" w:rsidRDefault="00F862D2" w:rsidP="00F862D2">
            <w:pPr>
              <w:rPr>
                <w:rFonts w:ascii="Arial" w:hAnsi="Arial" w:cs="Arial"/>
                <w:b w:val="0"/>
                <w:sz w:val="16"/>
                <w:szCs w:val="16"/>
              </w:rPr>
            </w:pPr>
            <w:r w:rsidRPr="00D3036A">
              <w:rPr>
                <w:rFonts w:ascii="Arial" w:hAnsi="Arial" w:cs="Arial"/>
                <w:b w:val="0"/>
                <w:sz w:val="16"/>
                <w:szCs w:val="16"/>
              </w:rPr>
              <w:t>0.833</w:t>
            </w:r>
          </w:p>
        </w:tc>
        <w:tc>
          <w:tcPr>
            <w:tcW w:w="0" w:type="auto"/>
            <w:noWrap/>
            <w:hideMark/>
          </w:tcPr>
          <w:p w14:paraId="7A310B5E" w14:textId="4E0EED36" w:rsidR="00F862D2" w:rsidRPr="00F862D2" w:rsidRDefault="00F862D2" w:rsidP="00F862D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D3036A">
              <w:rPr>
                <w:rFonts w:ascii="Arial" w:hAnsi="Arial" w:cs="Arial"/>
                <w:sz w:val="16"/>
                <w:szCs w:val="16"/>
              </w:rPr>
              <w:t>0.922</w:t>
            </w:r>
          </w:p>
        </w:tc>
        <w:tc>
          <w:tcPr>
            <w:tcW w:w="0" w:type="auto"/>
            <w:noWrap/>
            <w:hideMark/>
          </w:tcPr>
          <w:p w14:paraId="468E070A" w14:textId="2DAF1ED7" w:rsidR="00F862D2" w:rsidRPr="00F862D2" w:rsidRDefault="00F862D2" w:rsidP="00F862D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D3036A">
              <w:rPr>
                <w:rFonts w:ascii="Arial" w:hAnsi="Arial" w:cs="Arial"/>
                <w:sz w:val="16"/>
                <w:szCs w:val="16"/>
              </w:rPr>
              <w:t>328</w:t>
            </w:r>
          </w:p>
        </w:tc>
      </w:tr>
      <w:tr w:rsidR="00F862D2" w:rsidRPr="004A0E44" w14:paraId="5F73E631" w14:textId="77777777" w:rsidTr="00D3036A">
        <w:trPr>
          <w:trHeight w:val="144"/>
        </w:trPr>
        <w:tc>
          <w:tcPr>
            <w:cnfStyle w:val="001000000000" w:firstRow="0" w:lastRow="0" w:firstColumn="1" w:lastColumn="0" w:oddVBand="0" w:evenVBand="0" w:oddHBand="0" w:evenHBand="0" w:firstRowFirstColumn="0" w:firstRowLastColumn="0" w:lastRowFirstColumn="0" w:lastRowLastColumn="0"/>
            <w:tcW w:w="0" w:type="auto"/>
            <w:noWrap/>
            <w:hideMark/>
          </w:tcPr>
          <w:p w14:paraId="0AC3C16D" w14:textId="323ED900" w:rsidR="00F862D2" w:rsidRPr="00D3036A" w:rsidRDefault="00F862D2" w:rsidP="00F862D2">
            <w:pPr>
              <w:rPr>
                <w:rFonts w:ascii="Arial" w:hAnsi="Arial" w:cs="Arial"/>
                <w:b w:val="0"/>
                <w:sz w:val="16"/>
                <w:szCs w:val="16"/>
              </w:rPr>
            </w:pPr>
            <w:r w:rsidRPr="00D3036A">
              <w:rPr>
                <w:rFonts w:ascii="Arial" w:hAnsi="Arial" w:cs="Arial"/>
                <w:b w:val="0"/>
                <w:sz w:val="16"/>
                <w:szCs w:val="16"/>
              </w:rPr>
              <w:t>0.806</w:t>
            </w:r>
          </w:p>
        </w:tc>
        <w:tc>
          <w:tcPr>
            <w:tcW w:w="0" w:type="auto"/>
            <w:noWrap/>
            <w:hideMark/>
          </w:tcPr>
          <w:p w14:paraId="12E01FA2" w14:textId="3017A600" w:rsidR="00F862D2" w:rsidRPr="00F862D2" w:rsidRDefault="00F862D2" w:rsidP="00F862D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D3036A">
              <w:rPr>
                <w:rFonts w:ascii="Arial" w:hAnsi="Arial" w:cs="Arial"/>
                <w:sz w:val="16"/>
                <w:szCs w:val="16"/>
              </w:rPr>
              <w:t>0.938</w:t>
            </w:r>
          </w:p>
        </w:tc>
        <w:tc>
          <w:tcPr>
            <w:tcW w:w="0" w:type="auto"/>
            <w:noWrap/>
            <w:hideMark/>
          </w:tcPr>
          <w:p w14:paraId="3B2A43B2" w14:textId="16480F0A" w:rsidR="00F862D2" w:rsidRPr="00F862D2" w:rsidRDefault="00F862D2" w:rsidP="00F862D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D3036A">
              <w:rPr>
                <w:rFonts w:ascii="Arial" w:hAnsi="Arial" w:cs="Arial"/>
                <w:sz w:val="16"/>
                <w:szCs w:val="16"/>
              </w:rPr>
              <w:t>330</w:t>
            </w:r>
          </w:p>
        </w:tc>
      </w:tr>
      <w:tr w:rsidR="00F862D2" w:rsidRPr="004A0E44" w14:paraId="358F82B0" w14:textId="77777777" w:rsidTr="00D3036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noWrap/>
            <w:hideMark/>
          </w:tcPr>
          <w:p w14:paraId="7C52E088" w14:textId="6575BF95" w:rsidR="00F862D2" w:rsidRPr="00D3036A" w:rsidRDefault="00F862D2" w:rsidP="00F862D2">
            <w:pPr>
              <w:rPr>
                <w:rFonts w:ascii="Arial" w:hAnsi="Arial" w:cs="Arial"/>
                <w:b w:val="0"/>
                <w:sz w:val="16"/>
                <w:szCs w:val="16"/>
              </w:rPr>
            </w:pPr>
            <w:r w:rsidRPr="00D3036A">
              <w:rPr>
                <w:rFonts w:ascii="Arial" w:hAnsi="Arial" w:cs="Arial"/>
                <w:b w:val="0"/>
                <w:sz w:val="16"/>
                <w:szCs w:val="16"/>
              </w:rPr>
              <w:t>0.778</w:t>
            </w:r>
          </w:p>
        </w:tc>
        <w:tc>
          <w:tcPr>
            <w:tcW w:w="0" w:type="auto"/>
            <w:noWrap/>
            <w:hideMark/>
          </w:tcPr>
          <w:p w14:paraId="127CAF7B" w14:textId="7143A5DF" w:rsidR="00F862D2" w:rsidRPr="00F862D2" w:rsidRDefault="00F862D2" w:rsidP="00F862D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D3036A">
              <w:rPr>
                <w:rFonts w:ascii="Arial" w:hAnsi="Arial" w:cs="Arial"/>
                <w:sz w:val="16"/>
                <w:szCs w:val="16"/>
              </w:rPr>
              <w:t>0.953</w:t>
            </w:r>
          </w:p>
        </w:tc>
        <w:tc>
          <w:tcPr>
            <w:tcW w:w="0" w:type="auto"/>
            <w:noWrap/>
            <w:hideMark/>
          </w:tcPr>
          <w:p w14:paraId="5464AEB7" w14:textId="4B3F47AF" w:rsidR="00F862D2" w:rsidRPr="00F862D2" w:rsidRDefault="00F862D2" w:rsidP="00F862D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D3036A">
              <w:rPr>
                <w:rFonts w:ascii="Arial" w:hAnsi="Arial" w:cs="Arial"/>
                <w:sz w:val="16"/>
                <w:szCs w:val="16"/>
              </w:rPr>
              <w:t>332</w:t>
            </w:r>
          </w:p>
        </w:tc>
      </w:tr>
      <w:tr w:rsidR="00F862D2" w:rsidRPr="004A0E44" w14:paraId="2C254E02" w14:textId="77777777" w:rsidTr="00D3036A">
        <w:trPr>
          <w:trHeight w:val="144"/>
        </w:trPr>
        <w:tc>
          <w:tcPr>
            <w:cnfStyle w:val="001000000000" w:firstRow="0" w:lastRow="0" w:firstColumn="1" w:lastColumn="0" w:oddVBand="0" w:evenVBand="0" w:oddHBand="0" w:evenHBand="0" w:firstRowFirstColumn="0" w:firstRowLastColumn="0" w:lastRowFirstColumn="0" w:lastRowLastColumn="0"/>
            <w:tcW w:w="0" w:type="auto"/>
            <w:noWrap/>
            <w:hideMark/>
          </w:tcPr>
          <w:p w14:paraId="5D957C77" w14:textId="55ADDF29" w:rsidR="00F862D2" w:rsidRPr="00D3036A" w:rsidRDefault="00F862D2" w:rsidP="00F862D2">
            <w:pPr>
              <w:rPr>
                <w:rFonts w:ascii="Arial" w:hAnsi="Arial" w:cs="Arial"/>
                <w:b w:val="0"/>
                <w:sz w:val="16"/>
                <w:szCs w:val="16"/>
              </w:rPr>
            </w:pPr>
            <w:r w:rsidRPr="00D3036A">
              <w:rPr>
                <w:rFonts w:ascii="Arial" w:hAnsi="Arial" w:cs="Arial"/>
                <w:b w:val="0"/>
                <w:sz w:val="16"/>
                <w:szCs w:val="16"/>
              </w:rPr>
              <w:t>0.778</w:t>
            </w:r>
          </w:p>
        </w:tc>
        <w:tc>
          <w:tcPr>
            <w:tcW w:w="0" w:type="auto"/>
            <w:noWrap/>
            <w:hideMark/>
          </w:tcPr>
          <w:p w14:paraId="4AD4DBF6" w14:textId="0A5718E4" w:rsidR="00F862D2" w:rsidRPr="00F862D2" w:rsidRDefault="00F862D2" w:rsidP="00F862D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D3036A">
              <w:rPr>
                <w:rFonts w:ascii="Arial" w:hAnsi="Arial" w:cs="Arial"/>
                <w:sz w:val="16"/>
                <w:szCs w:val="16"/>
              </w:rPr>
              <w:t>0.984</w:t>
            </w:r>
          </w:p>
        </w:tc>
        <w:tc>
          <w:tcPr>
            <w:tcW w:w="0" w:type="auto"/>
            <w:noWrap/>
            <w:hideMark/>
          </w:tcPr>
          <w:p w14:paraId="63075A6F" w14:textId="4A629302" w:rsidR="00F862D2" w:rsidRPr="00F862D2" w:rsidRDefault="00F862D2" w:rsidP="00F862D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D3036A">
              <w:rPr>
                <w:rFonts w:ascii="Arial" w:hAnsi="Arial" w:cs="Arial"/>
                <w:sz w:val="16"/>
                <w:szCs w:val="16"/>
              </w:rPr>
              <w:t>343</w:t>
            </w:r>
          </w:p>
        </w:tc>
      </w:tr>
      <w:tr w:rsidR="00F862D2" w:rsidRPr="004A0E44" w14:paraId="6B8770CF" w14:textId="77777777" w:rsidTr="00D3036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noWrap/>
            <w:hideMark/>
          </w:tcPr>
          <w:p w14:paraId="2E2E7BF8" w14:textId="42AE85B3" w:rsidR="00F862D2" w:rsidRPr="00D3036A" w:rsidRDefault="00F862D2" w:rsidP="00F862D2">
            <w:pPr>
              <w:rPr>
                <w:rFonts w:ascii="Arial" w:hAnsi="Arial" w:cs="Arial"/>
                <w:b w:val="0"/>
                <w:sz w:val="16"/>
                <w:szCs w:val="16"/>
              </w:rPr>
            </w:pPr>
            <w:r w:rsidRPr="00D3036A">
              <w:rPr>
                <w:rFonts w:ascii="Arial" w:hAnsi="Arial" w:cs="Arial"/>
                <w:b w:val="0"/>
                <w:sz w:val="16"/>
                <w:szCs w:val="16"/>
              </w:rPr>
              <w:t>0.750</w:t>
            </w:r>
          </w:p>
        </w:tc>
        <w:tc>
          <w:tcPr>
            <w:tcW w:w="0" w:type="auto"/>
            <w:noWrap/>
            <w:hideMark/>
          </w:tcPr>
          <w:p w14:paraId="48569962" w14:textId="3C4BF2ED" w:rsidR="00F862D2" w:rsidRPr="00F862D2" w:rsidRDefault="00F862D2" w:rsidP="00F862D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D3036A">
              <w:rPr>
                <w:rFonts w:ascii="Arial" w:hAnsi="Arial" w:cs="Arial"/>
                <w:sz w:val="16"/>
                <w:szCs w:val="16"/>
              </w:rPr>
              <w:t>0.984</w:t>
            </w:r>
          </w:p>
        </w:tc>
        <w:tc>
          <w:tcPr>
            <w:tcW w:w="0" w:type="auto"/>
            <w:noWrap/>
            <w:hideMark/>
          </w:tcPr>
          <w:p w14:paraId="3D471899" w14:textId="48B35234" w:rsidR="00F862D2" w:rsidRPr="00F862D2" w:rsidRDefault="00F862D2" w:rsidP="00F862D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D3036A">
              <w:rPr>
                <w:rFonts w:ascii="Arial" w:hAnsi="Arial" w:cs="Arial"/>
                <w:sz w:val="16"/>
                <w:szCs w:val="16"/>
              </w:rPr>
              <w:t>393</w:t>
            </w:r>
          </w:p>
        </w:tc>
      </w:tr>
      <w:tr w:rsidR="00F862D2" w:rsidRPr="004A0E44" w14:paraId="137A26F6" w14:textId="77777777" w:rsidTr="00D3036A">
        <w:trPr>
          <w:trHeight w:val="144"/>
        </w:trPr>
        <w:tc>
          <w:tcPr>
            <w:cnfStyle w:val="001000000000" w:firstRow="0" w:lastRow="0" w:firstColumn="1" w:lastColumn="0" w:oddVBand="0" w:evenVBand="0" w:oddHBand="0" w:evenHBand="0" w:firstRowFirstColumn="0" w:firstRowLastColumn="0" w:lastRowFirstColumn="0" w:lastRowLastColumn="0"/>
            <w:tcW w:w="0" w:type="auto"/>
            <w:noWrap/>
            <w:hideMark/>
          </w:tcPr>
          <w:p w14:paraId="45FF9D20" w14:textId="22656225" w:rsidR="00F862D2" w:rsidRPr="00D3036A" w:rsidRDefault="00F862D2" w:rsidP="00F862D2">
            <w:pPr>
              <w:rPr>
                <w:rFonts w:ascii="Arial" w:hAnsi="Arial" w:cs="Arial"/>
                <w:b w:val="0"/>
                <w:sz w:val="16"/>
                <w:szCs w:val="16"/>
              </w:rPr>
            </w:pPr>
            <w:r w:rsidRPr="00D3036A">
              <w:rPr>
                <w:rFonts w:ascii="Arial" w:hAnsi="Arial" w:cs="Arial"/>
                <w:b w:val="0"/>
                <w:sz w:val="16"/>
                <w:szCs w:val="16"/>
              </w:rPr>
              <w:t>0.750</w:t>
            </w:r>
          </w:p>
        </w:tc>
        <w:tc>
          <w:tcPr>
            <w:tcW w:w="0" w:type="auto"/>
            <w:noWrap/>
            <w:hideMark/>
          </w:tcPr>
          <w:p w14:paraId="7A3BAC10" w14:textId="2672E356" w:rsidR="00F862D2" w:rsidRPr="00F862D2" w:rsidRDefault="00F862D2" w:rsidP="00F862D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D3036A">
              <w:rPr>
                <w:rFonts w:ascii="Arial" w:hAnsi="Arial" w:cs="Arial"/>
                <w:sz w:val="16"/>
                <w:szCs w:val="16"/>
              </w:rPr>
              <w:t>1.000</w:t>
            </w:r>
          </w:p>
        </w:tc>
        <w:tc>
          <w:tcPr>
            <w:tcW w:w="0" w:type="auto"/>
            <w:noWrap/>
            <w:hideMark/>
          </w:tcPr>
          <w:p w14:paraId="5E44E10A" w14:textId="20880F12" w:rsidR="00F862D2" w:rsidRPr="00F862D2" w:rsidRDefault="00F862D2" w:rsidP="00F862D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D3036A">
              <w:rPr>
                <w:rFonts w:ascii="Arial" w:hAnsi="Arial" w:cs="Arial"/>
                <w:sz w:val="16"/>
                <w:szCs w:val="16"/>
              </w:rPr>
              <w:t>474</w:t>
            </w:r>
          </w:p>
        </w:tc>
      </w:tr>
      <w:tr w:rsidR="00F862D2" w:rsidRPr="004A0E44" w14:paraId="3BE46BAA" w14:textId="77777777" w:rsidTr="00D3036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noWrap/>
            <w:hideMark/>
          </w:tcPr>
          <w:p w14:paraId="5035552D" w14:textId="1EB6DB31" w:rsidR="00F862D2" w:rsidRPr="00D3036A" w:rsidRDefault="00F862D2" w:rsidP="00F862D2">
            <w:pPr>
              <w:rPr>
                <w:rFonts w:ascii="Arial" w:hAnsi="Arial" w:cs="Arial"/>
                <w:b w:val="0"/>
                <w:sz w:val="16"/>
                <w:szCs w:val="16"/>
              </w:rPr>
            </w:pPr>
            <w:r w:rsidRPr="00D3036A">
              <w:rPr>
                <w:rFonts w:ascii="Arial" w:hAnsi="Arial" w:cs="Arial"/>
                <w:b w:val="0"/>
                <w:sz w:val="16"/>
                <w:szCs w:val="16"/>
              </w:rPr>
              <w:t>0.722</w:t>
            </w:r>
          </w:p>
        </w:tc>
        <w:tc>
          <w:tcPr>
            <w:tcW w:w="0" w:type="auto"/>
            <w:noWrap/>
            <w:hideMark/>
          </w:tcPr>
          <w:p w14:paraId="291186D3" w14:textId="68039C5F" w:rsidR="00F862D2" w:rsidRPr="00F862D2" w:rsidRDefault="00F862D2" w:rsidP="00F862D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D3036A">
              <w:rPr>
                <w:rFonts w:ascii="Arial" w:hAnsi="Arial" w:cs="Arial"/>
                <w:sz w:val="16"/>
                <w:szCs w:val="16"/>
              </w:rPr>
              <w:t>1.000</w:t>
            </w:r>
          </w:p>
        </w:tc>
        <w:tc>
          <w:tcPr>
            <w:tcW w:w="0" w:type="auto"/>
            <w:noWrap/>
            <w:hideMark/>
          </w:tcPr>
          <w:p w14:paraId="206E2093" w14:textId="6D92E3D7" w:rsidR="00F862D2" w:rsidRPr="00F862D2" w:rsidRDefault="00F862D2" w:rsidP="00F862D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D3036A">
              <w:rPr>
                <w:rFonts w:ascii="Arial" w:hAnsi="Arial" w:cs="Arial"/>
                <w:sz w:val="16"/>
                <w:szCs w:val="16"/>
              </w:rPr>
              <w:t>531</w:t>
            </w:r>
          </w:p>
        </w:tc>
      </w:tr>
      <w:tr w:rsidR="00F862D2" w:rsidRPr="004A0E44" w14:paraId="17AF7A0C" w14:textId="77777777" w:rsidTr="00D3036A">
        <w:trPr>
          <w:trHeight w:val="144"/>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7F7F7F" w:themeColor="text1" w:themeTint="80"/>
            </w:tcBorders>
            <w:noWrap/>
            <w:hideMark/>
          </w:tcPr>
          <w:p w14:paraId="45031E71" w14:textId="373BAE8F" w:rsidR="00F862D2" w:rsidRPr="00D3036A" w:rsidRDefault="00F862D2" w:rsidP="00F862D2">
            <w:pPr>
              <w:rPr>
                <w:rFonts w:ascii="Arial" w:hAnsi="Arial" w:cs="Arial"/>
                <w:b w:val="0"/>
                <w:sz w:val="16"/>
                <w:szCs w:val="16"/>
              </w:rPr>
            </w:pPr>
            <w:r w:rsidRPr="00D3036A">
              <w:rPr>
                <w:rFonts w:ascii="Arial" w:hAnsi="Arial" w:cs="Arial"/>
                <w:b w:val="0"/>
                <w:sz w:val="16"/>
                <w:szCs w:val="16"/>
              </w:rPr>
              <w:t>0.694</w:t>
            </w:r>
          </w:p>
        </w:tc>
        <w:tc>
          <w:tcPr>
            <w:tcW w:w="0" w:type="auto"/>
            <w:tcBorders>
              <w:bottom w:val="single" w:sz="4" w:space="0" w:color="7F7F7F" w:themeColor="text1" w:themeTint="80"/>
            </w:tcBorders>
            <w:noWrap/>
            <w:hideMark/>
          </w:tcPr>
          <w:p w14:paraId="23B3AC0B" w14:textId="07A47CBE" w:rsidR="00F862D2" w:rsidRPr="00F862D2" w:rsidRDefault="00F862D2" w:rsidP="00F862D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D3036A">
              <w:rPr>
                <w:rFonts w:ascii="Arial" w:hAnsi="Arial" w:cs="Arial"/>
                <w:sz w:val="16"/>
                <w:szCs w:val="16"/>
              </w:rPr>
              <w:t>1.000</w:t>
            </w:r>
          </w:p>
        </w:tc>
        <w:tc>
          <w:tcPr>
            <w:tcW w:w="0" w:type="auto"/>
            <w:tcBorders>
              <w:bottom w:val="single" w:sz="4" w:space="0" w:color="7F7F7F" w:themeColor="text1" w:themeTint="80"/>
            </w:tcBorders>
            <w:noWrap/>
            <w:hideMark/>
          </w:tcPr>
          <w:p w14:paraId="3EDBF76A" w14:textId="4C5241DD" w:rsidR="00F862D2" w:rsidRPr="00F862D2" w:rsidRDefault="00F862D2" w:rsidP="00F862D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D3036A">
              <w:rPr>
                <w:rFonts w:ascii="Arial" w:hAnsi="Arial" w:cs="Arial"/>
                <w:sz w:val="16"/>
                <w:szCs w:val="16"/>
              </w:rPr>
              <w:t>570</w:t>
            </w:r>
          </w:p>
        </w:tc>
      </w:tr>
      <w:tr w:rsidR="00687C15" w:rsidRPr="004A0E44" w14:paraId="65D71054" w14:textId="77777777" w:rsidTr="00D3036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nil"/>
            </w:tcBorders>
            <w:noWrap/>
            <w:vAlign w:val="bottom"/>
          </w:tcPr>
          <w:p w14:paraId="446674E5" w14:textId="77777777" w:rsidR="00687C15" w:rsidRPr="00687C15" w:rsidRDefault="00687C15" w:rsidP="007C46D3">
            <w:pPr>
              <w:rPr>
                <w:rFonts w:ascii="Arial" w:hAnsi="Arial" w:cs="Arial"/>
                <w:b w:val="0"/>
                <w:sz w:val="16"/>
                <w:szCs w:val="16"/>
              </w:rPr>
            </w:pPr>
            <w:r w:rsidRPr="00687C15">
              <w:rPr>
                <w:rFonts w:ascii="Arial" w:hAnsi="Arial" w:cs="Arial"/>
                <w:b w:val="0"/>
                <w:sz w:val="16"/>
                <w:szCs w:val="16"/>
              </w:rPr>
              <w:t>*Cases defined as pools containing one or more positive samples by individual testing; controls defined as pools containing only samples negative by individual testing. Ten pools containing more than one positive sample were excluded from analysis.</w:t>
            </w:r>
          </w:p>
          <w:p w14:paraId="147BA0DE" w14:textId="77777777" w:rsidR="00687C15" w:rsidRPr="00687C15" w:rsidRDefault="00687C15" w:rsidP="007C46D3">
            <w:pPr>
              <w:jc w:val="center"/>
              <w:rPr>
                <w:rFonts w:ascii="Arial" w:hAnsi="Arial" w:cs="Arial"/>
                <w:b w:val="0"/>
                <w:color w:val="000000"/>
                <w:sz w:val="16"/>
                <w:szCs w:val="16"/>
              </w:rPr>
            </w:pPr>
          </w:p>
        </w:tc>
      </w:tr>
    </w:tbl>
    <w:p w14:paraId="284BE3A1" w14:textId="77777777" w:rsidR="00FE26B8" w:rsidRDefault="00FE26B8">
      <w:pPr>
        <w:rPr>
          <w:rFonts w:ascii="Arial" w:hAnsi="Arial" w:cs="Arial"/>
          <w:bCs/>
          <w:sz w:val="20"/>
          <w:szCs w:val="20"/>
        </w:rPr>
      </w:pPr>
    </w:p>
    <w:p w14:paraId="781BDFDD" w14:textId="77777777" w:rsidR="00FE26B8" w:rsidRDefault="00FE26B8">
      <w:pPr>
        <w:rPr>
          <w:rFonts w:ascii="Arial" w:hAnsi="Arial" w:cs="Arial"/>
          <w:bCs/>
          <w:sz w:val="20"/>
          <w:szCs w:val="20"/>
        </w:rPr>
      </w:pPr>
      <w:r>
        <w:rPr>
          <w:rFonts w:ascii="Arial" w:hAnsi="Arial" w:cs="Arial"/>
          <w:bCs/>
          <w:sz w:val="20"/>
          <w:szCs w:val="20"/>
        </w:rPr>
        <w:br w:type="page"/>
      </w:r>
    </w:p>
    <w:p w14:paraId="51D30044" w14:textId="7B0DC665" w:rsidR="00FE26B8" w:rsidRPr="00D3036A" w:rsidRDefault="00FE26B8" w:rsidP="00D3036A">
      <w:pPr>
        <w:spacing w:line="480" w:lineRule="auto"/>
        <w:rPr>
          <w:rFonts w:eastAsia="Arial"/>
        </w:rPr>
      </w:pPr>
      <w:r w:rsidRPr="00B1770D">
        <w:rPr>
          <w:b/>
          <w:bCs/>
        </w:rPr>
        <w:lastRenderedPageBreak/>
        <w:t xml:space="preserve">Appendix Table </w:t>
      </w:r>
      <w:r>
        <w:rPr>
          <w:b/>
          <w:bCs/>
        </w:rPr>
        <w:t>2</w:t>
      </w:r>
      <w:r w:rsidRPr="00B1770D">
        <w:rPr>
          <w:b/>
          <w:bCs/>
        </w:rPr>
        <w:t>.</w:t>
      </w:r>
      <w:r>
        <w:t xml:space="preserve"> </w:t>
      </w:r>
      <w:r w:rsidR="00200BFB">
        <w:rPr>
          <w:rFonts w:eastAsia="Arial"/>
        </w:rPr>
        <w:t>Results of 4-sample pooled testing, by testing platform and number of positive specimens per pool (n=192)</w:t>
      </w:r>
    </w:p>
    <w:tbl>
      <w:tblPr>
        <w:tblStyle w:val="PlainTable21"/>
        <w:tblW w:w="0" w:type="auto"/>
        <w:tblInd w:w="-72" w:type="dxa"/>
        <w:tblLayout w:type="fixed"/>
        <w:tblLook w:val="06A0" w:firstRow="1" w:lastRow="0" w:firstColumn="1" w:lastColumn="0" w:noHBand="1" w:noVBand="1"/>
      </w:tblPr>
      <w:tblGrid>
        <w:gridCol w:w="1620"/>
        <w:gridCol w:w="720"/>
        <w:gridCol w:w="1080"/>
        <w:gridCol w:w="990"/>
        <w:gridCol w:w="1080"/>
        <w:gridCol w:w="2250"/>
        <w:gridCol w:w="990"/>
        <w:gridCol w:w="1494"/>
      </w:tblGrid>
      <w:tr w:rsidR="00237055" w:rsidRPr="003C658F" w14:paraId="61165E4B" w14:textId="45EA1B03" w:rsidTr="00D3036A">
        <w:trPr>
          <w:cnfStyle w:val="100000000000" w:firstRow="1" w:lastRow="0" w:firstColumn="0" w:lastColumn="0" w:oddVBand="0" w:evenVBand="0" w:oddHBand="0"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1620" w:type="dxa"/>
            <w:tcBorders>
              <w:bottom w:val="single" w:sz="4" w:space="0" w:color="auto"/>
            </w:tcBorders>
          </w:tcPr>
          <w:p w14:paraId="648DE80B" w14:textId="77777777" w:rsidR="00237055" w:rsidRPr="003C658F" w:rsidRDefault="00237055" w:rsidP="00014075">
            <w:pPr>
              <w:jc w:val="center"/>
              <w:rPr>
                <w:rFonts w:ascii="Arial" w:eastAsia="Arial" w:hAnsi="Arial" w:cs="Arial"/>
                <w:sz w:val="16"/>
                <w:szCs w:val="16"/>
              </w:rPr>
            </w:pPr>
          </w:p>
        </w:tc>
        <w:tc>
          <w:tcPr>
            <w:tcW w:w="3870" w:type="dxa"/>
            <w:gridSpan w:val="4"/>
            <w:tcBorders>
              <w:bottom w:val="single" w:sz="4" w:space="0" w:color="auto"/>
            </w:tcBorders>
            <w:vAlign w:val="center"/>
          </w:tcPr>
          <w:p w14:paraId="5CE28DF1" w14:textId="4BA3C373" w:rsidR="00237055" w:rsidRPr="003C658F" w:rsidRDefault="00237055" w:rsidP="00014075">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val="0"/>
                <w:sz w:val="16"/>
                <w:szCs w:val="16"/>
              </w:rPr>
            </w:pPr>
            <w:r w:rsidRPr="003C658F">
              <w:rPr>
                <w:rFonts w:ascii="Arial" w:eastAsia="Arial" w:hAnsi="Arial" w:cs="Arial"/>
                <w:b w:val="0"/>
                <w:sz w:val="16"/>
                <w:szCs w:val="16"/>
              </w:rPr>
              <w:t>Pooled Testing</w:t>
            </w:r>
          </w:p>
        </w:tc>
        <w:tc>
          <w:tcPr>
            <w:tcW w:w="3240" w:type="dxa"/>
            <w:gridSpan w:val="2"/>
            <w:tcBorders>
              <w:bottom w:val="single" w:sz="4" w:space="0" w:color="auto"/>
            </w:tcBorders>
            <w:vAlign w:val="center"/>
          </w:tcPr>
          <w:p w14:paraId="23DC9A40" w14:textId="77777777" w:rsidR="00237055" w:rsidRPr="003C658F" w:rsidRDefault="00237055" w:rsidP="00014075">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val="0"/>
                <w:sz w:val="16"/>
                <w:szCs w:val="16"/>
              </w:rPr>
            </w:pPr>
            <w:r w:rsidRPr="003C658F">
              <w:rPr>
                <w:rFonts w:ascii="Arial" w:eastAsia="Arial" w:hAnsi="Arial" w:cs="Arial"/>
                <w:b w:val="0"/>
                <w:bCs w:val="0"/>
                <w:sz w:val="16"/>
                <w:szCs w:val="16"/>
              </w:rPr>
              <w:t>Individual Testing</w:t>
            </w:r>
          </w:p>
        </w:tc>
        <w:tc>
          <w:tcPr>
            <w:tcW w:w="1494" w:type="dxa"/>
            <w:tcBorders>
              <w:bottom w:val="single" w:sz="4" w:space="0" w:color="auto"/>
            </w:tcBorders>
            <w:vAlign w:val="center"/>
          </w:tcPr>
          <w:p w14:paraId="411B1124" w14:textId="4EE4C688" w:rsidR="00237055" w:rsidRPr="00037F13" w:rsidRDefault="00237055" w:rsidP="009A194E">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sz w:val="16"/>
                <w:szCs w:val="16"/>
              </w:rPr>
            </w:pPr>
            <w:r w:rsidRPr="00D3036A">
              <w:rPr>
                <w:rFonts w:ascii="Arial" w:eastAsia="Arial" w:hAnsi="Arial" w:cs="Arial"/>
                <w:sz w:val="16"/>
                <w:szCs w:val="16"/>
              </w:rPr>
              <w:t>Total no. pools</w:t>
            </w:r>
          </w:p>
        </w:tc>
      </w:tr>
      <w:tr w:rsidR="003B6842" w:rsidRPr="003C658F" w14:paraId="1C2C407C" w14:textId="466D5DC1" w:rsidTr="003B6842">
        <w:trPr>
          <w:trHeight w:val="494"/>
        </w:trPr>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bottom w:val="single" w:sz="4" w:space="0" w:color="auto"/>
            </w:tcBorders>
          </w:tcPr>
          <w:p w14:paraId="6A0EBF99" w14:textId="77777777" w:rsidR="00237055" w:rsidRPr="003C658F" w:rsidRDefault="00237055" w:rsidP="00237055">
            <w:pPr>
              <w:jc w:val="center"/>
              <w:rPr>
                <w:rFonts w:ascii="Arial" w:eastAsia="Arial" w:hAnsi="Arial" w:cs="Arial"/>
                <w:sz w:val="16"/>
                <w:szCs w:val="16"/>
              </w:rPr>
            </w:pPr>
          </w:p>
        </w:tc>
        <w:tc>
          <w:tcPr>
            <w:tcW w:w="720" w:type="dxa"/>
            <w:tcBorders>
              <w:top w:val="single" w:sz="4" w:space="0" w:color="auto"/>
              <w:bottom w:val="single" w:sz="4" w:space="0" w:color="auto"/>
            </w:tcBorders>
            <w:vAlign w:val="center"/>
          </w:tcPr>
          <w:p w14:paraId="322C434E" w14:textId="330BE2F6"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sz w:val="16"/>
                <w:szCs w:val="16"/>
              </w:rPr>
            </w:pPr>
            <w:r w:rsidRPr="003C658F">
              <w:rPr>
                <w:rFonts w:ascii="Arial" w:eastAsia="Arial" w:hAnsi="Arial" w:cs="Arial"/>
                <w:sz w:val="16"/>
                <w:szCs w:val="16"/>
              </w:rPr>
              <w:t>LDT</w:t>
            </w:r>
          </w:p>
        </w:tc>
        <w:tc>
          <w:tcPr>
            <w:tcW w:w="1080" w:type="dxa"/>
            <w:tcBorders>
              <w:top w:val="single" w:sz="4" w:space="0" w:color="auto"/>
              <w:bottom w:val="single" w:sz="4" w:space="0" w:color="auto"/>
            </w:tcBorders>
            <w:vAlign w:val="center"/>
          </w:tcPr>
          <w:p w14:paraId="671EDBEE"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3C658F">
              <w:rPr>
                <w:rFonts w:ascii="Arial" w:eastAsia="Arial" w:hAnsi="Arial" w:cs="Arial"/>
                <w:sz w:val="16"/>
                <w:szCs w:val="16"/>
              </w:rPr>
              <w:t>Panther Fusion</w:t>
            </w:r>
          </w:p>
        </w:tc>
        <w:tc>
          <w:tcPr>
            <w:tcW w:w="990" w:type="dxa"/>
            <w:tcBorders>
              <w:top w:val="single" w:sz="4" w:space="0" w:color="auto"/>
              <w:bottom w:val="single" w:sz="4" w:space="0" w:color="auto"/>
            </w:tcBorders>
            <w:vAlign w:val="center"/>
          </w:tcPr>
          <w:p w14:paraId="25E81613"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3C658F">
              <w:rPr>
                <w:rFonts w:ascii="Arial" w:eastAsia="Arial" w:hAnsi="Arial" w:cs="Arial"/>
                <w:sz w:val="16"/>
                <w:szCs w:val="16"/>
              </w:rPr>
              <w:t>Panther Aptima-M</w:t>
            </w:r>
          </w:p>
        </w:tc>
        <w:tc>
          <w:tcPr>
            <w:tcW w:w="1080" w:type="dxa"/>
            <w:tcBorders>
              <w:top w:val="single" w:sz="4" w:space="0" w:color="auto"/>
              <w:bottom w:val="single" w:sz="4" w:space="0" w:color="auto"/>
            </w:tcBorders>
            <w:vAlign w:val="center"/>
          </w:tcPr>
          <w:p w14:paraId="53A39DDC"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3C658F">
              <w:rPr>
                <w:rFonts w:ascii="Arial" w:eastAsia="Arial" w:hAnsi="Arial" w:cs="Arial"/>
                <w:sz w:val="16"/>
                <w:szCs w:val="16"/>
              </w:rPr>
              <w:t>Panther Aptima-350</w:t>
            </w:r>
          </w:p>
        </w:tc>
        <w:tc>
          <w:tcPr>
            <w:tcW w:w="2250" w:type="dxa"/>
            <w:tcBorders>
              <w:top w:val="single" w:sz="4" w:space="0" w:color="auto"/>
              <w:bottom w:val="single" w:sz="4" w:space="0" w:color="auto"/>
            </w:tcBorders>
            <w:vAlign w:val="center"/>
          </w:tcPr>
          <w:p w14:paraId="61485B9B"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3C658F">
              <w:rPr>
                <w:rFonts w:ascii="Arial" w:eastAsia="Arial" w:hAnsi="Arial" w:cs="Arial"/>
                <w:bCs/>
                <w:sz w:val="16"/>
                <w:szCs w:val="16"/>
              </w:rPr>
              <w:t xml:space="preserve">Positive </w:t>
            </w:r>
          </w:p>
          <w:p w14:paraId="2FEF2C37"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3C658F">
              <w:rPr>
                <w:rFonts w:ascii="Arial" w:eastAsia="Arial" w:hAnsi="Arial" w:cs="Arial"/>
                <w:bCs/>
                <w:sz w:val="16"/>
                <w:szCs w:val="16"/>
              </w:rPr>
              <w:t>(no. 1PP, no.  &gt;1PP)</w:t>
            </w:r>
          </w:p>
        </w:tc>
        <w:tc>
          <w:tcPr>
            <w:tcW w:w="990" w:type="dxa"/>
            <w:tcBorders>
              <w:top w:val="single" w:sz="4" w:space="0" w:color="auto"/>
              <w:bottom w:val="single" w:sz="4" w:space="0" w:color="auto"/>
            </w:tcBorders>
            <w:vAlign w:val="center"/>
          </w:tcPr>
          <w:p w14:paraId="05800AD5"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3C658F">
              <w:rPr>
                <w:rFonts w:ascii="Arial" w:eastAsia="Arial" w:hAnsi="Arial" w:cs="Arial"/>
                <w:bCs/>
                <w:sz w:val="16"/>
                <w:szCs w:val="16"/>
              </w:rPr>
              <w:t>Negative</w:t>
            </w:r>
          </w:p>
        </w:tc>
        <w:tc>
          <w:tcPr>
            <w:tcW w:w="1494" w:type="dxa"/>
            <w:tcBorders>
              <w:top w:val="single" w:sz="4" w:space="0" w:color="auto"/>
              <w:bottom w:val="single" w:sz="4" w:space="0" w:color="auto"/>
            </w:tcBorders>
            <w:vAlign w:val="center"/>
          </w:tcPr>
          <w:p w14:paraId="6CB2A07C" w14:textId="4B03E970" w:rsidR="00237055" w:rsidRPr="00037F13"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p>
        </w:tc>
      </w:tr>
      <w:tr w:rsidR="003B6842" w:rsidRPr="003C658F" w14:paraId="13EAD92B" w14:textId="1BC39A0E" w:rsidTr="003B6842">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tcBorders>
          </w:tcPr>
          <w:p w14:paraId="70D2BC2E" w14:textId="77777777" w:rsidR="00237055" w:rsidRPr="003C658F" w:rsidRDefault="00237055" w:rsidP="00237055">
            <w:pPr>
              <w:jc w:val="center"/>
              <w:rPr>
                <w:rFonts w:ascii="Arial" w:eastAsia="Arial" w:hAnsi="Arial" w:cs="Arial"/>
                <w:sz w:val="16"/>
                <w:szCs w:val="16"/>
              </w:rPr>
            </w:pPr>
          </w:p>
        </w:tc>
        <w:tc>
          <w:tcPr>
            <w:tcW w:w="720" w:type="dxa"/>
            <w:tcBorders>
              <w:top w:val="single" w:sz="4" w:space="0" w:color="auto"/>
            </w:tcBorders>
            <w:vAlign w:val="center"/>
          </w:tcPr>
          <w:p w14:paraId="68B283E0" w14:textId="52D92E51"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sz w:val="16"/>
                <w:szCs w:val="16"/>
              </w:rPr>
            </w:pPr>
            <w:r w:rsidRPr="003C658F">
              <w:rPr>
                <w:rFonts w:ascii="Arial" w:eastAsia="Arial" w:hAnsi="Arial" w:cs="Arial"/>
                <w:sz w:val="16"/>
                <w:szCs w:val="16"/>
              </w:rPr>
              <w:t>Pos</w:t>
            </w:r>
          </w:p>
        </w:tc>
        <w:tc>
          <w:tcPr>
            <w:tcW w:w="1080" w:type="dxa"/>
            <w:tcBorders>
              <w:top w:val="single" w:sz="4" w:space="0" w:color="auto"/>
            </w:tcBorders>
            <w:vAlign w:val="center"/>
          </w:tcPr>
          <w:p w14:paraId="237A165F"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3C658F">
              <w:rPr>
                <w:rFonts w:ascii="Arial" w:eastAsia="Arial" w:hAnsi="Arial" w:cs="Arial"/>
                <w:sz w:val="16"/>
                <w:szCs w:val="16"/>
              </w:rPr>
              <w:t>Pos</w:t>
            </w:r>
          </w:p>
        </w:tc>
        <w:tc>
          <w:tcPr>
            <w:tcW w:w="990" w:type="dxa"/>
            <w:tcBorders>
              <w:top w:val="single" w:sz="4" w:space="0" w:color="auto"/>
            </w:tcBorders>
            <w:vAlign w:val="center"/>
          </w:tcPr>
          <w:p w14:paraId="1DB906DE"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3C658F">
              <w:rPr>
                <w:rFonts w:ascii="Arial" w:eastAsia="Arial" w:hAnsi="Arial" w:cs="Arial"/>
                <w:sz w:val="16"/>
                <w:szCs w:val="16"/>
              </w:rPr>
              <w:t>Pos</w:t>
            </w:r>
          </w:p>
        </w:tc>
        <w:tc>
          <w:tcPr>
            <w:tcW w:w="1080" w:type="dxa"/>
            <w:tcBorders>
              <w:top w:val="single" w:sz="4" w:space="0" w:color="auto"/>
            </w:tcBorders>
            <w:vAlign w:val="center"/>
          </w:tcPr>
          <w:p w14:paraId="5E4929A5"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3C658F">
              <w:rPr>
                <w:rFonts w:ascii="Arial" w:eastAsia="Arial" w:hAnsi="Arial" w:cs="Arial"/>
                <w:sz w:val="16"/>
                <w:szCs w:val="16"/>
              </w:rPr>
              <w:t>Pos</w:t>
            </w:r>
          </w:p>
        </w:tc>
        <w:tc>
          <w:tcPr>
            <w:tcW w:w="2250" w:type="dxa"/>
            <w:tcBorders>
              <w:top w:val="single" w:sz="4" w:space="0" w:color="auto"/>
            </w:tcBorders>
            <w:vAlign w:val="center"/>
          </w:tcPr>
          <w:p w14:paraId="2F368CDD"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22</w:t>
            </w:r>
            <w:r w:rsidRPr="003C658F">
              <w:rPr>
                <w:rFonts w:ascii="Arial" w:eastAsia="Arial" w:hAnsi="Arial" w:cs="Arial"/>
                <w:sz w:val="16"/>
                <w:szCs w:val="16"/>
              </w:rPr>
              <w:t xml:space="preserve"> (</w:t>
            </w:r>
            <w:r>
              <w:rPr>
                <w:rFonts w:ascii="Arial" w:eastAsia="Arial" w:hAnsi="Arial" w:cs="Arial"/>
                <w:sz w:val="16"/>
                <w:szCs w:val="16"/>
              </w:rPr>
              <w:t>19, 3</w:t>
            </w:r>
            <w:r w:rsidRPr="003C658F">
              <w:rPr>
                <w:rFonts w:ascii="Arial" w:eastAsia="Arial" w:hAnsi="Arial" w:cs="Arial"/>
                <w:sz w:val="16"/>
                <w:szCs w:val="16"/>
              </w:rPr>
              <w:t>)</w:t>
            </w:r>
          </w:p>
        </w:tc>
        <w:tc>
          <w:tcPr>
            <w:tcW w:w="990" w:type="dxa"/>
            <w:tcBorders>
              <w:top w:val="single" w:sz="4" w:space="0" w:color="auto"/>
            </w:tcBorders>
            <w:vAlign w:val="center"/>
          </w:tcPr>
          <w:p w14:paraId="5AC6B3C1"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3C658F">
              <w:rPr>
                <w:rFonts w:ascii="Arial" w:eastAsia="Arial" w:hAnsi="Arial" w:cs="Arial"/>
                <w:sz w:val="16"/>
                <w:szCs w:val="16"/>
              </w:rPr>
              <w:t>0</w:t>
            </w:r>
          </w:p>
        </w:tc>
        <w:tc>
          <w:tcPr>
            <w:tcW w:w="1494" w:type="dxa"/>
            <w:tcBorders>
              <w:top w:val="single" w:sz="4" w:space="0" w:color="auto"/>
            </w:tcBorders>
            <w:vAlign w:val="center"/>
          </w:tcPr>
          <w:p w14:paraId="39F9B8DE" w14:textId="0C8B6EC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22</w:t>
            </w:r>
          </w:p>
        </w:tc>
      </w:tr>
      <w:tr w:rsidR="003B6842" w:rsidRPr="003C658F" w14:paraId="619DDAEC" w14:textId="3C35F5D0" w:rsidTr="003B6842">
        <w:tc>
          <w:tcPr>
            <w:cnfStyle w:val="001000000000" w:firstRow="0" w:lastRow="0" w:firstColumn="1" w:lastColumn="0" w:oddVBand="0" w:evenVBand="0" w:oddHBand="0" w:evenHBand="0" w:firstRowFirstColumn="0" w:firstRowLastColumn="0" w:lastRowFirstColumn="0" w:lastRowLastColumn="0"/>
            <w:tcW w:w="1620" w:type="dxa"/>
          </w:tcPr>
          <w:p w14:paraId="5013BA54" w14:textId="77777777" w:rsidR="00237055" w:rsidRPr="003C658F" w:rsidRDefault="00237055" w:rsidP="00237055">
            <w:pPr>
              <w:jc w:val="center"/>
              <w:rPr>
                <w:rFonts w:ascii="Arial" w:eastAsia="Arial" w:hAnsi="Arial" w:cs="Arial"/>
                <w:sz w:val="16"/>
                <w:szCs w:val="16"/>
              </w:rPr>
            </w:pPr>
          </w:p>
        </w:tc>
        <w:tc>
          <w:tcPr>
            <w:tcW w:w="720" w:type="dxa"/>
            <w:vAlign w:val="center"/>
          </w:tcPr>
          <w:p w14:paraId="339A093C" w14:textId="5F8A19FC"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sz w:val="16"/>
                <w:szCs w:val="16"/>
              </w:rPr>
            </w:pPr>
            <w:r w:rsidRPr="003C658F">
              <w:rPr>
                <w:rFonts w:ascii="Arial" w:eastAsia="Arial" w:hAnsi="Arial" w:cs="Arial"/>
                <w:sz w:val="16"/>
                <w:szCs w:val="16"/>
              </w:rPr>
              <w:t>Pos</w:t>
            </w:r>
          </w:p>
        </w:tc>
        <w:tc>
          <w:tcPr>
            <w:tcW w:w="1080" w:type="dxa"/>
            <w:vAlign w:val="center"/>
          </w:tcPr>
          <w:p w14:paraId="376108A2"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3C658F">
              <w:rPr>
                <w:rFonts w:ascii="Arial" w:eastAsia="Arial" w:hAnsi="Arial" w:cs="Arial"/>
                <w:sz w:val="16"/>
                <w:szCs w:val="16"/>
              </w:rPr>
              <w:t>Pos</w:t>
            </w:r>
          </w:p>
        </w:tc>
        <w:tc>
          <w:tcPr>
            <w:tcW w:w="990" w:type="dxa"/>
            <w:vAlign w:val="center"/>
          </w:tcPr>
          <w:p w14:paraId="2094ED6B"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3C658F">
              <w:rPr>
                <w:rFonts w:ascii="Arial" w:eastAsia="Arial" w:hAnsi="Arial" w:cs="Arial"/>
                <w:sz w:val="16"/>
                <w:szCs w:val="16"/>
              </w:rPr>
              <w:t>-</w:t>
            </w:r>
          </w:p>
        </w:tc>
        <w:tc>
          <w:tcPr>
            <w:tcW w:w="1080" w:type="dxa"/>
            <w:vAlign w:val="center"/>
          </w:tcPr>
          <w:p w14:paraId="0C64EF0D"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3C658F">
              <w:rPr>
                <w:rFonts w:ascii="Arial" w:eastAsia="Arial" w:hAnsi="Arial" w:cs="Arial"/>
                <w:bCs/>
                <w:sz w:val="16"/>
                <w:szCs w:val="16"/>
              </w:rPr>
              <w:t>Pos</w:t>
            </w:r>
          </w:p>
        </w:tc>
        <w:tc>
          <w:tcPr>
            <w:tcW w:w="2250" w:type="dxa"/>
            <w:vAlign w:val="center"/>
          </w:tcPr>
          <w:p w14:paraId="2D41A540"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 (1, 0</w:t>
            </w:r>
            <w:r w:rsidRPr="003C658F">
              <w:rPr>
                <w:rFonts w:ascii="Arial" w:eastAsia="Arial" w:hAnsi="Arial" w:cs="Arial"/>
                <w:sz w:val="16"/>
                <w:szCs w:val="16"/>
              </w:rPr>
              <w:t>)</w:t>
            </w:r>
          </w:p>
        </w:tc>
        <w:tc>
          <w:tcPr>
            <w:tcW w:w="990" w:type="dxa"/>
            <w:vAlign w:val="center"/>
          </w:tcPr>
          <w:p w14:paraId="4A6D63E3"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3C658F">
              <w:rPr>
                <w:rFonts w:ascii="Arial" w:eastAsia="Arial" w:hAnsi="Arial" w:cs="Arial"/>
                <w:sz w:val="16"/>
                <w:szCs w:val="16"/>
              </w:rPr>
              <w:t>0</w:t>
            </w:r>
          </w:p>
        </w:tc>
        <w:tc>
          <w:tcPr>
            <w:tcW w:w="1494" w:type="dxa"/>
            <w:vAlign w:val="center"/>
          </w:tcPr>
          <w:p w14:paraId="7D240C3E" w14:textId="5C257F5D"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w:t>
            </w:r>
          </w:p>
        </w:tc>
      </w:tr>
      <w:tr w:rsidR="003B6842" w:rsidRPr="003C658F" w14:paraId="458A34E3" w14:textId="6AF6A500" w:rsidTr="003B6842">
        <w:tc>
          <w:tcPr>
            <w:cnfStyle w:val="001000000000" w:firstRow="0" w:lastRow="0" w:firstColumn="1" w:lastColumn="0" w:oddVBand="0" w:evenVBand="0" w:oddHBand="0" w:evenHBand="0" w:firstRowFirstColumn="0" w:firstRowLastColumn="0" w:lastRowFirstColumn="0" w:lastRowLastColumn="0"/>
            <w:tcW w:w="1620" w:type="dxa"/>
          </w:tcPr>
          <w:p w14:paraId="70038C03" w14:textId="77777777" w:rsidR="00237055" w:rsidRPr="003C658F" w:rsidRDefault="00237055" w:rsidP="00237055">
            <w:pPr>
              <w:jc w:val="center"/>
              <w:rPr>
                <w:rFonts w:ascii="Arial" w:eastAsia="Arial" w:hAnsi="Arial" w:cs="Arial"/>
                <w:sz w:val="16"/>
                <w:szCs w:val="16"/>
              </w:rPr>
            </w:pPr>
          </w:p>
        </w:tc>
        <w:tc>
          <w:tcPr>
            <w:tcW w:w="720" w:type="dxa"/>
            <w:vAlign w:val="center"/>
          </w:tcPr>
          <w:p w14:paraId="7FE4794E" w14:textId="1FE003EE"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sz w:val="16"/>
                <w:szCs w:val="16"/>
              </w:rPr>
            </w:pPr>
            <w:r w:rsidRPr="003C658F">
              <w:rPr>
                <w:rFonts w:ascii="Arial" w:eastAsia="Arial" w:hAnsi="Arial" w:cs="Arial"/>
                <w:sz w:val="16"/>
                <w:szCs w:val="16"/>
              </w:rPr>
              <w:t>Pos</w:t>
            </w:r>
          </w:p>
        </w:tc>
        <w:tc>
          <w:tcPr>
            <w:tcW w:w="1080" w:type="dxa"/>
            <w:vAlign w:val="center"/>
          </w:tcPr>
          <w:p w14:paraId="7B0EA2EA"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3C658F">
              <w:rPr>
                <w:rFonts w:ascii="Arial" w:eastAsia="Arial" w:hAnsi="Arial" w:cs="Arial"/>
                <w:sz w:val="16"/>
                <w:szCs w:val="16"/>
              </w:rPr>
              <w:t>Pos</w:t>
            </w:r>
          </w:p>
        </w:tc>
        <w:tc>
          <w:tcPr>
            <w:tcW w:w="990" w:type="dxa"/>
            <w:vAlign w:val="center"/>
          </w:tcPr>
          <w:p w14:paraId="7B8CD554"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3C658F">
              <w:rPr>
                <w:rFonts w:ascii="Arial" w:eastAsia="Arial" w:hAnsi="Arial" w:cs="Arial"/>
                <w:sz w:val="16"/>
                <w:szCs w:val="16"/>
              </w:rPr>
              <w:t>-</w:t>
            </w:r>
          </w:p>
        </w:tc>
        <w:tc>
          <w:tcPr>
            <w:tcW w:w="1080" w:type="dxa"/>
            <w:vAlign w:val="center"/>
          </w:tcPr>
          <w:p w14:paraId="64E0EE20"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3C658F">
              <w:rPr>
                <w:rFonts w:ascii="Arial" w:eastAsia="Arial" w:hAnsi="Arial" w:cs="Arial"/>
                <w:bCs/>
                <w:sz w:val="16"/>
                <w:szCs w:val="16"/>
              </w:rPr>
              <w:t>-</w:t>
            </w:r>
          </w:p>
        </w:tc>
        <w:tc>
          <w:tcPr>
            <w:tcW w:w="2250" w:type="dxa"/>
            <w:vAlign w:val="center"/>
          </w:tcPr>
          <w:p w14:paraId="686FD235"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 (1</w:t>
            </w:r>
            <w:r w:rsidRPr="003C658F">
              <w:rPr>
                <w:rFonts w:ascii="Arial" w:eastAsia="Arial" w:hAnsi="Arial" w:cs="Arial"/>
                <w:sz w:val="16"/>
                <w:szCs w:val="16"/>
              </w:rPr>
              <w:t>, 0)</w:t>
            </w:r>
          </w:p>
        </w:tc>
        <w:tc>
          <w:tcPr>
            <w:tcW w:w="990" w:type="dxa"/>
            <w:vAlign w:val="center"/>
          </w:tcPr>
          <w:p w14:paraId="24E02222"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3C658F">
              <w:rPr>
                <w:rFonts w:ascii="Arial" w:eastAsia="Arial" w:hAnsi="Arial" w:cs="Arial"/>
                <w:sz w:val="16"/>
                <w:szCs w:val="16"/>
              </w:rPr>
              <w:t>0</w:t>
            </w:r>
          </w:p>
        </w:tc>
        <w:tc>
          <w:tcPr>
            <w:tcW w:w="1494" w:type="dxa"/>
            <w:vAlign w:val="center"/>
          </w:tcPr>
          <w:p w14:paraId="1324E238" w14:textId="25940008"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w:t>
            </w:r>
          </w:p>
        </w:tc>
      </w:tr>
      <w:tr w:rsidR="003B6842" w:rsidRPr="003C658F" w14:paraId="2D7BDC31" w14:textId="09074382" w:rsidTr="003B6842">
        <w:tc>
          <w:tcPr>
            <w:cnfStyle w:val="001000000000" w:firstRow="0" w:lastRow="0" w:firstColumn="1" w:lastColumn="0" w:oddVBand="0" w:evenVBand="0" w:oddHBand="0" w:evenHBand="0" w:firstRowFirstColumn="0" w:firstRowLastColumn="0" w:lastRowFirstColumn="0" w:lastRowLastColumn="0"/>
            <w:tcW w:w="1620" w:type="dxa"/>
          </w:tcPr>
          <w:p w14:paraId="71A7F3C8" w14:textId="77777777" w:rsidR="00237055" w:rsidRDefault="00237055" w:rsidP="00237055">
            <w:pPr>
              <w:jc w:val="center"/>
              <w:rPr>
                <w:rFonts w:ascii="Arial" w:eastAsia="Arial" w:hAnsi="Arial" w:cs="Arial"/>
                <w:sz w:val="16"/>
                <w:szCs w:val="16"/>
              </w:rPr>
            </w:pPr>
          </w:p>
        </w:tc>
        <w:tc>
          <w:tcPr>
            <w:tcW w:w="720" w:type="dxa"/>
            <w:vAlign w:val="center"/>
          </w:tcPr>
          <w:p w14:paraId="621BCDB1" w14:textId="531F450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bCs/>
                <w:sz w:val="16"/>
                <w:szCs w:val="16"/>
              </w:rPr>
            </w:pPr>
            <w:r>
              <w:rPr>
                <w:rFonts w:ascii="Arial" w:eastAsia="Arial" w:hAnsi="Arial" w:cs="Arial"/>
                <w:sz w:val="16"/>
                <w:szCs w:val="16"/>
              </w:rPr>
              <w:t>Pos</w:t>
            </w:r>
          </w:p>
        </w:tc>
        <w:tc>
          <w:tcPr>
            <w:tcW w:w="1080" w:type="dxa"/>
            <w:vAlign w:val="center"/>
          </w:tcPr>
          <w:p w14:paraId="5FAEE859"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N/A*</w:t>
            </w:r>
          </w:p>
        </w:tc>
        <w:tc>
          <w:tcPr>
            <w:tcW w:w="990" w:type="dxa"/>
            <w:vAlign w:val="center"/>
          </w:tcPr>
          <w:p w14:paraId="5414917F"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Pos</w:t>
            </w:r>
          </w:p>
        </w:tc>
        <w:tc>
          <w:tcPr>
            <w:tcW w:w="1080" w:type="dxa"/>
            <w:vAlign w:val="center"/>
          </w:tcPr>
          <w:p w14:paraId="341E95F2"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Pos</w:t>
            </w:r>
          </w:p>
        </w:tc>
        <w:tc>
          <w:tcPr>
            <w:tcW w:w="2250" w:type="dxa"/>
            <w:vAlign w:val="center"/>
          </w:tcPr>
          <w:p w14:paraId="6F7BD8FE" w14:textId="77777777" w:rsidR="00237055"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7 (7, 0)</w:t>
            </w:r>
          </w:p>
        </w:tc>
        <w:tc>
          <w:tcPr>
            <w:tcW w:w="990" w:type="dxa"/>
            <w:vAlign w:val="center"/>
          </w:tcPr>
          <w:p w14:paraId="7D407956"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w:t>
            </w:r>
          </w:p>
        </w:tc>
        <w:tc>
          <w:tcPr>
            <w:tcW w:w="1494" w:type="dxa"/>
            <w:vAlign w:val="center"/>
          </w:tcPr>
          <w:p w14:paraId="76B57870" w14:textId="39D2064D" w:rsidR="00237055"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7</w:t>
            </w:r>
          </w:p>
        </w:tc>
      </w:tr>
      <w:tr w:rsidR="003B6842" w:rsidRPr="003C658F" w14:paraId="2264A2F0" w14:textId="2ADA52F4" w:rsidTr="003B6842">
        <w:tc>
          <w:tcPr>
            <w:cnfStyle w:val="001000000000" w:firstRow="0" w:lastRow="0" w:firstColumn="1" w:lastColumn="0" w:oddVBand="0" w:evenVBand="0" w:oddHBand="0" w:evenHBand="0" w:firstRowFirstColumn="0" w:firstRowLastColumn="0" w:lastRowFirstColumn="0" w:lastRowLastColumn="0"/>
            <w:tcW w:w="1620" w:type="dxa"/>
          </w:tcPr>
          <w:p w14:paraId="63434837" w14:textId="77777777" w:rsidR="00237055" w:rsidRDefault="00237055" w:rsidP="00237055">
            <w:pPr>
              <w:jc w:val="center"/>
              <w:rPr>
                <w:rFonts w:ascii="Arial" w:eastAsia="Arial" w:hAnsi="Arial" w:cs="Arial"/>
                <w:sz w:val="16"/>
                <w:szCs w:val="16"/>
              </w:rPr>
            </w:pPr>
          </w:p>
        </w:tc>
        <w:tc>
          <w:tcPr>
            <w:tcW w:w="720" w:type="dxa"/>
            <w:vAlign w:val="center"/>
          </w:tcPr>
          <w:p w14:paraId="03BB18B3" w14:textId="5340427B"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bCs/>
                <w:sz w:val="16"/>
                <w:szCs w:val="16"/>
              </w:rPr>
            </w:pPr>
            <w:r>
              <w:rPr>
                <w:rFonts w:ascii="Arial" w:eastAsia="Arial" w:hAnsi="Arial" w:cs="Arial"/>
                <w:sz w:val="16"/>
                <w:szCs w:val="16"/>
              </w:rPr>
              <w:t>Pos</w:t>
            </w:r>
          </w:p>
        </w:tc>
        <w:tc>
          <w:tcPr>
            <w:tcW w:w="1080" w:type="dxa"/>
            <w:vAlign w:val="center"/>
          </w:tcPr>
          <w:p w14:paraId="3BAF36C9"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N/A*</w:t>
            </w:r>
          </w:p>
        </w:tc>
        <w:tc>
          <w:tcPr>
            <w:tcW w:w="990" w:type="dxa"/>
            <w:vAlign w:val="center"/>
          </w:tcPr>
          <w:p w14:paraId="4BD599DB"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w:t>
            </w:r>
          </w:p>
        </w:tc>
        <w:tc>
          <w:tcPr>
            <w:tcW w:w="1080" w:type="dxa"/>
            <w:vAlign w:val="center"/>
          </w:tcPr>
          <w:p w14:paraId="5C7C426B"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Pos</w:t>
            </w:r>
          </w:p>
        </w:tc>
        <w:tc>
          <w:tcPr>
            <w:tcW w:w="2250" w:type="dxa"/>
            <w:vAlign w:val="center"/>
          </w:tcPr>
          <w:p w14:paraId="5A759602" w14:textId="77777777" w:rsidR="00237055"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 (0, 0)</w:t>
            </w:r>
          </w:p>
        </w:tc>
        <w:tc>
          <w:tcPr>
            <w:tcW w:w="990" w:type="dxa"/>
            <w:vAlign w:val="center"/>
          </w:tcPr>
          <w:p w14:paraId="6C08A311"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w:t>
            </w:r>
          </w:p>
        </w:tc>
        <w:tc>
          <w:tcPr>
            <w:tcW w:w="1494" w:type="dxa"/>
            <w:vAlign w:val="center"/>
          </w:tcPr>
          <w:p w14:paraId="14AD34A2" w14:textId="4948982E" w:rsidR="00237055"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w:t>
            </w:r>
          </w:p>
        </w:tc>
      </w:tr>
      <w:tr w:rsidR="003B6842" w:rsidRPr="003C658F" w14:paraId="20FB27D1" w14:textId="53C8E419" w:rsidTr="003B6842">
        <w:tc>
          <w:tcPr>
            <w:cnfStyle w:val="001000000000" w:firstRow="0" w:lastRow="0" w:firstColumn="1" w:lastColumn="0" w:oddVBand="0" w:evenVBand="0" w:oddHBand="0" w:evenHBand="0" w:firstRowFirstColumn="0" w:firstRowLastColumn="0" w:lastRowFirstColumn="0" w:lastRowLastColumn="0"/>
            <w:tcW w:w="1620" w:type="dxa"/>
          </w:tcPr>
          <w:p w14:paraId="6AA225C6" w14:textId="77777777" w:rsidR="00237055" w:rsidRDefault="00237055" w:rsidP="00237055">
            <w:pPr>
              <w:jc w:val="center"/>
              <w:rPr>
                <w:rFonts w:ascii="Arial" w:eastAsia="Arial" w:hAnsi="Arial" w:cs="Arial"/>
                <w:sz w:val="16"/>
                <w:szCs w:val="16"/>
              </w:rPr>
            </w:pPr>
          </w:p>
        </w:tc>
        <w:tc>
          <w:tcPr>
            <w:tcW w:w="720" w:type="dxa"/>
            <w:vAlign w:val="center"/>
          </w:tcPr>
          <w:p w14:paraId="09CB8A10" w14:textId="27365686"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bCs/>
                <w:sz w:val="16"/>
                <w:szCs w:val="16"/>
              </w:rPr>
            </w:pPr>
            <w:r>
              <w:rPr>
                <w:rFonts w:ascii="Arial" w:eastAsia="Arial" w:hAnsi="Arial" w:cs="Arial"/>
                <w:sz w:val="16"/>
                <w:szCs w:val="16"/>
              </w:rPr>
              <w:t>Pos</w:t>
            </w:r>
          </w:p>
        </w:tc>
        <w:tc>
          <w:tcPr>
            <w:tcW w:w="1080" w:type="dxa"/>
            <w:vAlign w:val="center"/>
          </w:tcPr>
          <w:p w14:paraId="607C361E"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N/A*</w:t>
            </w:r>
          </w:p>
        </w:tc>
        <w:tc>
          <w:tcPr>
            <w:tcW w:w="990" w:type="dxa"/>
            <w:vAlign w:val="center"/>
          </w:tcPr>
          <w:p w14:paraId="1835007B"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w:t>
            </w:r>
          </w:p>
        </w:tc>
        <w:tc>
          <w:tcPr>
            <w:tcW w:w="1080" w:type="dxa"/>
            <w:vAlign w:val="center"/>
          </w:tcPr>
          <w:p w14:paraId="44603185"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w:t>
            </w:r>
          </w:p>
        </w:tc>
        <w:tc>
          <w:tcPr>
            <w:tcW w:w="2250" w:type="dxa"/>
            <w:vAlign w:val="center"/>
          </w:tcPr>
          <w:p w14:paraId="16816FA7" w14:textId="77777777" w:rsidR="00237055"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2 (2, 0)</w:t>
            </w:r>
          </w:p>
        </w:tc>
        <w:tc>
          <w:tcPr>
            <w:tcW w:w="990" w:type="dxa"/>
            <w:vAlign w:val="center"/>
          </w:tcPr>
          <w:p w14:paraId="7EA527F7"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w:t>
            </w:r>
          </w:p>
        </w:tc>
        <w:tc>
          <w:tcPr>
            <w:tcW w:w="1494" w:type="dxa"/>
            <w:vAlign w:val="center"/>
          </w:tcPr>
          <w:p w14:paraId="5CE3643A" w14:textId="0102FF3F" w:rsidR="00237055"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2</w:t>
            </w:r>
          </w:p>
        </w:tc>
      </w:tr>
      <w:tr w:rsidR="003B6842" w:rsidRPr="003C658F" w14:paraId="59DB814F" w14:textId="1A88FA69" w:rsidTr="003B6842">
        <w:tc>
          <w:tcPr>
            <w:cnfStyle w:val="001000000000" w:firstRow="0" w:lastRow="0" w:firstColumn="1" w:lastColumn="0" w:oddVBand="0" w:evenVBand="0" w:oddHBand="0" w:evenHBand="0" w:firstRowFirstColumn="0" w:firstRowLastColumn="0" w:lastRowFirstColumn="0" w:lastRowLastColumn="0"/>
            <w:tcW w:w="1620" w:type="dxa"/>
          </w:tcPr>
          <w:p w14:paraId="55817824" w14:textId="77777777" w:rsidR="00237055" w:rsidRPr="003C658F" w:rsidRDefault="00237055" w:rsidP="00237055">
            <w:pPr>
              <w:jc w:val="center"/>
              <w:rPr>
                <w:rFonts w:ascii="Arial" w:eastAsia="Arial" w:hAnsi="Arial" w:cs="Arial"/>
                <w:sz w:val="16"/>
                <w:szCs w:val="16"/>
              </w:rPr>
            </w:pPr>
          </w:p>
        </w:tc>
        <w:tc>
          <w:tcPr>
            <w:tcW w:w="720" w:type="dxa"/>
            <w:vAlign w:val="center"/>
          </w:tcPr>
          <w:p w14:paraId="5E3344C8" w14:textId="699007A0"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sz w:val="16"/>
                <w:szCs w:val="16"/>
              </w:rPr>
            </w:pPr>
            <w:r w:rsidRPr="003C658F">
              <w:rPr>
                <w:rFonts w:ascii="Arial" w:eastAsia="Arial" w:hAnsi="Arial" w:cs="Arial"/>
                <w:sz w:val="16"/>
                <w:szCs w:val="16"/>
              </w:rPr>
              <w:t>Pos</w:t>
            </w:r>
          </w:p>
        </w:tc>
        <w:tc>
          <w:tcPr>
            <w:tcW w:w="1080" w:type="dxa"/>
            <w:vAlign w:val="center"/>
          </w:tcPr>
          <w:p w14:paraId="6FE28DE9"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3C658F">
              <w:rPr>
                <w:rFonts w:ascii="Arial" w:eastAsia="Arial" w:hAnsi="Arial" w:cs="Arial"/>
                <w:sz w:val="16"/>
                <w:szCs w:val="16"/>
              </w:rPr>
              <w:t>-</w:t>
            </w:r>
          </w:p>
        </w:tc>
        <w:tc>
          <w:tcPr>
            <w:tcW w:w="990" w:type="dxa"/>
            <w:vAlign w:val="center"/>
          </w:tcPr>
          <w:p w14:paraId="616B1B01"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3C658F">
              <w:rPr>
                <w:rFonts w:ascii="Arial" w:eastAsia="Arial" w:hAnsi="Arial" w:cs="Arial"/>
                <w:sz w:val="16"/>
                <w:szCs w:val="16"/>
              </w:rPr>
              <w:t>Pos</w:t>
            </w:r>
          </w:p>
        </w:tc>
        <w:tc>
          <w:tcPr>
            <w:tcW w:w="1080" w:type="dxa"/>
            <w:vAlign w:val="center"/>
          </w:tcPr>
          <w:p w14:paraId="64F7DCD6"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3C658F">
              <w:rPr>
                <w:rFonts w:ascii="Arial" w:eastAsia="Arial" w:hAnsi="Arial" w:cs="Arial"/>
                <w:bCs/>
                <w:sz w:val="16"/>
                <w:szCs w:val="16"/>
              </w:rPr>
              <w:t>Pos</w:t>
            </w:r>
          </w:p>
        </w:tc>
        <w:tc>
          <w:tcPr>
            <w:tcW w:w="2250" w:type="dxa"/>
            <w:vAlign w:val="center"/>
          </w:tcPr>
          <w:p w14:paraId="123AE8CE"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 (0</w:t>
            </w:r>
            <w:r w:rsidRPr="003C658F">
              <w:rPr>
                <w:rFonts w:ascii="Arial" w:eastAsia="Arial" w:hAnsi="Arial" w:cs="Arial"/>
                <w:sz w:val="16"/>
                <w:szCs w:val="16"/>
              </w:rPr>
              <w:t>, 0)</w:t>
            </w:r>
          </w:p>
        </w:tc>
        <w:tc>
          <w:tcPr>
            <w:tcW w:w="990" w:type="dxa"/>
            <w:vAlign w:val="center"/>
          </w:tcPr>
          <w:p w14:paraId="7901EC84"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3C658F">
              <w:rPr>
                <w:rFonts w:ascii="Arial" w:eastAsia="Arial" w:hAnsi="Arial" w:cs="Arial"/>
                <w:sz w:val="16"/>
                <w:szCs w:val="16"/>
              </w:rPr>
              <w:t>0</w:t>
            </w:r>
          </w:p>
        </w:tc>
        <w:tc>
          <w:tcPr>
            <w:tcW w:w="1494" w:type="dxa"/>
            <w:vAlign w:val="center"/>
          </w:tcPr>
          <w:p w14:paraId="13FB52DB" w14:textId="6B06C1E4"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w:t>
            </w:r>
          </w:p>
        </w:tc>
      </w:tr>
      <w:tr w:rsidR="003B6842" w:rsidRPr="003C658F" w14:paraId="2669098F" w14:textId="2BA664B1" w:rsidTr="003B6842">
        <w:tc>
          <w:tcPr>
            <w:cnfStyle w:val="001000000000" w:firstRow="0" w:lastRow="0" w:firstColumn="1" w:lastColumn="0" w:oddVBand="0" w:evenVBand="0" w:oddHBand="0" w:evenHBand="0" w:firstRowFirstColumn="0" w:firstRowLastColumn="0" w:lastRowFirstColumn="0" w:lastRowLastColumn="0"/>
            <w:tcW w:w="1620" w:type="dxa"/>
          </w:tcPr>
          <w:p w14:paraId="65387311" w14:textId="77777777" w:rsidR="00237055" w:rsidRPr="003C658F" w:rsidRDefault="00237055" w:rsidP="00237055">
            <w:pPr>
              <w:jc w:val="center"/>
              <w:rPr>
                <w:rFonts w:ascii="Arial" w:eastAsia="Arial" w:hAnsi="Arial" w:cs="Arial"/>
                <w:sz w:val="16"/>
                <w:szCs w:val="16"/>
              </w:rPr>
            </w:pPr>
          </w:p>
        </w:tc>
        <w:tc>
          <w:tcPr>
            <w:tcW w:w="720" w:type="dxa"/>
            <w:vAlign w:val="center"/>
          </w:tcPr>
          <w:p w14:paraId="54FC8931" w14:textId="62EACFF2"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sz w:val="16"/>
                <w:szCs w:val="16"/>
              </w:rPr>
            </w:pPr>
            <w:r w:rsidRPr="003C658F">
              <w:rPr>
                <w:rFonts w:ascii="Arial" w:eastAsia="Arial" w:hAnsi="Arial" w:cs="Arial"/>
                <w:sz w:val="16"/>
                <w:szCs w:val="16"/>
              </w:rPr>
              <w:t>Pos</w:t>
            </w:r>
          </w:p>
        </w:tc>
        <w:tc>
          <w:tcPr>
            <w:tcW w:w="1080" w:type="dxa"/>
            <w:vAlign w:val="center"/>
          </w:tcPr>
          <w:p w14:paraId="7728004D"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3C658F">
              <w:rPr>
                <w:rFonts w:ascii="Arial" w:eastAsia="Arial" w:hAnsi="Arial" w:cs="Arial"/>
                <w:sz w:val="16"/>
                <w:szCs w:val="16"/>
              </w:rPr>
              <w:t>-</w:t>
            </w:r>
          </w:p>
        </w:tc>
        <w:tc>
          <w:tcPr>
            <w:tcW w:w="990" w:type="dxa"/>
            <w:vAlign w:val="center"/>
          </w:tcPr>
          <w:p w14:paraId="54A09291"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3C658F">
              <w:rPr>
                <w:rFonts w:ascii="Arial" w:eastAsia="Arial" w:hAnsi="Arial" w:cs="Arial"/>
                <w:sz w:val="16"/>
                <w:szCs w:val="16"/>
              </w:rPr>
              <w:t>-</w:t>
            </w:r>
          </w:p>
        </w:tc>
        <w:tc>
          <w:tcPr>
            <w:tcW w:w="1080" w:type="dxa"/>
            <w:vAlign w:val="center"/>
          </w:tcPr>
          <w:p w14:paraId="2F23A39C"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3C658F">
              <w:rPr>
                <w:rFonts w:ascii="Arial" w:eastAsia="Arial" w:hAnsi="Arial" w:cs="Arial"/>
                <w:bCs/>
                <w:sz w:val="16"/>
                <w:szCs w:val="16"/>
              </w:rPr>
              <w:t>Pos</w:t>
            </w:r>
          </w:p>
        </w:tc>
        <w:tc>
          <w:tcPr>
            <w:tcW w:w="2250" w:type="dxa"/>
            <w:vAlign w:val="center"/>
          </w:tcPr>
          <w:p w14:paraId="48039714"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3C658F">
              <w:rPr>
                <w:rFonts w:ascii="Arial" w:eastAsia="Arial" w:hAnsi="Arial" w:cs="Arial"/>
                <w:sz w:val="16"/>
                <w:szCs w:val="16"/>
              </w:rPr>
              <w:t>0 (0, 0)</w:t>
            </w:r>
          </w:p>
        </w:tc>
        <w:tc>
          <w:tcPr>
            <w:tcW w:w="990" w:type="dxa"/>
            <w:vAlign w:val="center"/>
          </w:tcPr>
          <w:p w14:paraId="4CC7C1F7"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3C658F">
              <w:rPr>
                <w:rFonts w:ascii="Arial" w:eastAsia="Arial" w:hAnsi="Arial" w:cs="Arial"/>
                <w:sz w:val="16"/>
                <w:szCs w:val="16"/>
              </w:rPr>
              <w:t>0</w:t>
            </w:r>
          </w:p>
        </w:tc>
        <w:tc>
          <w:tcPr>
            <w:tcW w:w="1494" w:type="dxa"/>
            <w:vAlign w:val="center"/>
          </w:tcPr>
          <w:p w14:paraId="29719891" w14:textId="7D4935E5"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w:t>
            </w:r>
          </w:p>
        </w:tc>
      </w:tr>
      <w:tr w:rsidR="003B6842" w:rsidRPr="003C658F" w14:paraId="7CD3F1AD" w14:textId="05F6CA59" w:rsidTr="003B6842">
        <w:tc>
          <w:tcPr>
            <w:cnfStyle w:val="001000000000" w:firstRow="0" w:lastRow="0" w:firstColumn="1" w:lastColumn="0" w:oddVBand="0" w:evenVBand="0" w:oddHBand="0" w:evenHBand="0" w:firstRowFirstColumn="0" w:firstRowLastColumn="0" w:lastRowFirstColumn="0" w:lastRowLastColumn="0"/>
            <w:tcW w:w="1620" w:type="dxa"/>
          </w:tcPr>
          <w:p w14:paraId="31A2E355" w14:textId="77777777" w:rsidR="00237055" w:rsidRPr="003C658F" w:rsidRDefault="00237055" w:rsidP="00237055">
            <w:pPr>
              <w:jc w:val="center"/>
              <w:rPr>
                <w:rFonts w:ascii="Arial" w:eastAsia="Arial" w:hAnsi="Arial" w:cs="Arial"/>
                <w:sz w:val="16"/>
                <w:szCs w:val="16"/>
              </w:rPr>
            </w:pPr>
          </w:p>
        </w:tc>
        <w:tc>
          <w:tcPr>
            <w:tcW w:w="720" w:type="dxa"/>
            <w:vAlign w:val="center"/>
          </w:tcPr>
          <w:p w14:paraId="26A06AD9" w14:textId="41A3528E"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sz w:val="16"/>
                <w:szCs w:val="16"/>
              </w:rPr>
            </w:pPr>
            <w:r w:rsidRPr="003C658F">
              <w:rPr>
                <w:rFonts w:ascii="Arial" w:eastAsia="Arial" w:hAnsi="Arial" w:cs="Arial"/>
                <w:sz w:val="16"/>
                <w:szCs w:val="16"/>
              </w:rPr>
              <w:t>Pos</w:t>
            </w:r>
          </w:p>
        </w:tc>
        <w:tc>
          <w:tcPr>
            <w:tcW w:w="1080" w:type="dxa"/>
            <w:vAlign w:val="center"/>
          </w:tcPr>
          <w:p w14:paraId="732FCDA3"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3C658F">
              <w:rPr>
                <w:rFonts w:ascii="Arial" w:eastAsia="Arial" w:hAnsi="Arial" w:cs="Arial"/>
                <w:sz w:val="16"/>
                <w:szCs w:val="16"/>
              </w:rPr>
              <w:t>-</w:t>
            </w:r>
          </w:p>
        </w:tc>
        <w:tc>
          <w:tcPr>
            <w:tcW w:w="990" w:type="dxa"/>
            <w:vAlign w:val="center"/>
          </w:tcPr>
          <w:p w14:paraId="0BF0D902"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3C658F">
              <w:rPr>
                <w:rFonts w:ascii="Arial" w:eastAsia="Arial" w:hAnsi="Arial" w:cs="Arial"/>
                <w:sz w:val="16"/>
                <w:szCs w:val="16"/>
              </w:rPr>
              <w:t>-</w:t>
            </w:r>
          </w:p>
        </w:tc>
        <w:tc>
          <w:tcPr>
            <w:tcW w:w="1080" w:type="dxa"/>
            <w:vAlign w:val="center"/>
          </w:tcPr>
          <w:p w14:paraId="31C1DFB2"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3C658F">
              <w:rPr>
                <w:rFonts w:ascii="Arial" w:eastAsia="Arial" w:hAnsi="Arial" w:cs="Arial"/>
                <w:bCs/>
                <w:sz w:val="16"/>
                <w:szCs w:val="16"/>
              </w:rPr>
              <w:t>-</w:t>
            </w:r>
          </w:p>
        </w:tc>
        <w:tc>
          <w:tcPr>
            <w:tcW w:w="2250" w:type="dxa"/>
            <w:vAlign w:val="center"/>
          </w:tcPr>
          <w:p w14:paraId="65BA3F65"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 (0</w:t>
            </w:r>
            <w:r w:rsidRPr="003C658F">
              <w:rPr>
                <w:rFonts w:ascii="Arial" w:eastAsia="Arial" w:hAnsi="Arial" w:cs="Arial"/>
                <w:sz w:val="16"/>
                <w:szCs w:val="16"/>
              </w:rPr>
              <w:t>, 0)</w:t>
            </w:r>
          </w:p>
        </w:tc>
        <w:tc>
          <w:tcPr>
            <w:tcW w:w="990" w:type="dxa"/>
            <w:vAlign w:val="center"/>
          </w:tcPr>
          <w:p w14:paraId="351EE214"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w:t>
            </w:r>
          </w:p>
        </w:tc>
        <w:tc>
          <w:tcPr>
            <w:tcW w:w="1494" w:type="dxa"/>
            <w:vAlign w:val="center"/>
          </w:tcPr>
          <w:p w14:paraId="67BD5960" w14:textId="7CA5977C" w:rsidR="00237055"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w:t>
            </w:r>
          </w:p>
        </w:tc>
      </w:tr>
      <w:tr w:rsidR="003B6842" w:rsidRPr="003C658F" w14:paraId="3A082267" w14:textId="661A95AF" w:rsidTr="003B6842">
        <w:tc>
          <w:tcPr>
            <w:cnfStyle w:val="001000000000" w:firstRow="0" w:lastRow="0" w:firstColumn="1" w:lastColumn="0" w:oddVBand="0" w:evenVBand="0" w:oddHBand="0" w:evenHBand="0" w:firstRowFirstColumn="0" w:firstRowLastColumn="0" w:lastRowFirstColumn="0" w:lastRowLastColumn="0"/>
            <w:tcW w:w="1620" w:type="dxa"/>
          </w:tcPr>
          <w:p w14:paraId="582D3243" w14:textId="77777777" w:rsidR="00237055" w:rsidRPr="003C658F" w:rsidRDefault="00237055" w:rsidP="00237055">
            <w:pPr>
              <w:jc w:val="center"/>
              <w:rPr>
                <w:rFonts w:ascii="Arial" w:eastAsia="Arial" w:hAnsi="Arial" w:cs="Arial"/>
                <w:sz w:val="16"/>
                <w:szCs w:val="16"/>
              </w:rPr>
            </w:pPr>
          </w:p>
        </w:tc>
        <w:tc>
          <w:tcPr>
            <w:tcW w:w="720" w:type="dxa"/>
            <w:vAlign w:val="center"/>
          </w:tcPr>
          <w:p w14:paraId="69EB86EF" w14:textId="50F8143C"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sz w:val="16"/>
                <w:szCs w:val="16"/>
              </w:rPr>
            </w:pPr>
            <w:r w:rsidRPr="003C658F">
              <w:rPr>
                <w:rFonts w:ascii="Arial" w:eastAsia="Arial" w:hAnsi="Arial" w:cs="Arial"/>
                <w:sz w:val="16"/>
                <w:szCs w:val="16"/>
              </w:rPr>
              <w:t>-</w:t>
            </w:r>
          </w:p>
        </w:tc>
        <w:tc>
          <w:tcPr>
            <w:tcW w:w="1080" w:type="dxa"/>
            <w:vAlign w:val="center"/>
          </w:tcPr>
          <w:p w14:paraId="0BA4803B"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3C658F">
              <w:rPr>
                <w:rFonts w:ascii="Arial" w:eastAsia="Arial" w:hAnsi="Arial" w:cs="Arial"/>
                <w:bCs/>
                <w:sz w:val="16"/>
                <w:szCs w:val="16"/>
              </w:rPr>
              <w:t>Pos</w:t>
            </w:r>
          </w:p>
        </w:tc>
        <w:tc>
          <w:tcPr>
            <w:tcW w:w="990" w:type="dxa"/>
            <w:vAlign w:val="center"/>
          </w:tcPr>
          <w:p w14:paraId="40D7FF25"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3C658F">
              <w:rPr>
                <w:rFonts w:ascii="Arial" w:eastAsia="Arial" w:hAnsi="Arial" w:cs="Arial"/>
                <w:bCs/>
                <w:sz w:val="16"/>
                <w:szCs w:val="16"/>
              </w:rPr>
              <w:t>Pos</w:t>
            </w:r>
          </w:p>
        </w:tc>
        <w:tc>
          <w:tcPr>
            <w:tcW w:w="1080" w:type="dxa"/>
            <w:vAlign w:val="center"/>
          </w:tcPr>
          <w:p w14:paraId="3964129F"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3C658F">
              <w:rPr>
                <w:rFonts w:ascii="Arial" w:eastAsia="Arial" w:hAnsi="Arial" w:cs="Arial"/>
                <w:bCs/>
                <w:sz w:val="16"/>
                <w:szCs w:val="16"/>
              </w:rPr>
              <w:t>Pos</w:t>
            </w:r>
          </w:p>
        </w:tc>
        <w:tc>
          <w:tcPr>
            <w:tcW w:w="2250" w:type="dxa"/>
            <w:vAlign w:val="center"/>
          </w:tcPr>
          <w:p w14:paraId="47294A51"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 (0</w:t>
            </w:r>
            <w:r w:rsidRPr="003C658F">
              <w:rPr>
                <w:rFonts w:ascii="Arial" w:eastAsia="Arial" w:hAnsi="Arial" w:cs="Arial"/>
                <w:sz w:val="16"/>
                <w:szCs w:val="16"/>
              </w:rPr>
              <w:t>, 0)</w:t>
            </w:r>
          </w:p>
        </w:tc>
        <w:tc>
          <w:tcPr>
            <w:tcW w:w="990" w:type="dxa"/>
            <w:vAlign w:val="center"/>
          </w:tcPr>
          <w:p w14:paraId="1614E0FE"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3C658F">
              <w:rPr>
                <w:rFonts w:ascii="Arial" w:eastAsia="Arial" w:hAnsi="Arial" w:cs="Arial"/>
                <w:sz w:val="16"/>
                <w:szCs w:val="16"/>
              </w:rPr>
              <w:t>0</w:t>
            </w:r>
          </w:p>
        </w:tc>
        <w:tc>
          <w:tcPr>
            <w:tcW w:w="1494" w:type="dxa"/>
            <w:vAlign w:val="center"/>
          </w:tcPr>
          <w:p w14:paraId="24ED444D" w14:textId="77B175A4"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w:t>
            </w:r>
          </w:p>
        </w:tc>
      </w:tr>
      <w:tr w:rsidR="003B6842" w:rsidRPr="003C658F" w14:paraId="428B17D0" w14:textId="3D61FCC3" w:rsidTr="003B6842">
        <w:tc>
          <w:tcPr>
            <w:cnfStyle w:val="001000000000" w:firstRow="0" w:lastRow="0" w:firstColumn="1" w:lastColumn="0" w:oddVBand="0" w:evenVBand="0" w:oddHBand="0" w:evenHBand="0" w:firstRowFirstColumn="0" w:firstRowLastColumn="0" w:lastRowFirstColumn="0" w:lastRowLastColumn="0"/>
            <w:tcW w:w="1620" w:type="dxa"/>
          </w:tcPr>
          <w:p w14:paraId="435481D6" w14:textId="77777777" w:rsidR="00237055" w:rsidRPr="003C658F" w:rsidRDefault="00237055" w:rsidP="00237055">
            <w:pPr>
              <w:jc w:val="center"/>
              <w:rPr>
                <w:rFonts w:ascii="Arial" w:eastAsia="Arial" w:hAnsi="Arial" w:cs="Arial"/>
                <w:sz w:val="16"/>
                <w:szCs w:val="16"/>
              </w:rPr>
            </w:pPr>
          </w:p>
        </w:tc>
        <w:tc>
          <w:tcPr>
            <w:tcW w:w="720" w:type="dxa"/>
            <w:vAlign w:val="center"/>
          </w:tcPr>
          <w:p w14:paraId="651C90BF" w14:textId="58EE26D4"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sz w:val="16"/>
                <w:szCs w:val="16"/>
              </w:rPr>
            </w:pPr>
            <w:r w:rsidRPr="003C658F">
              <w:rPr>
                <w:rFonts w:ascii="Arial" w:eastAsia="Arial" w:hAnsi="Arial" w:cs="Arial"/>
                <w:sz w:val="16"/>
                <w:szCs w:val="16"/>
              </w:rPr>
              <w:t>-</w:t>
            </w:r>
          </w:p>
        </w:tc>
        <w:tc>
          <w:tcPr>
            <w:tcW w:w="1080" w:type="dxa"/>
            <w:vAlign w:val="center"/>
          </w:tcPr>
          <w:p w14:paraId="13E9EC98"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3C658F">
              <w:rPr>
                <w:rFonts w:ascii="Arial" w:eastAsia="Arial" w:hAnsi="Arial" w:cs="Arial"/>
                <w:sz w:val="16"/>
                <w:szCs w:val="16"/>
              </w:rPr>
              <w:t>Pos</w:t>
            </w:r>
          </w:p>
        </w:tc>
        <w:tc>
          <w:tcPr>
            <w:tcW w:w="990" w:type="dxa"/>
            <w:vAlign w:val="center"/>
          </w:tcPr>
          <w:p w14:paraId="10264AB4"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3C658F">
              <w:rPr>
                <w:rFonts w:ascii="Arial" w:eastAsia="Arial" w:hAnsi="Arial" w:cs="Arial"/>
                <w:sz w:val="16"/>
                <w:szCs w:val="16"/>
              </w:rPr>
              <w:t>-</w:t>
            </w:r>
          </w:p>
        </w:tc>
        <w:tc>
          <w:tcPr>
            <w:tcW w:w="1080" w:type="dxa"/>
            <w:vAlign w:val="center"/>
          </w:tcPr>
          <w:p w14:paraId="280C99CF"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3C658F">
              <w:rPr>
                <w:rFonts w:ascii="Arial" w:eastAsia="Arial" w:hAnsi="Arial" w:cs="Arial"/>
                <w:bCs/>
                <w:sz w:val="16"/>
                <w:szCs w:val="16"/>
              </w:rPr>
              <w:t>Pos</w:t>
            </w:r>
          </w:p>
        </w:tc>
        <w:tc>
          <w:tcPr>
            <w:tcW w:w="2250" w:type="dxa"/>
            <w:vAlign w:val="center"/>
          </w:tcPr>
          <w:p w14:paraId="5EF50337"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 (0</w:t>
            </w:r>
            <w:r w:rsidRPr="003C658F">
              <w:rPr>
                <w:rFonts w:ascii="Arial" w:eastAsia="Arial" w:hAnsi="Arial" w:cs="Arial"/>
                <w:sz w:val="16"/>
                <w:szCs w:val="16"/>
              </w:rPr>
              <w:t>, 0)</w:t>
            </w:r>
          </w:p>
        </w:tc>
        <w:tc>
          <w:tcPr>
            <w:tcW w:w="990" w:type="dxa"/>
            <w:vAlign w:val="center"/>
          </w:tcPr>
          <w:p w14:paraId="78893389"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3C658F">
              <w:rPr>
                <w:rFonts w:ascii="Arial" w:eastAsia="Arial" w:hAnsi="Arial" w:cs="Arial"/>
                <w:sz w:val="16"/>
                <w:szCs w:val="16"/>
              </w:rPr>
              <w:t>0</w:t>
            </w:r>
          </w:p>
        </w:tc>
        <w:tc>
          <w:tcPr>
            <w:tcW w:w="1494" w:type="dxa"/>
            <w:vAlign w:val="center"/>
          </w:tcPr>
          <w:p w14:paraId="732AA6EB" w14:textId="6DFB0FAF"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w:t>
            </w:r>
          </w:p>
        </w:tc>
      </w:tr>
      <w:tr w:rsidR="003B6842" w:rsidRPr="003C658F" w14:paraId="7D93E016" w14:textId="46527CA8" w:rsidTr="003B6842">
        <w:tc>
          <w:tcPr>
            <w:cnfStyle w:val="001000000000" w:firstRow="0" w:lastRow="0" w:firstColumn="1" w:lastColumn="0" w:oddVBand="0" w:evenVBand="0" w:oddHBand="0" w:evenHBand="0" w:firstRowFirstColumn="0" w:firstRowLastColumn="0" w:lastRowFirstColumn="0" w:lastRowLastColumn="0"/>
            <w:tcW w:w="1620" w:type="dxa"/>
          </w:tcPr>
          <w:p w14:paraId="22E48536" w14:textId="77777777" w:rsidR="00237055" w:rsidRPr="003C658F" w:rsidRDefault="00237055" w:rsidP="00237055">
            <w:pPr>
              <w:jc w:val="center"/>
              <w:rPr>
                <w:rFonts w:ascii="Arial" w:eastAsia="Arial" w:hAnsi="Arial" w:cs="Arial"/>
                <w:sz w:val="16"/>
                <w:szCs w:val="16"/>
              </w:rPr>
            </w:pPr>
          </w:p>
        </w:tc>
        <w:tc>
          <w:tcPr>
            <w:tcW w:w="720" w:type="dxa"/>
            <w:vAlign w:val="center"/>
          </w:tcPr>
          <w:p w14:paraId="6D1D68F1" w14:textId="1C05BB06"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sz w:val="16"/>
                <w:szCs w:val="16"/>
              </w:rPr>
            </w:pPr>
            <w:r w:rsidRPr="003C658F">
              <w:rPr>
                <w:rFonts w:ascii="Arial" w:eastAsia="Arial" w:hAnsi="Arial" w:cs="Arial"/>
                <w:sz w:val="16"/>
                <w:szCs w:val="16"/>
              </w:rPr>
              <w:t>-</w:t>
            </w:r>
          </w:p>
        </w:tc>
        <w:tc>
          <w:tcPr>
            <w:tcW w:w="1080" w:type="dxa"/>
            <w:vAlign w:val="center"/>
          </w:tcPr>
          <w:p w14:paraId="1C4FD259"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3C658F">
              <w:rPr>
                <w:rFonts w:ascii="Arial" w:eastAsia="Arial" w:hAnsi="Arial" w:cs="Arial"/>
                <w:sz w:val="16"/>
                <w:szCs w:val="16"/>
              </w:rPr>
              <w:t>Pos</w:t>
            </w:r>
          </w:p>
        </w:tc>
        <w:tc>
          <w:tcPr>
            <w:tcW w:w="990" w:type="dxa"/>
            <w:vAlign w:val="center"/>
          </w:tcPr>
          <w:p w14:paraId="3D457048"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3C658F">
              <w:rPr>
                <w:rFonts w:ascii="Arial" w:eastAsia="Arial" w:hAnsi="Arial" w:cs="Arial"/>
                <w:sz w:val="16"/>
                <w:szCs w:val="16"/>
              </w:rPr>
              <w:t>-</w:t>
            </w:r>
          </w:p>
        </w:tc>
        <w:tc>
          <w:tcPr>
            <w:tcW w:w="1080" w:type="dxa"/>
            <w:vAlign w:val="center"/>
          </w:tcPr>
          <w:p w14:paraId="2BF14CBB"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3C658F">
              <w:rPr>
                <w:rFonts w:ascii="Arial" w:eastAsia="Arial" w:hAnsi="Arial" w:cs="Arial"/>
                <w:bCs/>
                <w:sz w:val="16"/>
                <w:szCs w:val="16"/>
              </w:rPr>
              <w:t>-</w:t>
            </w:r>
          </w:p>
        </w:tc>
        <w:tc>
          <w:tcPr>
            <w:tcW w:w="2250" w:type="dxa"/>
            <w:vAlign w:val="center"/>
          </w:tcPr>
          <w:p w14:paraId="5EE5A3B1"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3C658F">
              <w:rPr>
                <w:rFonts w:ascii="Arial" w:eastAsia="Arial" w:hAnsi="Arial" w:cs="Arial"/>
                <w:sz w:val="16"/>
                <w:szCs w:val="16"/>
              </w:rPr>
              <w:t>0 (0, 0)</w:t>
            </w:r>
          </w:p>
        </w:tc>
        <w:tc>
          <w:tcPr>
            <w:tcW w:w="990" w:type="dxa"/>
            <w:vAlign w:val="center"/>
          </w:tcPr>
          <w:p w14:paraId="2AC5B3EA"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w:t>
            </w:r>
          </w:p>
        </w:tc>
        <w:tc>
          <w:tcPr>
            <w:tcW w:w="1494" w:type="dxa"/>
            <w:vAlign w:val="center"/>
          </w:tcPr>
          <w:p w14:paraId="65851976" w14:textId="53959732" w:rsidR="00237055"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w:t>
            </w:r>
          </w:p>
        </w:tc>
      </w:tr>
      <w:tr w:rsidR="003B6842" w:rsidRPr="003C658F" w14:paraId="6136CBBF" w14:textId="3E2EBB4E" w:rsidTr="003B6842">
        <w:tc>
          <w:tcPr>
            <w:cnfStyle w:val="001000000000" w:firstRow="0" w:lastRow="0" w:firstColumn="1" w:lastColumn="0" w:oddVBand="0" w:evenVBand="0" w:oddHBand="0" w:evenHBand="0" w:firstRowFirstColumn="0" w:firstRowLastColumn="0" w:lastRowFirstColumn="0" w:lastRowLastColumn="0"/>
            <w:tcW w:w="1620" w:type="dxa"/>
          </w:tcPr>
          <w:p w14:paraId="60D8D9CF" w14:textId="77777777" w:rsidR="00237055" w:rsidRDefault="00237055" w:rsidP="00237055">
            <w:pPr>
              <w:jc w:val="center"/>
              <w:rPr>
                <w:rFonts w:ascii="Arial" w:eastAsia="Arial" w:hAnsi="Arial" w:cs="Arial"/>
                <w:sz w:val="16"/>
                <w:szCs w:val="16"/>
              </w:rPr>
            </w:pPr>
          </w:p>
        </w:tc>
        <w:tc>
          <w:tcPr>
            <w:tcW w:w="720" w:type="dxa"/>
            <w:vAlign w:val="center"/>
          </w:tcPr>
          <w:p w14:paraId="2D08A228" w14:textId="33D72CA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bCs/>
                <w:sz w:val="16"/>
                <w:szCs w:val="16"/>
              </w:rPr>
            </w:pPr>
            <w:r>
              <w:rPr>
                <w:rFonts w:ascii="Arial" w:eastAsia="Arial" w:hAnsi="Arial" w:cs="Arial"/>
                <w:sz w:val="16"/>
                <w:szCs w:val="16"/>
              </w:rPr>
              <w:t>-</w:t>
            </w:r>
          </w:p>
        </w:tc>
        <w:tc>
          <w:tcPr>
            <w:tcW w:w="1080" w:type="dxa"/>
            <w:vAlign w:val="center"/>
          </w:tcPr>
          <w:p w14:paraId="3F419D3E"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N/A*</w:t>
            </w:r>
          </w:p>
        </w:tc>
        <w:tc>
          <w:tcPr>
            <w:tcW w:w="990" w:type="dxa"/>
            <w:vAlign w:val="center"/>
          </w:tcPr>
          <w:p w14:paraId="533A1CA7"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Pos</w:t>
            </w:r>
          </w:p>
        </w:tc>
        <w:tc>
          <w:tcPr>
            <w:tcW w:w="1080" w:type="dxa"/>
            <w:vAlign w:val="center"/>
          </w:tcPr>
          <w:p w14:paraId="776A174B"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Pos</w:t>
            </w:r>
          </w:p>
        </w:tc>
        <w:tc>
          <w:tcPr>
            <w:tcW w:w="2250" w:type="dxa"/>
            <w:vAlign w:val="center"/>
          </w:tcPr>
          <w:p w14:paraId="49EDE959" w14:textId="77777777" w:rsidR="00237055"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 (0, 0)</w:t>
            </w:r>
          </w:p>
        </w:tc>
        <w:tc>
          <w:tcPr>
            <w:tcW w:w="990" w:type="dxa"/>
            <w:vAlign w:val="center"/>
          </w:tcPr>
          <w:p w14:paraId="471DE714"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w:t>
            </w:r>
          </w:p>
        </w:tc>
        <w:tc>
          <w:tcPr>
            <w:tcW w:w="1494" w:type="dxa"/>
            <w:vAlign w:val="center"/>
          </w:tcPr>
          <w:p w14:paraId="21D46758" w14:textId="2CD64549" w:rsidR="00237055"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w:t>
            </w:r>
          </w:p>
        </w:tc>
      </w:tr>
      <w:tr w:rsidR="003B6842" w:rsidRPr="003C658F" w14:paraId="6E5970C8" w14:textId="6C8D63CC" w:rsidTr="003B6842">
        <w:tc>
          <w:tcPr>
            <w:cnfStyle w:val="001000000000" w:firstRow="0" w:lastRow="0" w:firstColumn="1" w:lastColumn="0" w:oddVBand="0" w:evenVBand="0" w:oddHBand="0" w:evenHBand="0" w:firstRowFirstColumn="0" w:firstRowLastColumn="0" w:lastRowFirstColumn="0" w:lastRowLastColumn="0"/>
            <w:tcW w:w="1620" w:type="dxa"/>
          </w:tcPr>
          <w:p w14:paraId="07FCC4E2" w14:textId="77777777" w:rsidR="00237055" w:rsidRDefault="00237055" w:rsidP="00237055">
            <w:pPr>
              <w:jc w:val="center"/>
              <w:rPr>
                <w:rFonts w:ascii="Arial" w:eastAsia="Arial" w:hAnsi="Arial" w:cs="Arial"/>
                <w:sz w:val="16"/>
                <w:szCs w:val="16"/>
              </w:rPr>
            </w:pPr>
          </w:p>
        </w:tc>
        <w:tc>
          <w:tcPr>
            <w:tcW w:w="720" w:type="dxa"/>
            <w:vAlign w:val="center"/>
          </w:tcPr>
          <w:p w14:paraId="0E33444B" w14:textId="7A28BD8D"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bCs/>
                <w:sz w:val="16"/>
                <w:szCs w:val="16"/>
              </w:rPr>
            </w:pPr>
            <w:r>
              <w:rPr>
                <w:rFonts w:ascii="Arial" w:eastAsia="Arial" w:hAnsi="Arial" w:cs="Arial"/>
                <w:sz w:val="16"/>
                <w:szCs w:val="16"/>
              </w:rPr>
              <w:t>-</w:t>
            </w:r>
          </w:p>
        </w:tc>
        <w:tc>
          <w:tcPr>
            <w:tcW w:w="1080" w:type="dxa"/>
            <w:vAlign w:val="center"/>
          </w:tcPr>
          <w:p w14:paraId="5FCFA5EB"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N/A*</w:t>
            </w:r>
          </w:p>
        </w:tc>
        <w:tc>
          <w:tcPr>
            <w:tcW w:w="990" w:type="dxa"/>
            <w:vAlign w:val="center"/>
          </w:tcPr>
          <w:p w14:paraId="3C1D1CCF"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w:t>
            </w:r>
          </w:p>
        </w:tc>
        <w:tc>
          <w:tcPr>
            <w:tcW w:w="1080" w:type="dxa"/>
            <w:vAlign w:val="center"/>
          </w:tcPr>
          <w:p w14:paraId="43E71561"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Pos</w:t>
            </w:r>
          </w:p>
        </w:tc>
        <w:tc>
          <w:tcPr>
            <w:tcW w:w="2250" w:type="dxa"/>
            <w:vAlign w:val="center"/>
          </w:tcPr>
          <w:p w14:paraId="19CDAEA4" w14:textId="77777777" w:rsidR="00237055"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 (1, 0)</w:t>
            </w:r>
          </w:p>
        </w:tc>
        <w:tc>
          <w:tcPr>
            <w:tcW w:w="990" w:type="dxa"/>
            <w:vAlign w:val="center"/>
          </w:tcPr>
          <w:p w14:paraId="02B17EC8"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w:t>
            </w:r>
          </w:p>
        </w:tc>
        <w:tc>
          <w:tcPr>
            <w:tcW w:w="1494" w:type="dxa"/>
            <w:vAlign w:val="center"/>
          </w:tcPr>
          <w:p w14:paraId="073A783B" w14:textId="332CDF7B" w:rsidR="00237055"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w:t>
            </w:r>
          </w:p>
        </w:tc>
      </w:tr>
      <w:tr w:rsidR="003B6842" w:rsidRPr="003C658F" w14:paraId="2D85EFD1" w14:textId="6923314B" w:rsidTr="003B6842">
        <w:tc>
          <w:tcPr>
            <w:cnfStyle w:val="001000000000" w:firstRow="0" w:lastRow="0" w:firstColumn="1" w:lastColumn="0" w:oddVBand="0" w:evenVBand="0" w:oddHBand="0" w:evenHBand="0" w:firstRowFirstColumn="0" w:firstRowLastColumn="0" w:lastRowFirstColumn="0" w:lastRowLastColumn="0"/>
            <w:tcW w:w="1620" w:type="dxa"/>
          </w:tcPr>
          <w:p w14:paraId="04BD396C" w14:textId="77777777" w:rsidR="00237055" w:rsidRDefault="00237055" w:rsidP="00237055">
            <w:pPr>
              <w:jc w:val="center"/>
              <w:rPr>
                <w:rFonts w:ascii="Arial" w:eastAsia="Arial" w:hAnsi="Arial" w:cs="Arial"/>
                <w:sz w:val="16"/>
                <w:szCs w:val="16"/>
              </w:rPr>
            </w:pPr>
          </w:p>
        </w:tc>
        <w:tc>
          <w:tcPr>
            <w:tcW w:w="720" w:type="dxa"/>
            <w:vAlign w:val="center"/>
          </w:tcPr>
          <w:p w14:paraId="7848965A" w14:textId="0719D2EB"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bCs/>
                <w:sz w:val="16"/>
                <w:szCs w:val="16"/>
              </w:rPr>
            </w:pPr>
            <w:r>
              <w:rPr>
                <w:rFonts w:ascii="Arial" w:eastAsia="Arial" w:hAnsi="Arial" w:cs="Arial"/>
                <w:sz w:val="16"/>
                <w:szCs w:val="16"/>
              </w:rPr>
              <w:t>-</w:t>
            </w:r>
          </w:p>
        </w:tc>
        <w:tc>
          <w:tcPr>
            <w:tcW w:w="1080" w:type="dxa"/>
            <w:vAlign w:val="center"/>
          </w:tcPr>
          <w:p w14:paraId="13BCE89E"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N/A*</w:t>
            </w:r>
          </w:p>
        </w:tc>
        <w:tc>
          <w:tcPr>
            <w:tcW w:w="990" w:type="dxa"/>
            <w:vAlign w:val="center"/>
          </w:tcPr>
          <w:p w14:paraId="5134BADB"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w:t>
            </w:r>
          </w:p>
        </w:tc>
        <w:tc>
          <w:tcPr>
            <w:tcW w:w="1080" w:type="dxa"/>
            <w:vAlign w:val="center"/>
          </w:tcPr>
          <w:p w14:paraId="6EF14C02"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w:t>
            </w:r>
          </w:p>
        </w:tc>
        <w:tc>
          <w:tcPr>
            <w:tcW w:w="2250" w:type="dxa"/>
            <w:vAlign w:val="center"/>
          </w:tcPr>
          <w:p w14:paraId="584EB8B6" w14:textId="77777777" w:rsidR="00237055"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 (1, 0)</w:t>
            </w:r>
          </w:p>
        </w:tc>
        <w:tc>
          <w:tcPr>
            <w:tcW w:w="990" w:type="dxa"/>
            <w:vAlign w:val="center"/>
          </w:tcPr>
          <w:p w14:paraId="5F111600"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45</w:t>
            </w:r>
          </w:p>
        </w:tc>
        <w:tc>
          <w:tcPr>
            <w:tcW w:w="1494" w:type="dxa"/>
            <w:vAlign w:val="center"/>
          </w:tcPr>
          <w:p w14:paraId="0626FD7D" w14:textId="5B8642FB" w:rsidR="00237055"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46</w:t>
            </w:r>
          </w:p>
        </w:tc>
      </w:tr>
      <w:tr w:rsidR="003B6842" w:rsidRPr="003C658F" w14:paraId="60BFFDB9" w14:textId="20D765D3" w:rsidTr="003B6842">
        <w:tc>
          <w:tcPr>
            <w:cnfStyle w:val="001000000000" w:firstRow="0" w:lastRow="0" w:firstColumn="1" w:lastColumn="0" w:oddVBand="0" w:evenVBand="0" w:oddHBand="0" w:evenHBand="0" w:firstRowFirstColumn="0" w:firstRowLastColumn="0" w:lastRowFirstColumn="0" w:lastRowLastColumn="0"/>
            <w:tcW w:w="1620" w:type="dxa"/>
          </w:tcPr>
          <w:p w14:paraId="30157B96" w14:textId="77777777" w:rsidR="00237055" w:rsidRPr="003C658F" w:rsidRDefault="00237055" w:rsidP="00237055">
            <w:pPr>
              <w:jc w:val="center"/>
              <w:rPr>
                <w:rFonts w:ascii="Arial" w:eastAsia="Arial" w:hAnsi="Arial" w:cs="Arial"/>
                <w:sz w:val="16"/>
                <w:szCs w:val="16"/>
              </w:rPr>
            </w:pPr>
          </w:p>
        </w:tc>
        <w:tc>
          <w:tcPr>
            <w:tcW w:w="720" w:type="dxa"/>
            <w:vAlign w:val="center"/>
          </w:tcPr>
          <w:p w14:paraId="064DFB66" w14:textId="6A50929D"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sz w:val="16"/>
                <w:szCs w:val="16"/>
              </w:rPr>
            </w:pPr>
            <w:r w:rsidRPr="003C658F">
              <w:rPr>
                <w:rFonts w:ascii="Arial" w:eastAsia="Arial" w:hAnsi="Arial" w:cs="Arial"/>
                <w:sz w:val="16"/>
                <w:szCs w:val="16"/>
              </w:rPr>
              <w:t>-</w:t>
            </w:r>
          </w:p>
        </w:tc>
        <w:tc>
          <w:tcPr>
            <w:tcW w:w="1080" w:type="dxa"/>
            <w:vAlign w:val="center"/>
          </w:tcPr>
          <w:p w14:paraId="78B21CB1"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3C658F">
              <w:rPr>
                <w:rFonts w:ascii="Arial" w:eastAsia="Arial" w:hAnsi="Arial" w:cs="Arial"/>
                <w:sz w:val="16"/>
                <w:szCs w:val="16"/>
              </w:rPr>
              <w:t>-</w:t>
            </w:r>
          </w:p>
        </w:tc>
        <w:tc>
          <w:tcPr>
            <w:tcW w:w="990" w:type="dxa"/>
            <w:vAlign w:val="center"/>
          </w:tcPr>
          <w:p w14:paraId="6403ABAF"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3C658F">
              <w:rPr>
                <w:rFonts w:ascii="Arial" w:eastAsia="Arial" w:hAnsi="Arial" w:cs="Arial"/>
                <w:sz w:val="16"/>
                <w:szCs w:val="16"/>
              </w:rPr>
              <w:t>Pos</w:t>
            </w:r>
          </w:p>
        </w:tc>
        <w:tc>
          <w:tcPr>
            <w:tcW w:w="1080" w:type="dxa"/>
            <w:vAlign w:val="center"/>
          </w:tcPr>
          <w:p w14:paraId="7BDE3C4D"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3C658F">
              <w:rPr>
                <w:rFonts w:ascii="Arial" w:eastAsia="Arial" w:hAnsi="Arial" w:cs="Arial"/>
                <w:bCs/>
                <w:sz w:val="16"/>
                <w:szCs w:val="16"/>
              </w:rPr>
              <w:t>Pos</w:t>
            </w:r>
          </w:p>
        </w:tc>
        <w:tc>
          <w:tcPr>
            <w:tcW w:w="2250" w:type="dxa"/>
            <w:vAlign w:val="center"/>
          </w:tcPr>
          <w:p w14:paraId="2DE6FDD2"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 (0</w:t>
            </w:r>
            <w:r w:rsidRPr="003C658F">
              <w:rPr>
                <w:rFonts w:ascii="Arial" w:eastAsia="Arial" w:hAnsi="Arial" w:cs="Arial"/>
                <w:sz w:val="16"/>
                <w:szCs w:val="16"/>
              </w:rPr>
              <w:t>, 0)</w:t>
            </w:r>
          </w:p>
        </w:tc>
        <w:tc>
          <w:tcPr>
            <w:tcW w:w="990" w:type="dxa"/>
            <w:vAlign w:val="center"/>
          </w:tcPr>
          <w:p w14:paraId="11A4222E"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3C658F">
              <w:rPr>
                <w:rFonts w:ascii="Arial" w:eastAsia="Arial" w:hAnsi="Arial" w:cs="Arial"/>
                <w:sz w:val="16"/>
                <w:szCs w:val="16"/>
              </w:rPr>
              <w:t>0</w:t>
            </w:r>
          </w:p>
        </w:tc>
        <w:tc>
          <w:tcPr>
            <w:tcW w:w="1494" w:type="dxa"/>
            <w:vAlign w:val="center"/>
          </w:tcPr>
          <w:p w14:paraId="026A1916" w14:textId="48C47418"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w:t>
            </w:r>
          </w:p>
        </w:tc>
      </w:tr>
      <w:tr w:rsidR="003B6842" w:rsidRPr="003C658F" w14:paraId="72EE8036" w14:textId="3B5114C5" w:rsidTr="003B6842">
        <w:tc>
          <w:tcPr>
            <w:cnfStyle w:val="001000000000" w:firstRow="0" w:lastRow="0" w:firstColumn="1" w:lastColumn="0" w:oddVBand="0" w:evenVBand="0" w:oddHBand="0" w:evenHBand="0" w:firstRowFirstColumn="0" w:firstRowLastColumn="0" w:lastRowFirstColumn="0" w:lastRowLastColumn="0"/>
            <w:tcW w:w="1620" w:type="dxa"/>
          </w:tcPr>
          <w:p w14:paraId="1303145F" w14:textId="77777777" w:rsidR="00237055" w:rsidRPr="003C658F" w:rsidRDefault="00237055" w:rsidP="00237055">
            <w:pPr>
              <w:jc w:val="center"/>
              <w:rPr>
                <w:rFonts w:ascii="Arial" w:eastAsia="Arial" w:hAnsi="Arial" w:cs="Arial"/>
                <w:sz w:val="16"/>
                <w:szCs w:val="16"/>
              </w:rPr>
            </w:pPr>
          </w:p>
        </w:tc>
        <w:tc>
          <w:tcPr>
            <w:tcW w:w="720" w:type="dxa"/>
            <w:vAlign w:val="center"/>
          </w:tcPr>
          <w:p w14:paraId="40759932" w14:textId="4332E835"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sz w:val="16"/>
                <w:szCs w:val="16"/>
              </w:rPr>
            </w:pPr>
            <w:r w:rsidRPr="003C658F">
              <w:rPr>
                <w:rFonts w:ascii="Arial" w:eastAsia="Arial" w:hAnsi="Arial" w:cs="Arial"/>
                <w:sz w:val="16"/>
                <w:szCs w:val="16"/>
              </w:rPr>
              <w:t>-</w:t>
            </w:r>
          </w:p>
        </w:tc>
        <w:tc>
          <w:tcPr>
            <w:tcW w:w="1080" w:type="dxa"/>
            <w:vAlign w:val="center"/>
          </w:tcPr>
          <w:p w14:paraId="7A82D7B8"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3C658F">
              <w:rPr>
                <w:rFonts w:ascii="Arial" w:eastAsia="Arial" w:hAnsi="Arial" w:cs="Arial"/>
                <w:sz w:val="16"/>
                <w:szCs w:val="16"/>
              </w:rPr>
              <w:t>-</w:t>
            </w:r>
          </w:p>
        </w:tc>
        <w:tc>
          <w:tcPr>
            <w:tcW w:w="990" w:type="dxa"/>
            <w:vAlign w:val="center"/>
          </w:tcPr>
          <w:p w14:paraId="089AB5C4"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3C658F">
              <w:rPr>
                <w:rFonts w:ascii="Arial" w:eastAsia="Arial" w:hAnsi="Arial" w:cs="Arial"/>
                <w:sz w:val="16"/>
                <w:szCs w:val="16"/>
              </w:rPr>
              <w:t>-</w:t>
            </w:r>
          </w:p>
        </w:tc>
        <w:tc>
          <w:tcPr>
            <w:tcW w:w="1080" w:type="dxa"/>
            <w:vAlign w:val="center"/>
          </w:tcPr>
          <w:p w14:paraId="323BE6DD"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3C658F">
              <w:rPr>
                <w:rFonts w:ascii="Arial" w:eastAsia="Arial" w:hAnsi="Arial" w:cs="Arial"/>
                <w:bCs/>
                <w:sz w:val="16"/>
                <w:szCs w:val="16"/>
              </w:rPr>
              <w:t>Pos</w:t>
            </w:r>
          </w:p>
        </w:tc>
        <w:tc>
          <w:tcPr>
            <w:tcW w:w="2250" w:type="dxa"/>
            <w:vAlign w:val="center"/>
          </w:tcPr>
          <w:p w14:paraId="0D511A81"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 (0</w:t>
            </w:r>
            <w:r w:rsidRPr="003C658F">
              <w:rPr>
                <w:rFonts w:ascii="Arial" w:eastAsia="Arial" w:hAnsi="Arial" w:cs="Arial"/>
                <w:sz w:val="16"/>
                <w:szCs w:val="16"/>
              </w:rPr>
              <w:t>, 0)</w:t>
            </w:r>
          </w:p>
        </w:tc>
        <w:tc>
          <w:tcPr>
            <w:tcW w:w="990" w:type="dxa"/>
            <w:vAlign w:val="center"/>
          </w:tcPr>
          <w:p w14:paraId="7B7281E7"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w:t>
            </w:r>
          </w:p>
        </w:tc>
        <w:tc>
          <w:tcPr>
            <w:tcW w:w="1494" w:type="dxa"/>
            <w:vAlign w:val="center"/>
          </w:tcPr>
          <w:p w14:paraId="309690C0" w14:textId="33A69F8D" w:rsidR="00237055"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w:t>
            </w:r>
          </w:p>
        </w:tc>
      </w:tr>
      <w:tr w:rsidR="003B6842" w:rsidRPr="003C658F" w14:paraId="3B80D240" w14:textId="1B3BF5A9" w:rsidTr="003B6842">
        <w:tc>
          <w:tcPr>
            <w:cnfStyle w:val="001000000000" w:firstRow="0" w:lastRow="0" w:firstColumn="1" w:lastColumn="0" w:oddVBand="0" w:evenVBand="0" w:oddHBand="0" w:evenHBand="0" w:firstRowFirstColumn="0" w:firstRowLastColumn="0" w:lastRowFirstColumn="0" w:lastRowLastColumn="0"/>
            <w:tcW w:w="1620" w:type="dxa"/>
            <w:tcBorders>
              <w:bottom w:val="single" w:sz="4" w:space="0" w:color="auto"/>
            </w:tcBorders>
          </w:tcPr>
          <w:p w14:paraId="11EC4ADD" w14:textId="77777777" w:rsidR="00237055" w:rsidRPr="003C658F" w:rsidRDefault="00237055" w:rsidP="00237055">
            <w:pPr>
              <w:jc w:val="center"/>
              <w:rPr>
                <w:rFonts w:ascii="Arial" w:eastAsia="Arial" w:hAnsi="Arial" w:cs="Arial"/>
                <w:sz w:val="16"/>
                <w:szCs w:val="16"/>
              </w:rPr>
            </w:pPr>
          </w:p>
        </w:tc>
        <w:tc>
          <w:tcPr>
            <w:tcW w:w="720" w:type="dxa"/>
            <w:tcBorders>
              <w:bottom w:val="single" w:sz="4" w:space="0" w:color="auto"/>
            </w:tcBorders>
            <w:vAlign w:val="center"/>
          </w:tcPr>
          <w:p w14:paraId="42B99D37" w14:textId="78312F30"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sz w:val="16"/>
                <w:szCs w:val="16"/>
              </w:rPr>
            </w:pPr>
            <w:r w:rsidRPr="003C658F">
              <w:rPr>
                <w:rFonts w:ascii="Arial" w:eastAsia="Arial" w:hAnsi="Arial" w:cs="Arial"/>
                <w:sz w:val="16"/>
                <w:szCs w:val="16"/>
              </w:rPr>
              <w:t>-</w:t>
            </w:r>
          </w:p>
        </w:tc>
        <w:tc>
          <w:tcPr>
            <w:tcW w:w="1080" w:type="dxa"/>
            <w:tcBorders>
              <w:bottom w:val="single" w:sz="4" w:space="0" w:color="auto"/>
            </w:tcBorders>
            <w:vAlign w:val="center"/>
          </w:tcPr>
          <w:p w14:paraId="65D11BB9"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3C658F">
              <w:rPr>
                <w:rFonts w:ascii="Arial" w:eastAsia="Arial" w:hAnsi="Arial" w:cs="Arial"/>
                <w:sz w:val="16"/>
                <w:szCs w:val="16"/>
              </w:rPr>
              <w:t>-</w:t>
            </w:r>
          </w:p>
        </w:tc>
        <w:tc>
          <w:tcPr>
            <w:tcW w:w="990" w:type="dxa"/>
            <w:tcBorders>
              <w:bottom w:val="single" w:sz="4" w:space="0" w:color="auto"/>
            </w:tcBorders>
            <w:vAlign w:val="center"/>
          </w:tcPr>
          <w:p w14:paraId="222172C2"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3C658F">
              <w:rPr>
                <w:rFonts w:ascii="Arial" w:eastAsia="Arial" w:hAnsi="Arial" w:cs="Arial"/>
                <w:sz w:val="16"/>
                <w:szCs w:val="16"/>
              </w:rPr>
              <w:t>-</w:t>
            </w:r>
          </w:p>
        </w:tc>
        <w:tc>
          <w:tcPr>
            <w:tcW w:w="1080" w:type="dxa"/>
            <w:tcBorders>
              <w:bottom w:val="single" w:sz="4" w:space="0" w:color="auto"/>
            </w:tcBorders>
            <w:vAlign w:val="center"/>
          </w:tcPr>
          <w:p w14:paraId="783C3B30"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3C658F">
              <w:rPr>
                <w:rFonts w:ascii="Arial" w:eastAsia="Arial" w:hAnsi="Arial" w:cs="Arial"/>
                <w:bCs/>
                <w:sz w:val="16"/>
                <w:szCs w:val="16"/>
              </w:rPr>
              <w:t>-</w:t>
            </w:r>
          </w:p>
        </w:tc>
        <w:tc>
          <w:tcPr>
            <w:tcW w:w="2250" w:type="dxa"/>
            <w:tcBorders>
              <w:bottom w:val="single" w:sz="4" w:space="0" w:color="auto"/>
            </w:tcBorders>
            <w:vAlign w:val="center"/>
          </w:tcPr>
          <w:p w14:paraId="54CB630D"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 (0</w:t>
            </w:r>
            <w:r w:rsidRPr="003C658F">
              <w:rPr>
                <w:rFonts w:ascii="Arial" w:eastAsia="Arial" w:hAnsi="Arial" w:cs="Arial"/>
                <w:sz w:val="16"/>
                <w:szCs w:val="16"/>
              </w:rPr>
              <w:t>, 0)</w:t>
            </w:r>
          </w:p>
        </w:tc>
        <w:tc>
          <w:tcPr>
            <w:tcW w:w="990" w:type="dxa"/>
            <w:tcBorders>
              <w:bottom w:val="single" w:sz="4" w:space="0" w:color="auto"/>
            </w:tcBorders>
            <w:vAlign w:val="center"/>
          </w:tcPr>
          <w:p w14:paraId="19A3C9C9"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112</w:t>
            </w:r>
          </w:p>
        </w:tc>
        <w:tc>
          <w:tcPr>
            <w:tcW w:w="1494" w:type="dxa"/>
            <w:tcBorders>
              <w:bottom w:val="single" w:sz="4" w:space="0" w:color="auto"/>
            </w:tcBorders>
            <w:vAlign w:val="center"/>
          </w:tcPr>
          <w:p w14:paraId="664C1B0D" w14:textId="1A43AE1B" w:rsidR="00237055"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112</w:t>
            </w:r>
          </w:p>
        </w:tc>
      </w:tr>
      <w:tr w:rsidR="003B6842" w:rsidRPr="003C658F" w14:paraId="3FAD76D5" w14:textId="10B6A694" w:rsidTr="003B6842">
        <w:tc>
          <w:tcPr>
            <w:cnfStyle w:val="001000000000" w:firstRow="0" w:lastRow="0" w:firstColumn="1" w:lastColumn="0" w:oddVBand="0" w:evenVBand="0" w:oddHBand="0" w:evenHBand="0" w:firstRowFirstColumn="0" w:firstRowLastColumn="0" w:lastRowFirstColumn="0" w:lastRowLastColumn="0"/>
            <w:tcW w:w="1620" w:type="dxa"/>
            <w:tcBorders>
              <w:bottom w:val="single" w:sz="4" w:space="0" w:color="auto"/>
            </w:tcBorders>
            <w:vAlign w:val="center"/>
          </w:tcPr>
          <w:p w14:paraId="02399A4F" w14:textId="106B02A3" w:rsidR="00237055" w:rsidRPr="003C658F" w:rsidRDefault="00237055" w:rsidP="00D3036A">
            <w:pPr>
              <w:rPr>
                <w:rFonts w:ascii="Arial" w:eastAsia="Arial" w:hAnsi="Arial" w:cs="Arial"/>
                <w:sz w:val="16"/>
                <w:szCs w:val="16"/>
              </w:rPr>
            </w:pPr>
            <w:r>
              <w:rPr>
                <w:rFonts w:ascii="Arial" w:eastAsia="Arial" w:hAnsi="Arial" w:cs="Arial"/>
                <w:b w:val="0"/>
                <w:sz w:val="16"/>
                <w:szCs w:val="16"/>
              </w:rPr>
              <w:t>No. positive pools</w:t>
            </w:r>
          </w:p>
        </w:tc>
        <w:tc>
          <w:tcPr>
            <w:tcW w:w="720" w:type="dxa"/>
            <w:tcBorders>
              <w:bottom w:val="single" w:sz="4" w:space="0" w:color="auto"/>
            </w:tcBorders>
            <w:vAlign w:val="center"/>
          </w:tcPr>
          <w:p w14:paraId="18B3F592" w14:textId="6D12DB3C" w:rsidR="00237055" w:rsidRPr="003C658F" w:rsidRDefault="003C4FA2"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33</w:t>
            </w:r>
          </w:p>
        </w:tc>
        <w:tc>
          <w:tcPr>
            <w:tcW w:w="1080" w:type="dxa"/>
            <w:tcBorders>
              <w:bottom w:val="single" w:sz="4" w:space="0" w:color="auto"/>
            </w:tcBorders>
            <w:vAlign w:val="center"/>
          </w:tcPr>
          <w:p w14:paraId="4AE09F8E" w14:textId="3D3D995A" w:rsidR="00237055" w:rsidRPr="003C658F" w:rsidRDefault="003C4FA2"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24</w:t>
            </w:r>
          </w:p>
        </w:tc>
        <w:tc>
          <w:tcPr>
            <w:tcW w:w="990" w:type="dxa"/>
            <w:tcBorders>
              <w:bottom w:val="single" w:sz="4" w:space="0" w:color="auto"/>
            </w:tcBorders>
            <w:vAlign w:val="center"/>
          </w:tcPr>
          <w:p w14:paraId="2655E94C" w14:textId="0CDABAF5" w:rsidR="00237055" w:rsidRPr="003C658F" w:rsidRDefault="003C4FA2"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29</w:t>
            </w:r>
          </w:p>
        </w:tc>
        <w:tc>
          <w:tcPr>
            <w:tcW w:w="1080" w:type="dxa"/>
            <w:tcBorders>
              <w:bottom w:val="single" w:sz="4" w:space="0" w:color="auto"/>
            </w:tcBorders>
            <w:vAlign w:val="center"/>
          </w:tcPr>
          <w:p w14:paraId="48E3D2DD" w14:textId="5EB3C432" w:rsidR="00237055" w:rsidRPr="003C658F" w:rsidRDefault="003C4FA2"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31</w:t>
            </w:r>
          </w:p>
        </w:tc>
        <w:tc>
          <w:tcPr>
            <w:tcW w:w="2250" w:type="dxa"/>
            <w:tcBorders>
              <w:bottom w:val="single" w:sz="4" w:space="0" w:color="auto"/>
            </w:tcBorders>
            <w:vAlign w:val="center"/>
          </w:tcPr>
          <w:p w14:paraId="688736E8" w14:textId="1ADD873A" w:rsidR="00237055"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35 (32, 3)</w:t>
            </w:r>
          </w:p>
        </w:tc>
        <w:tc>
          <w:tcPr>
            <w:tcW w:w="990" w:type="dxa"/>
            <w:tcBorders>
              <w:bottom w:val="single" w:sz="4" w:space="0" w:color="auto"/>
            </w:tcBorders>
            <w:vAlign w:val="center"/>
          </w:tcPr>
          <w:p w14:paraId="265255AC" w14:textId="28F18ED6" w:rsidR="00237055" w:rsidRDefault="003B6842"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1494" w:type="dxa"/>
            <w:tcBorders>
              <w:bottom w:val="single" w:sz="4" w:space="0" w:color="auto"/>
            </w:tcBorders>
            <w:vAlign w:val="center"/>
          </w:tcPr>
          <w:p w14:paraId="4A2141F9" w14:textId="560174EB" w:rsidR="00237055" w:rsidRDefault="003B6842"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r>
      <w:tr w:rsidR="003B6842" w:rsidRPr="003C658F" w14:paraId="05849B26" w14:textId="78ECCEDC" w:rsidTr="003B6842">
        <w:tc>
          <w:tcPr>
            <w:cnfStyle w:val="001000000000" w:firstRow="0" w:lastRow="0" w:firstColumn="1" w:lastColumn="0" w:oddVBand="0" w:evenVBand="0" w:oddHBand="0" w:evenHBand="0" w:firstRowFirstColumn="0" w:firstRowLastColumn="0" w:lastRowFirstColumn="0" w:lastRowLastColumn="0"/>
            <w:tcW w:w="1620" w:type="dxa"/>
            <w:tcBorders>
              <w:bottom w:val="single" w:sz="4" w:space="0" w:color="auto"/>
            </w:tcBorders>
            <w:vAlign w:val="center"/>
          </w:tcPr>
          <w:p w14:paraId="4514C89F" w14:textId="7450E9C0" w:rsidR="00237055" w:rsidRPr="003C658F" w:rsidRDefault="00237055" w:rsidP="00D3036A">
            <w:pPr>
              <w:rPr>
                <w:rFonts w:ascii="Arial" w:eastAsia="Arial" w:hAnsi="Arial" w:cs="Arial"/>
                <w:sz w:val="16"/>
                <w:szCs w:val="16"/>
              </w:rPr>
            </w:pPr>
            <w:r>
              <w:rPr>
                <w:rFonts w:ascii="Arial" w:eastAsia="Arial" w:hAnsi="Arial" w:cs="Arial"/>
                <w:b w:val="0"/>
                <w:sz w:val="16"/>
                <w:szCs w:val="16"/>
              </w:rPr>
              <w:t>No. negative pools</w:t>
            </w:r>
          </w:p>
        </w:tc>
        <w:tc>
          <w:tcPr>
            <w:tcW w:w="720" w:type="dxa"/>
            <w:tcBorders>
              <w:bottom w:val="single" w:sz="4" w:space="0" w:color="auto"/>
            </w:tcBorders>
            <w:vAlign w:val="center"/>
          </w:tcPr>
          <w:p w14:paraId="4E25306D" w14:textId="4864AD1F" w:rsidR="00237055" w:rsidRPr="003C658F" w:rsidRDefault="00431A83"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159</w:t>
            </w:r>
          </w:p>
        </w:tc>
        <w:tc>
          <w:tcPr>
            <w:tcW w:w="1080" w:type="dxa"/>
            <w:tcBorders>
              <w:bottom w:val="single" w:sz="4" w:space="0" w:color="auto"/>
            </w:tcBorders>
            <w:vAlign w:val="center"/>
          </w:tcPr>
          <w:p w14:paraId="03BFA1D7" w14:textId="22A3C36B" w:rsidR="00237055" w:rsidRPr="003C658F" w:rsidRDefault="00431A83"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112</w:t>
            </w:r>
          </w:p>
        </w:tc>
        <w:tc>
          <w:tcPr>
            <w:tcW w:w="990" w:type="dxa"/>
            <w:tcBorders>
              <w:bottom w:val="single" w:sz="4" w:space="0" w:color="auto"/>
            </w:tcBorders>
            <w:vAlign w:val="center"/>
          </w:tcPr>
          <w:p w14:paraId="69B07039" w14:textId="0EA775CB" w:rsidR="00237055" w:rsidRPr="003C658F" w:rsidRDefault="003B6842"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163</w:t>
            </w:r>
          </w:p>
        </w:tc>
        <w:tc>
          <w:tcPr>
            <w:tcW w:w="1080" w:type="dxa"/>
            <w:tcBorders>
              <w:bottom w:val="single" w:sz="4" w:space="0" w:color="auto"/>
            </w:tcBorders>
            <w:vAlign w:val="center"/>
          </w:tcPr>
          <w:p w14:paraId="30CE209C" w14:textId="1E99F194" w:rsidR="00237055" w:rsidRPr="003C658F" w:rsidRDefault="003B6842"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161</w:t>
            </w:r>
          </w:p>
        </w:tc>
        <w:tc>
          <w:tcPr>
            <w:tcW w:w="2250" w:type="dxa"/>
            <w:tcBorders>
              <w:bottom w:val="single" w:sz="4" w:space="0" w:color="auto"/>
            </w:tcBorders>
            <w:vAlign w:val="center"/>
          </w:tcPr>
          <w:p w14:paraId="378AA331" w14:textId="3F6BE308" w:rsidR="00237055" w:rsidRDefault="003B6842"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990" w:type="dxa"/>
            <w:tcBorders>
              <w:bottom w:val="single" w:sz="4" w:space="0" w:color="auto"/>
            </w:tcBorders>
            <w:vAlign w:val="center"/>
          </w:tcPr>
          <w:p w14:paraId="5CA37321" w14:textId="6B52672E" w:rsidR="00237055"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157</w:t>
            </w:r>
          </w:p>
        </w:tc>
        <w:tc>
          <w:tcPr>
            <w:tcW w:w="1494" w:type="dxa"/>
            <w:tcBorders>
              <w:bottom w:val="single" w:sz="4" w:space="0" w:color="auto"/>
            </w:tcBorders>
            <w:vAlign w:val="center"/>
          </w:tcPr>
          <w:p w14:paraId="2FC8D338" w14:textId="4DDF393E" w:rsidR="00237055" w:rsidRDefault="003B6842"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r>
      <w:tr w:rsidR="003B6842" w:rsidRPr="003C658F" w14:paraId="23C30097" w14:textId="465BEA94" w:rsidTr="003B6842">
        <w:tc>
          <w:tcPr>
            <w:cnfStyle w:val="001000000000" w:firstRow="0" w:lastRow="0" w:firstColumn="1" w:lastColumn="0" w:oddVBand="0" w:evenVBand="0" w:oddHBand="0" w:evenHBand="0" w:firstRowFirstColumn="0" w:firstRowLastColumn="0" w:lastRowFirstColumn="0" w:lastRowLastColumn="0"/>
            <w:tcW w:w="1620" w:type="dxa"/>
            <w:tcBorders>
              <w:bottom w:val="single" w:sz="4" w:space="0" w:color="auto"/>
            </w:tcBorders>
            <w:vAlign w:val="center"/>
          </w:tcPr>
          <w:p w14:paraId="38DB2710" w14:textId="5F244FFA" w:rsidR="00237055" w:rsidRPr="003C658F" w:rsidRDefault="00237055" w:rsidP="00D3036A">
            <w:pPr>
              <w:rPr>
                <w:rFonts w:ascii="Arial" w:eastAsia="Arial" w:hAnsi="Arial" w:cs="Arial"/>
                <w:sz w:val="16"/>
                <w:szCs w:val="16"/>
              </w:rPr>
            </w:pPr>
            <w:r>
              <w:rPr>
                <w:rFonts w:ascii="Arial" w:eastAsia="Arial" w:hAnsi="Arial" w:cs="Arial"/>
                <w:b w:val="0"/>
                <w:sz w:val="16"/>
                <w:szCs w:val="16"/>
              </w:rPr>
              <w:t>Total no. pools</w:t>
            </w:r>
          </w:p>
        </w:tc>
        <w:tc>
          <w:tcPr>
            <w:tcW w:w="720" w:type="dxa"/>
            <w:tcBorders>
              <w:bottom w:val="single" w:sz="4" w:space="0" w:color="auto"/>
            </w:tcBorders>
            <w:vAlign w:val="center"/>
          </w:tcPr>
          <w:p w14:paraId="74EF4DD1" w14:textId="432498B4" w:rsidR="00237055" w:rsidRPr="003C658F" w:rsidRDefault="00431A83"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192</w:t>
            </w:r>
          </w:p>
        </w:tc>
        <w:tc>
          <w:tcPr>
            <w:tcW w:w="1080" w:type="dxa"/>
            <w:tcBorders>
              <w:bottom w:val="single" w:sz="4" w:space="0" w:color="auto"/>
            </w:tcBorders>
            <w:vAlign w:val="center"/>
          </w:tcPr>
          <w:p w14:paraId="1B895279" w14:textId="4FD187DE" w:rsidR="00237055" w:rsidRPr="003C658F" w:rsidRDefault="003B6842"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136</w:t>
            </w:r>
          </w:p>
        </w:tc>
        <w:tc>
          <w:tcPr>
            <w:tcW w:w="990" w:type="dxa"/>
            <w:tcBorders>
              <w:bottom w:val="single" w:sz="4" w:space="0" w:color="auto"/>
            </w:tcBorders>
            <w:vAlign w:val="center"/>
          </w:tcPr>
          <w:p w14:paraId="7E2DB60F" w14:textId="3FE3C968" w:rsidR="00237055" w:rsidRPr="003C658F" w:rsidRDefault="003B6842"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192</w:t>
            </w:r>
          </w:p>
        </w:tc>
        <w:tc>
          <w:tcPr>
            <w:tcW w:w="1080" w:type="dxa"/>
            <w:tcBorders>
              <w:bottom w:val="single" w:sz="4" w:space="0" w:color="auto"/>
            </w:tcBorders>
            <w:vAlign w:val="center"/>
          </w:tcPr>
          <w:p w14:paraId="3AAE4FF1" w14:textId="1E0EF8CF" w:rsidR="00237055" w:rsidRPr="003C658F" w:rsidRDefault="003B6842"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192</w:t>
            </w:r>
          </w:p>
        </w:tc>
        <w:tc>
          <w:tcPr>
            <w:tcW w:w="2250" w:type="dxa"/>
            <w:tcBorders>
              <w:bottom w:val="single" w:sz="4" w:space="0" w:color="auto"/>
            </w:tcBorders>
            <w:vAlign w:val="center"/>
          </w:tcPr>
          <w:p w14:paraId="7223AE00" w14:textId="07A3DEFC" w:rsidR="00237055" w:rsidRDefault="003B6842"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990" w:type="dxa"/>
            <w:tcBorders>
              <w:bottom w:val="single" w:sz="4" w:space="0" w:color="auto"/>
            </w:tcBorders>
            <w:vAlign w:val="center"/>
          </w:tcPr>
          <w:p w14:paraId="5DD732C1" w14:textId="4CCC474C" w:rsidR="00237055" w:rsidRDefault="003B6842"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1494" w:type="dxa"/>
            <w:tcBorders>
              <w:bottom w:val="single" w:sz="4" w:space="0" w:color="auto"/>
            </w:tcBorders>
            <w:vAlign w:val="center"/>
          </w:tcPr>
          <w:p w14:paraId="4F43046F" w14:textId="761FDE2F" w:rsidR="00237055"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192</w:t>
            </w:r>
          </w:p>
        </w:tc>
      </w:tr>
      <w:tr w:rsidR="00237055" w:rsidRPr="003C658F" w14:paraId="32A87D52" w14:textId="0D2CE5A4" w:rsidTr="00DE700A">
        <w:trPr>
          <w:trHeight w:val="809"/>
        </w:trPr>
        <w:tc>
          <w:tcPr>
            <w:cnfStyle w:val="001000000000" w:firstRow="0" w:lastRow="0" w:firstColumn="1" w:lastColumn="0" w:oddVBand="0" w:evenVBand="0" w:oddHBand="0" w:evenHBand="0" w:firstRowFirstColumn="0" w:firstRowLastColumn="0" w:lastRowFirstColumn="0" w:lastRowLastColumn="0"/>
            <w:tcW w:w="0" w:type="dxa"/>
            <w:gridSpan w:val="8"/>
            <w:tcBorders>
              <w:top w:val="single" w:sz="4" w:space="0" w:color="auto"/>
              <w:bottom w:val="nil"/>
            </w:tcBorders>
            <w:vAlign w:val="bottom"/>
          </w:tcPr>
          <w:p w14:paraId="254A0676" w14:textId="746BD7C2" w:rsidR="00237055" w:rsidRPr="00B0314B" w:rsidRDefault="00237055" w:rsidP="009A194E">
            <w:pPr>
              <w:rPr>
                <w:rFonts w:ascii="Arial" w:eastAsia="Arial" w:hAnsi="Arial" w:cs="Arial"/>
                <w:b w:val="0"/>
                <w:sz w:val="16"/>
                <w:szCs w:val="16"/>
              </w:rPr>
            </w:pPr>
            <w:r w:rsidRPr="00B0314B">
              <w:rPr>
                <w:rFonts w:ascii="Arial" w:eastAsia="Arial" w:hAnsi="Arial" w:cs="Arial"/>
                <w:sz w:val="16"/>
                <w:szCs w:val="16"/>
              </w:rPr>
              <w:t>*</w:t>
            </w:r>
            <w:r w:rsidR="00D3036A">
              <w:rPr>
                <w:rFonts w:ascii="Arial" w:eastAsia="Arial" w:hAnsi="Arial" w:cs="Arial"/>
                <w:b w:val="0"/>
                <w:sz w:val="16"/>
                <w:szCs w:val="16"/>
              </w:rPr>
              <w:t xml:space="preserve">N/A, not applicable, indicates pools </w:t>
            </w:r>
            <w:r>
              <w:rPr>
                <w:rFonts w:ascii="Arial" w:eastAsia="Arial" w:hAnsi="Arial" w:cs="Arial"/>
                <w:b w:val="0"/>
                <w:sz w:val="16"/>
                <w:szCs w:val="16"/>
              </w:rPr>
              <w:t>with no Panther Fusion testing done.</w:t>
            </w:r>
          </w:p>
          <w:p w14:paraId="0E7276C9" w14:textId="23E69BF5" w:rsidR="00237055" w:rsidRPr="00B0314B" w:rsidRDefault="00237055" w:rsidP="00A44FDB">
            <w:pPr>
              <w:rPr>
                <w:rFonts w:ascii="Arial" w:eastAsia="Arial" w:hAnsi="Arial" w:cs="Arial"/>
                <w:sz w:val="16"/>
                <w:szCs w:val="16"/>
              </w:rPr>
            </w:pPr>
            <w:r w:rsidRPr="003C658F">
              <w:rPr>
                <w:rFonts w:ascii="Arial" w:eastAsia="Arial" w:hAnsi="Arial" w:cs="Arial"/>
                <w:b w:val="0"/>
                <w:sz w:val="16"/>
                <w:szCs w:val="16"/>
              </w:rPr>
              <w:t>LDT, lab</w:t>
            </w:r>
            <w:r>
              <w:rPr>
                <w:rFonts w:ascii="Arial" w:eastAsia="Arial" w:hAnsi="Arial" w:cs="Arial"/>
                <w:b w:val="0"/>
                <w:sz w:val="16"/>
                <w:szCs w:val="16"/>
              </w:rPr>
              <w:t>oratory-</w:t>
            </w:r>
            <w:r w:rsidRPr="003C658F">
              <w:rPr>
                <w:rFonts w:ascii="Arial" w:eastAsia="Arial" w:hAnsi="Arial" w:cs="Arial"/>
                <w:b w:val="0"/>
                <w:sz w:val="16"/>
                <w:szCs w:val="16"/>
              </w:rPr>
              <w:t xml:space="preserve">developed test; Panther Aptima-M, Panther Aptima with manufacturer-set relative light unit cutoff; Panther Aptima-350, Panther Aptima with relative light unit cutoff of &gt;350 considered positive; no., number; 1PP, 1 positive specimen in pool; &gt;1PP, 2 or more positive specimens in pool; Pos, positive; -, negative; </w:t>
            </w:r>
            <w:r w:rsidRPr="003C658F">
              <w:rPr>
                <w:rFonts w:ascii="Arial" w:eastAsia="Arial" w:hAnsi="Arial" w:cs="Arial"/>
                <w:b w:val="0"/>
                <w:bCs w:val="0"/>
                <w:sz w:val="16"/>
                <w:szCs w:val="16"/>
              </w:rPr>
              <w:t>C</w:t>
            </w:r>
            <w:r w:rsidRPr="003C658F">
              <w:rPr>
                <w:rFonts w:ascii="Arial" w:eastAsia="Arial" w:hAnsi="Arial" w:cs="Arial"/>
                <w:b w:val="0"/>
                <w:bCs w:val="0"/>
                <w:sz w:val="16"/>
                <w:szCs w:val="16"/>
                <w:vertAlign w:val="subscript"/>
              </w:rPr>
              <w:t>t</w:t>
            </w:r>
            <w:r w:rsidRPr="003C658F">
              <w:rPr>
                <w:rFonts w:ascii="Arial" w:eastAsia="Arial" w:hAnsi="Arial" w:cs="Arial"/>
                <w:b w:val="0"/>
                <w:bCs w:val="0"/>
                <w:sz w:val="16"/>
                <w:szCs w:val="16"/>
              </w:rPr>
              <w:t xml:space="preserve">, cycle threshold; </w:t>
            </w:r>
            <w:r w:rsidRPr="003C658F">
              <w:rPr>
                <w:rFonts w:ascii="Arial" w:eastAsia="Arial" w:hAnsi="Arial" w:cs="Arial"/>
                <w:b w:val="0"/>
                <w:sz w:val="16"/>
                <w:szCs w:val="16"/>
              </w:rPr>
              <w:t>RLU, relative light unit.</w:t>
            </w:r>
          </w:p>
        </w:tc>
      </w:tr>
    </w:tbl>
    <w:p w14:paraId="06ACF047" w14:textId="2CF647A8" w:rsidR="00DF6F6F" w:rsidRPr="00084FA1" w:rsidRDefault="00DF6F6F" w:rsidP="00084FA1">
      <w:pPr>
        <w:rPr>
          <w:rFonts w:ascii="Arial" w:hAnsi="Arial" w:cs="Arial"/>
          <w:bCs/>
          <w:sz w:val="20"/>
          <w:szCs w:val="20"/>
        </w:rPr>
      </w:pPr>
      <w:r>
        <w:br w:type="page"/>
      </w:r>
    </w:p>
    <w:p w14:paraId="283C8CDF" w14:textId="73EB4FF0" w:rsidR="00DF6F6F" w:rsidRDefault="00DF6F6F" w:rsidP="00DF6F6F">
      <w:pPr>
        <w:spacing w:line="480" w:lineRule="auto"/>
        <w:rPr>
          <w:rFonts w:eastAsia="Arial"/>
        </w:rPr>
      </w:pPr>
      <w:r>
        <w:rPr>
          <w:rFonts w:eastAsia="Arial"/>
          <w:b/>
          <w:bCs/>
        </w:rPr>
        <w:lastRenderedPageBreak/>
        <w:t>Appendix Table</w:t>
      </w:r>
      <w:r w:rsidRPr="00B1770D">
        <w:rPr>
          <w:rFonts w:eastAsia="Arial"/>
          <w:b/>
          <w:bCs/>
        </w:rPr>
        <w:t xml:space="preserve"> </w:t>
      </w:r>
      <w:r w:rsidR="00084FA1">
        <w:rPr>
          <w:rFonts w:eastAsia="Arial"/>
          <w:b/>
          <w:bCs/>
        </w:rPr>
        <w:t>3</w:t>
      </w:r>
      <w:r w:rsidRPr="00B1770D">
        <w:rPr>
          <w:rFonts w:eastAsia="Arial"/>
          <w:b/>
          <w:bCs/>
        </w:rPr>
        <w:t>.</w:t>
      </w:r>
      <w:r w:rsidRPr="006F1059">
        <w:rPr>
          <w:rFonts w:eastAsia="Arial"/>
        </w:rPr>
        <w:t xml:space="preserve"> </w:t>
      </w:r>
      <w:r w:rsidR="00200BFB">
        <w:rPr>
          <w:rFonts w:eastAsia="Arial"/>
        </w:rPr>
        <w:t>Modeled versus empiric positive percent agreement and testing efficiency</w:t>
      </w:r>
    </w:p>
    <w:tbl>
      <w:tblPr>
        <w:tblStyle w:val="PlainTable21"/>
        <w:tblW w:w="1170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1648"/>
        <w:gridCol w:w="537"/>
        <w:gridCol w:w="1018"/>
        <w:gridCol w:w="812"/>
        <w:gridCol w:w="627"/>
        <w:gridCol w:w="768"/>
        <w:gridCol w:w="1790"/>
        <w:gridCol w:w="1710"/>
        <w:gridCol w:w="1918"/>
        <w:gridCol w:w="872"/>
      </w:tblGrid>
      <w:tr w:rsidR="00AF1EBE" w14:paraId="6B322527" w14:textId="059F3388" w:rsidTr="00AF1EBE">
        <w:trPr>
          <w:cnfStyle w:val="100000000000" w:firstRow="1" w:lastRow="0" w:firstColumn="0" w:lastColumn="0" w:oddVBand="0" w:evenVBand="0" w:oddHBand="0"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648" w:type="dxa"/>
            <w:vMerge w:val="restart"/>
            <w:tcBorders>
              <w:left w:val="nil"/>
              <w:right w:val="nil"/>
            </w:tcBorders>
            <w:vAlign w:val="center"/>
          </w:tcPr>
          <w:p w14:paraId="35F51457" w14:textId="77777777" w:rsidR="0089148A" w:rsidRPr="000A0FFD" w:rsidRDefault="0089148A" w:rsidP="009D41AA">
            <w:pPr>
              <w:rPr>
                <w:rFonts w:ascii="Arial" w:eastAsia="Arial" w:hAnsi="Arial" w:cs="Arial"/>
                <w:sz w:val="16"/>
                <w:szCs w:val="16"/>
              </w:rPr>
            </w:pPr>
            <w:r w:rsidRPr="000A0FFD">
              <w:rPr>
                <w:rFonts w:ascii="Arial" w:eastAsia="Arial" w:hAnsi="Arial" w:cs="Arial"/>
                <w:b w:val="0"/>
                <w:sz w:val="16"/>
                <w:szCs w:val="16"/>
              </w:rPr>
              <w:t xml:space="preserve">Testing </w:t>
            </w:r>
            <w:r>
              <w:rPr>
                <w:rFonts w:ascii="Arial" w:eastAsia="Arial" w:hAnsi="Arial" w:cs="Arial"/>
                <w:b w:val="0"/>
                <w:sz w:val="16"/>
                <w:szCs w:val="16"/>
              </w:rPr>
              <w:t>p</w:t>
            </w:r>
            <w:r w:rsidRPr="000A0FFD">
              <w:rPr>
                <w:rFonts w:ascii="Arial" w:eastAsia="Arial" w:hAnsi="Arial" w:cs="Arial"/>
                <w:b w:val="0"/>
                <w:sz w:val="16"/>
                <w:szCs w:val="16"/>
              </w:rPr>
              <w:t>latform</w:t>
            </w:r>
          </w:p>
        </w:tc>
        <w:tc>
          <w:tcPr>
            <w:tcW w:w="537" w:type="dxa"/>
            <w:vMerge w:val="restart"/>
            <w:tcBorders>
              <w:left w:val="nil"/>
              <w:right w:val="nil"/>
            </w:tcBorders>
            <w:vAlign w:val="center"/>
          </w:tcPr>
          <w:p w14:paraId="161A1278" w14:textId="77777777" w:rsidR="0089148A" w:rsidRPr="000A0FFD" w:rsidRDefault="0089148A" w:rsidP="004B1946">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b w:val="0"/>
                <w:sz w:val="16"/>
                <w:szCs w:val="16"/>
              </w:rPr>
              <w:t>Pool size</w:t>
            </w:r>
          </w:p>
        </w:tc>
        <w:tc>
          <w:tcPr>
            <w:tcW w:w="1018" w:type="dxa"/>
            <w:vMerge w:val="restart"/>
            <w:tcBorders>
              <w:left w:val="nil"/>
              <w:right w:val="nil"/>
            </w:tcBorders>
            <w:vAlign w:val="center"/>
          </w:tcPr>
          <w:p w14:paraId="0143364D" w14:textId="1CBA593A" w:rsidR="0089148A" w:rsidRPr="000A0FFD" w:rsidRDefault="0089148A" w:rsidP="00071C38">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b w:val="0"/>
                <w:sz w:val="16"/>
                <w:szCs w:val="16"/>
              </w:rPr>
              <w:t>Test</w:t>
            </w:r>
            <w:r w:rsidRPr="000A0FFD">
              <w:rPr>
                <w:rFonts w:ascii="Arial" w:eastAsia="Arial" w:hAnsi="Arial" w:cs="Arial"/>
                <w:b w:val="0"/>
                <w:sz w:val="16"/>
                <w:szCs w:val="16"/>
              </w:rPr>
              <w:t xml:space="preserve"> type</w:t>
            </w:r>
          </w:p>
        </w:tc>
        <w:tc>
          <w:tcPr>
            <w:tcW w:w="2207" w:type="dxa"/>
            <w:gridSpan w:val="3"/>
            <w:tcBorders>
              <w:left w:val="nil"/>
              <w:right w:val="nil"/>
            </w:tcBorders>
            <w:vAlign w:val="center"/>
          </w:tcPr>
          <w:p w14:paraId="72FF580D" w14:textId="4370F3B2" w:rsidR="0089148A" w:rsidRPr="000A0FFD" w:rsidRDefault="0089148A" w:rsidP="00603087">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sz w:val="16"/>
                <w:szCs w:val="16"/>
              </w:rPr>
            </w:pPr>
            <w:r>
              <w:rPr>
                <w:rFonts w:ascii="Arial" w:eastAsia="Arial" w:hAnsi="Arial" w:cs="Arial"/>
                <w:b w:val="0"/>
                <w:sz w:val="16"/>
                <w:szCs w:val="16"/>
              </w:rPr>
              <w:t>Model input</w:t>
            </w:r>
            <w:r w:rsidR="001769EE">
              <w:rPr>
                <w:rFonts w:ascii="Arial" w:eastAsia="Arial" w:hAnsi="Arial" w:cs="Arial"/>
                <w:b w:val="0"/>
                <w:sz w:val="16"/>
                <w:szCs w:val="16"/>
              </w:rPr>
              <w:t xml:space="preserve"> variables</w:t>
            </w:r>
          </w:p>
        </w:tc>
        <w:tc>
          <w:tcPr>
            <w:tcW w:w="3500" w:type="dxa"/>
            <w:gridSpan w:val="2"/>
            <w:tcBorders>
              <w:left w:val="nil"/>
              <w:right w:val="nil"/>
            </w:tcBorders>
            <w:vAlign w:val="center"/>
          </w:tcPr>
          <w:p w14:paraId="48E1DCF3" w14:textId="147E5D1B" w:rsidR="0089148A" w:rsidRPr="009A194E" w:rsidRDefault="0089148A" w:rsidP="008F4D34">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val="0"/>
                <w:sz w:val="16"/>
                <w:szCs w:val="16"/>
              </w:rPr>
            </w:pPr>
            <w:r>
              <w:rPr>
                <w:rFonts w:ascii="Arial" w:eastAsia="Arial" w:hAnsi="Arial" w:cs="Arial"/>
                <w:b w:val="0"/>
                <w:bCs w:val="0"/>
                <w:sz w:val="16"/>
                <w:szCs w:val="16"/>
              </w:rPr>
              <w:t xml:space="preserve">Model </w:t>
            </w:r>
            <w:r w:rsidR="001769EE">
              <w:rPr>
                <w:rFonts w:ascii="Arial" w:eastAsia="Arial" w:hAnsi="Arial" w:cs="Arial"/>
                <w:b w:val="0"/>
                <w:bCs w:val="0"/>
                <w:sz w:val="16"/>
                <w:szCs w:val="16"/>
              </w:rPr>
              <w:t xml:space="preserve">estimate </w:t>
            </w:r>
            <w:r>
              <w:rPr>
                <w:rFonts w:ascii="Arial" w:eastAsia="Arial" w:hAnsi="Arial" w:cs="Arial"/>
                <w:b w:val="0"/>
                <w:bCs w:val="0"/>
                <w:sz w:val="16"/>
                <w:szCs w:val="16"/>
              </w:rPr>
              <w:t>with PSA</w:t>
            </w:r>
          </w:p>
        </w:tc>
        <w:tc>
          <w:tcPr>
            <w:tcW w:w="2790" w:type="dxa"/>
            <w:gridSpan w:val="2"/>
            <w:tcBorders>
              <w:left w:val="nil"/>
              <w:right w:val="nil"/>
            </w:tcBorders>
            <w:vAlign w:val="center"/>
          </w:tcPr>
          <w:p w14:paraId="4788A519" w14:textId="03BCB2DF" w:rsidR="0089148A" w:rsidRDefault="0089148A">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val="0"/>
                <w:sz w:val="16"/>
                <w:szCs w:val="16"/>
              </w:rPr>
            </w:pPr>
            <w:r>
              <w:rPr>
                <w:rFonts w:ascii="Arial" w:eastAsia="Arial" w:hAnsi="Arial" w:cs="Arial"/>
                <w:b w:val="0"/>
                <w:bCs w:val="0"/>
                <w:sz w:val="16"/>
                <w:szCs w:val="16"/>
              </w:rPr>
              <w:t>Empiric data</w:t>
            </w:r>
          </w:p>
        </w:tc>
      </w:tr>
      <w:tr w:rsidR="00AF1EBE" w14:paraId="4DF8F6AF" w14:textId="60328EDD" w:rsidTr="00AF1EBE">
        <w:trPr>
          <w:trHeight w:val="282"/>
        </w:trPr>
        <w:tc>
          <w:tcPr>
            <w:cnfStyle w:val="001000000000" w:firstRow="0" w:lastRow="0" w:firstColumn="1" w:lastColumn="0" w:oddVBand="0" w:evenVBand="0" w:oddHBand="0" w:evenHBand="0" w:firstRowFirstColumn="0" w:firstRowLastColumn="0" w:lastRowFirstColumn="0" w:lastRowLastColumn="0"/>
            <w:tcW w:w="1648" w:type="dxa"/>
            <w:vMerge/>
            <w:tcBorders>
              <w:left w:val="nil"/>
              <w:right w:val="nil"/>
            </w:tcBorders>
            <w:vAlign w:val="center"/>
          </w:tcPr>
          <w:p w14:paraId="7DC82B3F" w14:textId="77777777" w:rsidR="0089148A" w:rsidRPr="000A0FFD" w:rsidRDefault="0089148A">
            <w:pPr>
              <w:rPr>
                <w:rFonts w:ascii="Arial" w:eastAsia="Arial" w:hAnsi="Arial" w:cs="Arial"/>
                <w:b w:val="0"/>
                <w:sz w:val="16"/>
                <w:szCs w:val="16"/>
              </w:rPr>
            </w:pPr>
          </w:p>
        </w:tc>
        <w:tc>
          <w:tcPr>
            <w:tcW w:w="537" w:type="dxa"/>
            <w:vMerge/>
            <w:tcBorders>
              <w:left w:val="nil"/>
              <w:right w:val="nil"/>
            </w:tcBorders>
            <w:vAlign w:val="center"/>
          </w:tcPr>
          <w:p w14:paraId="03300740" w14:textId="77777777" w:rsidR="0089148A" w:rsidRPr="000A0FFD"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p>
        </w:tc>
        <w:tc>
          <w:tcPr>
            <w:tcW w:w="1018" w:type="dxa"/>
            <w:vMerge/>
            <w:tcBorders>
              <w:left w:val="nil"/>
              <w:right w:val="nil"/>
            </w:tcBorders>
            <w:vAlign w:val="center"/>
          </w:tcPr>
          <w:p w14:paraId="6492E35C" w14:textId="77777777" w:rsidR="0089148A" w:rsidRPr="000A0FFD"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p>
        </w:tc>
        <w:tc>
          <w:tcPr>
            <w:tcW w:w="812" w:type="dxa"/>
            <w:tcBorders>
              <w:left w:val="nil"/>
              <w:right w:val="nil"/>
            </w:tcBorders>
            <w:vAlign w:val="center"/>
          </w:tcPr>
          <w:p w14:paraId="72293AB4" w14:textId="18DCCD8E" w:rsidR="0089148A" w:rsidRP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AF1EBE">
              <w:rPr>
                <w:rFonts w:ascii="Arial" w:eastAsia="Arial" w:hAnsi="Arial" w:cs="Arial"/>
                <w:sz w:val="16"/>
                <w:szCs w:val="16"/>
              </w:rPr>
              <w:t>Percent positive samples</w:t>
            </w:r>
          </w:p>
        </w:tc>
        <w:tc>
          <w:tcPr>
            <w:tcW w:w="627" w:type="dxa"/>
            <w:tcBorders>
              <w:left w:val="nil"/>
              <w:right w:val="nil"/>
            </w:tcBorders>
            <w:vAlign w:val="center"/>
          </w:tcPr>
          <w:p w14:paraId="1BBD7898" w14:textId="21BA7292" w:rsidR="0089148A" w:rsidRPr="0089148A" w:rsidRDefault="002B5E3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 xml:space="preserve">95% </w:t>
            </w:r>
            <w:proofErr w:type="spellStart"/>
            <w:r w:rsidR="0089148A" w:rsidRPr="00AF1EBE">
              <w:rPr>
                <w:rFonts w:ascii="Arial" w:eastAsia="Arial" w:hAnsi="Arial" w:cs="Arial"/>
                <w:sz w:val="16"/>
                <w:szCs w:val="16"/>
              </w:rPr>
              <w:t>LoD</w:t>
            </w:r>
            <w:proofErr w:type="spellEnd"/>
          </w:p>
        </w:tc>
        <w:tc>
          <w:tcPr>
            <w:tcW w:w="768" w:type="dxa"/>
            <w:tcBorders>
              <w:left w:val="nil"/>
              <w:right w:val="nil"/>
            </w:tcBorders>
            <w:vAlign w:val="center"/>
          </w:tcPr>
          <w:p w14:paraId="32BE0D05" w14:textId="7F92C222" w:rsidR="0089148A" w:rsidRP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AF1EBE">
              <w:rPr>
                <w:rFonts w:ascii="Arial" w:eastAsia="Arial" w:hAnsi="Arial" w:cs="Arial"/>
                <w:sz w:val="16"/>
                <w:szCs w:val="16"/>
              </w:rPr>
              <w:t xml:space="preserve">Percent Ct &gt; </w:t>
            </w:r>
            <w:proofErr w:type="spellStart"/>
            <w:r w:rsidRPr="00AF1EBE">
              <w:rPr>
                <w:rFonts w:ascii="Arial" w:eastAsia="Arial" w:hAnsi="Arial" w:cs="Arial"/>
                <w:sz w:val="16"/>
                <w:szCs w:val="16"/>
              </w:rPr>
              <w:t>LoD</w:t>
            </w:r>
            <w:proofErr w:type="spellEnd"/>
          </w:p>
        </w:tc>
        <w:tc>
          <w:tcPr>
            <w:tcW w:w="1790" w:type="dxa"/>
            <w:tcBorders>
              <w:left w:val="nil"/>
              <w:right w:val="nil"/>
            </w:tcBorders>
            <w:vAlign w:val="center"/>
          </w:tcPr>
          <w:p w14:paraId="40063595" w14:textId="1B719667" w:rsidR="0089148A" w:rsidRPr="009A194E"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bCs/>
                <w:sz w:val="16"/>
                <w:szCs w:val="16"/>
              </w:rPr>
              <w:t>PPA (95% CI)</w:t>
            </w:r>
          </w:p>
        </w:tc>
        <w:tc>
          <w:tcPr>
            <w:tcW w:w="1710" w:type="dxa"/>
            <w:tcBorders>
              <w:left w:val="nil"/>
              <w:right w:val="nil"/>
            </w:tcBorders>
            <w:vAlign w:val="center"/>
          </w:tcPr>
          <w:p w14:paraId="49427AE2" w14:textId="6FA3AF0D" w:rsidR="0089148A" w:rsidRPr="009A194E"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bCs/>
                <w:sz w:val="16"/>
                <w:szCs w:val="16"/>
              </w:rPr>
              <w:t>Tests per sample (95% CI)</w:t>
            </w:r>
          </w:p>
        </w:tc>
        <w:tc>
          <w:tcPr>
            <w:tcW w:w="1918" w:type="dxa"/>
            <w:tcBorders>
              <w:left w:val="nil"/>
              <w:right w:val="nil"/>
            </w:tcBorders>
            <w:vAlign w:val="center"/>
          </w:tcPr>
          <w:p w14:paraId="582B6C34" w14:textId="00359D35" w:rsidR="0089148A" w:rsidRPr="000A0FFD"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0A0FFD">
              <w:rPr>
                <w:rFonts w:ascii="Arial" w:eastAsia="Arial" w:hAnsi="Arial" w:cs="Arial"/>
                <w:bCs/>
                <w:sz w:val="16"/>
                <w:szCs w:val="16"/>
              </w:rPr>
              <w:t>PPA (95% CI)</w:t>
            </w:r>
          </w:p>
        </w:tc>
        <w:tc>
          <w:tcPr>
            <w:tcW w:w="872" w:type="dxa"/>
            <w:tcBorders>
              <w:left w:val="nil"/>
              <w:right w:val="nil"/>
            </w:tcBorders>
            <w:vAlign w:val="center"/>
          </w:tcPr>
          <w:p w14:paraId="0E9FABE0" w14:textId="23DCAB7C" w:rsidR="0089148A" w:rsidRPr="000A0FFD"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0A0FFD">
              <w:rPr>
                <w:rFonts w:ascii="Arial" w:eastAsia="Arial" w:hAnsi="Arial" w:cs="Arial"/>
                <w:bCs/>
                <w:sz w:val="16"/>
                <w:szCs w:val="16"/>
              </w:rPr>
              <w:t>Tests per sample</w:t>
            </w:r>
          </w:p>
        </w:tc>
      </w:tr>
      <w:tr w:rsidR="00AF1EBE" w14:paraId="28B9B257" w14:textId="1E915FF5" w:rsidTr="00AF1EBE">
        <w:trPr>
          <w:trHeight w:val="282"/>
        </w:trPr>
        <w:tc>
          <w:tcPr>
            <w:cnfStyle w:val="001000000000" w:firstRow="0" w:lastRow="0" w:firstColumn="1" w:lastColumn="0" w:oddVBand="0" w:evenVBand="0" w:oddHBand="0" w:evenHBand="0" w:firstRowFirstColumn="0" w:firstRowLastColumn="0" w:lastRowFirstColumn="0" w:lastRowLastColumn="0"/>
            <w:tcW w:w="1648" w:type="dxa"/>
            <w:tcBorders>
              <w:left w:val="nil"/>
              <w:right w:val="nil"/>
            </w:tcBorders>
            <w:vAlign w:val="center"/>
          </w:tcPr>
          <w:p w14:paraId="631C72D6" w14:textId="77777777" w:rsidR="0089148A" w:rsidRPr="000A0FFD" w:rsidRDefault="0089148A" w:rsidP="009D41AA">
            <w:pPr>
              <w:rPr>
                <w:rFonts w:ascii="Arial" w:eastAsia="Arial" w:hAnsi="Arial" w:cs="Arial"/>
                <w:b w:val="0"/>
                <w:bCs w:val="0"/>
                <w:sz w:val="16"/>
                <w:szCs w:val="16"/>
              </w:rPr>
            </w:pPr>
            <w:r w:rsidRPr="000A0FFD">
              <w:rPr>
                <w:rFonts w:ascii="Arial" w:eastAsia="Arial" w:hAnsi="Arial" w:cs="Arial"/>
                <w:b w:val="0"/>
                <w:bCs w:val="0"/>
                <w:sz w:val="16"/>
                <w:szCs w:val="16"/>
              </w:rPr>
              <w:t>LDT</w:t>
            </w:r>
          </w:p>
        </w:tc>
        <w:tc>
          <w:tcPr>
            <w:tcW w:w="537" w:type="dxa"/>
            <w:tcBorders>
              <w:left w:val="nil"/>
              <w:right w:val="nil"/>
            </w:tcBorders>
            <w:vAlign w:val="center"/>
          </w:tcPr>
          <w:p w14:paraId="556E5EB9" w14:textId="77777777" w:rsidR="0089148A" w:rsidRDefault="0089148A" w:rsidP="004B194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0A0FFD">
              <w:rPr>
                <w:rFonts w:ascii="Arial" w:eastAsia="Arial" w:hAnsi="Arial" w:cs="Arial"/>
                <w:bCs/>
                <w:sz w:val="16"/>
                <w:szCs w:val="16"/>
              </w:rPr>
              <w:t>8</w:t>
            </w:r>
          </w:p>
        </w:tc>
        <w:tc>
          <w:tcPr>
            <w:tcW w:w="1018" w:type="dxa"/>
            <w:tcBorders>
              <w:left w:val="nil"/>
              <w:right w:val="nil"/>
            </w:tcBorders>
            <w:vAlign w:val="center"/>
          </w:tcPr>
          <w:p w14:paraId="0634B707" w14:textId="07FC70BE" w:rsidR="0089148A" w:rsidRDefault="0089148A" w:rsidP="00071C38">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All</w:t>
            </w:r>
          </w:p>
        </w:tc>
        <w:tc>
          <w:tcPr>
            <w:tcW w:w="812" w:type="dxa"/>
            <w:tcBorders>
              <w:left w:val="nil"/>
              <w:right w:val="nil"/>
            </w:tcBorders>
            <w:vAlign w:val="center"/>
          </w:tcPr>
          <w:p w14:paraId="2F5E3686" w14:textId="77777777" w:rsidR="0089148A" w:rsidRDefault="0089148A" w:rsidP="0060308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sz w:val="16"/>
                <w:szCs w:val="16"/>
              </w:rPr>
              <w:t>6.6%</w:t>
            </w:r>
          </w:p>
        </w:tc>
        <w:tc>
          <w:tcPr>
            <w:tcW w:w="627" w:type="dxa"/>
            <w:tcBorders>
              <w:left w:val="nil"/>
              <w:right w:val="nil"/>
            </w:tcBorders>
            <w:vAlign w:val="center"/>
          </w:tcPr>
          <w:p w14:paraId="70DA7649" w14:textId="013A4879" w:rsidR="0089148A" w:rsidRDefault="0089148A" w:rsidP="008F4D3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35.9</w:t>
            </w:r>
          </w:p>
        </w:tc>
        <w:tc>
          <w:tcPr>
            <w:tcW w:w="768" w:type="dxa"/>
            <w:tcBorders>
              <w:left w:val="nil"/>
              <w:right w:val="nil"/>
            </w:tcBorders>
            <w:vAlign w:val="center"/>
          </w:tcPr>
          <w:p w14:paraId="4C5E883F" w14:textId="4EC82FB1" w:rsidR="0089148A" w:rsidRPr="000A0FFD"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22.4%</w:t>
            </w:r>
          </w:p>
        </w:tc>
        <w:tc>
          <w:tcPr>
            <w:tcW w:w="1790" w:type="dxa"/>
            <w:tcBorders>
              <w:left w:val="nil"/>
              <w:right w:val="nil"/>
            </w:tcBorders>
            <w:vAlign w:val="center"/>
          </w:tcPr>
          <w:p w14:paraId="619DC35C" w14:textId="6BC1F93D" w:rsidR="0089148A" w:rsidRDefault="00E749C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84.0% (78.9%-89.0%)</w:t>
            </w:r>
          </w:p>
        </w:tc>
        <w:tc>
          <w:tcPr>
            <w:tcW w:w="1710" w:type="dxa"/>
            <w:tcBorders>
              <w:left w:val="nil"/>
              <w:right w:val="nil"/>
            </w:tcBorders>
            <w:vAlign w:val="center"/>
          </w:tcPr>
          <w:p w14:paraId="7C5C7E87" w14:textId="149D893E" w:rsidR="0089148A" w:rsidRDefault="006F6179">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0.479 (0.457-0.500)</w:t>
            </w:r>
          </w:p>
        </w:tc>
        <w:tc>
          <w:tcPr>
            <w:tcW w:w="1918" w:type="dxa"/>
            <w:tcBorders>
              <w:left w:val="nil"/>
              <w:right w:val="nil"/>
            </w:tcBorders>
            <w:vAlign w:val="center"/>
          </w:tcPr>
          <w:p w14:paraId="5DA38550" w14:textId="4AAC7959"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71.7% (56.5%-84.0%)</w:t>
            </w:r>
          </w:p>
        </w:tc>
        <w:tc>
          <w:tcPr>
            <w:tcW w:w="872" w:type="dxa"/>
            <w:tcBorders>
              <w:left w:val="nil"/>
              <w:right w:val="nil"/>
            </w:tcBorders>
            <w:vAlign w:val="center"/>
          </w:tcPr>
          <w:p w14:paraId="4A1AFA98" w14:textId="43A0A95D"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0.434</w:t>
            </w:r>
          </w:p>
        </w:tc>
      </w:tr>
      <w:tr w:rsidR="00AF1EBE" w14:paraId="0028A87D" w14:textId="080C62BA" w:rsidTr="00AF1EBE">
        <w:trPr>
          <w:trHeight w:val="282"/>
        </w:trPr>
        <w:tc>
          <w:tcPr>
            <w:cnfStyle w:val="001000000000" w:firstRow="0" w:lastRow="0" w:firstColumn="1" w:lastColumn="0" w:oddVBand="0" w:evenVBand="0" w:oddHBand="0" w:evenHBand="0" w:firstRowFirstColumn="0" w:firstRowLastColumn="0" w:lastRowFirstColumn="0" w:lastRowLastColumn="0"/>
            <w:tcW w:w="1648" w:type="dxa"/>
            <w:tcBorders>
              <w:left w:val="nil"/>
              <w:right w:val="nil"/>
            </w:tcBorders>
            <w:vAlign w:val="center"/>
          </w:tcPr>
          <w:p w14:paraId="76FB7251" w14:textId="77777777" w:rsidR="0089148A" w:rsidRPr="000A0FFD" w:rsidRDefault="0089148A" w:rsidP="009D41AA">
            <w:pPr>
              <w:rPr>
                <w:rFonts w:ascii="Arial" w:eastAsia="Arial" w:hAnsi="Arial" w:cs="Arial"/>
                <w:b w:val="0"/>
                <w:bCs w:val="0"/>
                <w:sz w:val="16"/>
                <w:szCs w:val="16"/>
              </w:rPr>
            </w:pPr>
            <w:r w:rsidRPr="000A0FFD">
              <w:rPr>
                <w:rFonts w:ascii="Arial" w:eastAsia="Arial" w:hAnsi="Arial" w:cs="Arial"/>
                <w:b w:val="0"/>
                <w:bCs w:val="0"/>
                <w:sz w:val="16"/>
                <w:szCs w:val="16"/>
              </w:rPr>
              <w:t>Panther Fusion</w:t>
            </w:r>
          </w:p>
        </w:tc>
        <w:tc>
          <w:tcPr>
            <w:tcW w:w="537" w:type="dxa"/>
            <w:tcBorders>
              <w:left w:val="nil"/>
              <w:right w:val="nil"/>
            </w:tcBorders>
            <w:vAlign w:val="center"/>
          </w:tcPr>
          <w:p w14:paraId="275D8EE7" w14:textId="77777777" w:rsidR="0089148A" w:rsidRDefault="0089148A" w:rsidP="004B194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8</w:t>
            </w:r>
          </w:p>
        </w:tc>
        <w:tc>
          <w:tcPr>
            <w:tcW w:w="1018" w:type="dxa"/>
            <w:tcBorders>
              <w:left w:val="nil"/>
              <w:right w:val="nil"/>
            </w:tcBorders>
            <w:vAlign w:val="center"/>
          </w:tcPr>
          <w:p w14:paraId="4B4008F6" w14:textId="0221ADAC" w:rsidR="0089148A" w:rsidRDefault="0089148A" w:rsidP="00071C38">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All</w:t>
            </w:r>
          </w:p>
        </w:tc>
        <w:tc>
          <w:tcPr>
            <w:tcW w:w="812" w:type="dxa"/>
            <w:tcBorders>
              <w:left w:val="nil"/>
              <w:right w:val="nil"/>
            </w:tcBorders>
            <w:vAlign w:val="center"/>
          </w:tcPr>
          <w:p w14:paraId="72A4A56C" w14:textId="5A6C3E56" w:rsidR="0089148A" w:rsidRDefault="0089148A" w:rsidP="0060308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6.6%</w:t>
            </w:r>
          </w:p>
        </w:tc>
        <w:tc>
          <w:tcPr>
            <w:tcW w:w="627" w:type="dxa"/>
            <w:tcBorders>
              <w:left w:val="nil"/>
              <w:right w:val="nil"/>
            </w:tcBorders>
            <w:vAlign w:val="center"/>
          </w:tcPr>
          <w:p w14:paraId="6BC3E78C" w14:textId="789F877A" w:rsidR="0089148A" w:rsidRDefault="0089148A" w:rsidP="008F4D3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35.6</w:t>
            </w:r>
          </w:p>
        </w:tc>
        <w:tc>
          <w:tcPr>
            <w:tcW w:w="768" w:type="dxa"/>
            <w:tcBorders>
              <w:left w:val="nil"/>
              <w:right w:val="nil"/>
            </w:tcBorders>
            <w:vAlign w:val="center"/>
          </w:tcPr>
          <w:p w14:paraId="316B1B31" w14:textId="07F8B852"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24.1%</w:t>
            </w:r>
          </w:p>
        </w:tc>
        <w:tc>
          <w:tcPr>
            <w:tcW w:w="1790" w:type="dxa"/>
            <w:tcBorders>
              <w:left w:val="nil"/>
              <w:right w:val="nil"/>
            </w:tcBorders>
            <w:vAlign w:val="center"/>
          </w:tcPr>
          <w:p w14:paraId="74FF037C" w14:textId="041B3EFE" w:rsidR="0089148A" w:rsidRDefault="00E749C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82.7% (77.</w:t>
            </w:r>
            <w:r w:rsidR="006F6179">
              <w:rPr>
                <w:rFonts w:ascii="Arial" w:eastAsia="Arial" w:hAnsi="Arial" w:cs="Arial"/>
                <w:sz w:val="16"/>
                <w:szCs w:val="16"/>
              </w:rPr>
              <w:t>5</w:t>
            </w:r>
            <w:r>
              <w:rPr>
                <w:rFonts w:ascii="Arial" w:eastAsia="Arial" w:hAnsi="Arial" w:cs="Arial"/>
                <w:sz w:val="16"/>
                <w:szCs w:val="16"/>
              </w:rPr>
              <w:t>%-88.</w:t>
            </w:r>
            <w:r w:rsidR="006F6179">
              <w:rPr>
                <w:rFonts w:ascii="Arial" w:eastAsia="Arial" w:hAnsi="Arial" w:cs="Arial"/>
                <w:sz w:val="16"/>
                <w:szCs w:val="16"/>
              </w:rPr>
              <w:t>1</w:t>
            </w:r>
            <w:r>
              <w:rPr>
                <w:rFonts w:ascii="Arial" w:eastAsia="Arial" w:hAnsi="Arial" w:cs="Arial"/>
                <w:sz w:val="16"/>
                <w:szCs w:val="16"/>
              </w:rPr>
              <w:t>%)</w:t>
            </w:r>
          </w:p>
        </w:tc>
        <w:tc>
          <w:tcPr>
            <w:tcW w:w="1710" w:type="dxa"/>
            <w:tcBorders>
              <w:left w:val="nil"/>
              <w:right w:val="nil"/>
            </w:tcBorders>
            <w:vAlign w:val="center"/>
          </w:tcPr>
          <w:p w14:paraId="7635A055" w14:textId="0529DE87" w:rsidR="0089148A" w:rsidRDefault="00E749C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0.473 (0.45</w:t>
            </w:r>
            <w:r w:rsidR="006F6179">
              <w:rPr>
                <w:rFonts w:ascii="Arial" w:eastAsia="Arial" w:hAnsi="Arial" w:cs="Arial"/>
                <w:sz w:val="16"/>
                <w:szCs w:val="16"/>
              </w:rPr>
              <w:t>1</w:t>
            </w:r>
            <w:r>
              <w:rPr>
                <w:rFonts w:ascii="Arial" w:eastAsia="Arial" w:hAnsi="Arial" w:cs="Arial"/>
                <w:sz w:val="16"/>
                <w:szCs w:val="16"/>
              </w:rPr>
              <w:t>-0.49</w:t>
            </w:r>
            <w:r w:rsidR="006F6179">
              <w:rPr>
                <w:rFonts w:ascii="Arial" w:eastAsia="Arial" w:hAnsi="Arial" w:cs="Arial"/>
                <w:sz w:val="16"/>
                <w:szCs w:val="16"/>
              </w:rPr>
              <w:t>6</w:t>
            </w:r>
            <w:r>
              <w:rPr>
                <w:rFonts w:ascii="Arial" w:eastAsia="Arial" w:hAnsi="Arial" w:cs="Arial"/>
                <w:sz w:val="16"/>
                <w:szCs w:val="16"/>
              </w:rPr>
              <w:t>)</w:t>
            </w:r>
          </w:p>
        </w:tc>
        <w:tc>
          <w:tcPr>
            <w:tcW w:w="1918" w:type="dxa"/>
            <w:tcBorders>
              <w:left w:val="nil"/>
              <w:right w:val="nil"/>
            </w:tcBorders>
            <w:vAlign w:val="center"/>
          </w:tcPr>
          <w:p w14:paraId="1EB581C3" w14:textId="55B8222C"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76.1% (61.2%-87.4%)</w:t>
            </w:r>
          </w:p>
        </w:tc>
        <w:tc>
          <w:tcPr>
            <w:tcW w:w="872" w:type="dxa"/>
            <w:tcBorders>
              <w:left w:val="nil"/>
              <w:right w:val="nil"/>
            </w:tcBorders>
            <w:vAlign w:val="center"/>
          </w:tcPr>
          <w:p w14:paraId="5E343450" w14:textId="3C3A8F4E"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0.452</w:t>
            </w:r>
          </w:p>
        </w:tc>
      </w:tr>
      <w:tr w:rsidR="00AF1EBE" w14:paraId="5E1DB40C" w14:textId="13C7CA7D" w:rsidTr="00AF1EBE">
        <w:trPr>
          <w:trHeight w:val="282"/>
        </w:trPr>
        <w:tc>
          <w:tcPr>
            <w:cnfStyle w:val="001000000000" w:firstRow="0" w:lastRow="0" w:firstColumn="1" w:lastColumn="0" w:oddVBand="0" w:evenVBand="0" w:oddHBand="0" w:evenHBand="0" w:firstRowFirstColumn="0" w:firstRowLastColumn="0" w:lastRowFirstColumn="0" w:lastRowLastColumn="0"/>
            <w:tcW w:w="1648" w:type="dxa"/>
            <w:tcBorders>
              <w:left w:val="nil"/>
              <w:right w:val="nil"/>
            </w:tcBorders>
            <w:vAlign w:val="center"/>
          </w:tcPr>
          <w:p w14:paraId="32D46C2A" w14:textId="77777777" w:rsidR="0089148A" w:rsidRPr="000A0FFD" w:rsidRDefault="0089148A" w:rsidP="009D41AA">
            <w:pPr>
              <w:rPr>
                <w:rFonts w:ascii="Arial" w:eastAsia="Arial" w:hAnsi="Arial" w:cs="Arial"/>
                <w:b w:val="0"/>
                <w:bCs w:val="0"/>
                <w:sz w:val="16"/>
                <w:szCs w:val="16"/>
              </w:rPr>
            </w:pPr>
            <w:r w:rsidRPr="000A0FFD">
              <w:rPr>
                <w:rFonts w:ascii="Arial" w:eastAsia="Arial" w:hAnsi="Arial" w:cs="Arial"/>
                <w:b w:val="0"/>
                <w:bCs w:val="0"/>
                <w:sz w:val="16"/>
                <w:szCs w:val="16"/>
              </w:rPr>
              <w:t>Panther Aptima-M</w:t>
            </w:r>
          </w:p>
        </w:tc>
        <w:tc>
          <w:tcPr>
            <w:tcW w:w="537" w:type="dxa"/>
            <w:tcBorders>
              <w:left w:val="nil"/>
              <w:right w:val="nil"/>
            </w:tcBorders>
            <w:vAlign w:val="center"/>
          </w:tcPr>
          <w:p w14:paraId="1A464AA7" w14:textId="77777777" w:rsidR="0089148A" w:rsidRDefault="0089148A" w:rsidP="004B194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8</w:t>
            </w:r>
          </w:p>
        </w:tc>
        <w:tc>
          <w:tcPr>
            <w:tcW w:w="1018" w:type="dxa"/>
            <w:tcBorders>
              <w:left w:val="nil"/>
              <w:right w:val="nil"/>
            </w:tcBorders>
            <w:vAlign w:val="center"/>
          </w:tcPr>
          <w:p w14:paraId="15AA96DD" w14:textId="13707F94" w:rsidR="0089148A" w:rsidRDefault="0089148A" w:rsidP="00071C38">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All</w:t>
            </w:r>
          </w:p>
        </w:tc>
        <w:tc>
          <w:tcPr>
            <w:tcW w:w="812" w:type="dxa"/>
            <w:tcBorders>
              <w:left w:val="nil"/>
              <w:right w:val="nil"/>
            </w:tcBorders>
            <w:vAlign w:val="center"/>
          </w:tcPr>
          <w:p w14:paraId="4C6A623B" w14:textId="5371192B" w:rsidR="0089148A" w:rsidRDefault="0089148A" w:rsidP="0060308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627" w:type="dxa"/>
            <w:tcBorders>
              <w:left w:val="nil"/>
              <w:right w:val="nil"/>
            </w:tcBorders>
            <w:vAlign w:val="center"/>
          </w:tcPr>
          <w:p w14:paraId="13E320BD" w14:textId="34DF72AB" w:rsidR="0089148A" w:rsidRDefault="0089148A" w:rsidP="008F4D3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768" w:type="dxa"/>
            <w:tcBorders>
              <w:left w:val="nil"/>
              <w:right w:val="nil"/>
            </w:tcBorders>
            <w:vAlign w:val="center"/>
          </w:tcPr>
          <w:p w14:paraId="28474DA2" w14:textId="7B3EE11C"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1790" w:type="dxa"/>
            <w:tcBorders>
              <w:left w:val="nil"/>
              <w:right w:val="nil"/>
            </w:tcBorders>
            <w:vAlign w:val="center"/>
          </w:tcPr>
          <w:p w14:paraId="527A1A10" w14:textId="4A2964AF" w:rsidR="0089148A" w:rsidRDefault="00E749C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1710" w:type="dxa"/>
            <w:tcBorders>
              <w:left w:val="nil"/>
              <w:right w:val="nil"/>
            </w:tcBorders>
            <w:vAlign w:val="center"/>
          </w:tcPr>
          <w:p w14:paraId="3146CC54" w14:textId="310870EE" w:rsidR="0089148A" w:rsidRDefault="00E749C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1918" w:type="dxa"/>
            <w:tcBorders>
              <w:left w:val="nil"/>
              <w:right w:val="nil"/>
            </w:tcBorders>
            <w:vAlign w:val="center"/>
          </w:tcPr>
          <w:p w14:paraId="1031A20C" w14:textId="1403DFD5"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73.9% (58.9%-85.7%)</w:t>
            </w:r>
          </w:p>
        </w:tc>
        <w:tc>
          <w:tcPr>
            <w:tcW w:w="872" w:type="dxa"/>
            <w:tcBorders>
              <w:left w:val="nil"/>
              <w:right w:val="nil"/>
            </w:tcBorders>
            <w:vAlign w:val="center"/>
          </w:tcPr>
          <w:p w14:paraId="72AFE6B0" w14:textId="4BE1F1B8"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0.434</w:t>
            </w:r>
          </w:p>
        </w:tc>
      </w:tr>
      <w:tr w:rsidR="00AF1EBE" w14:paraId="126D0C94" w14:textId="6131E080" w:rsidTr="00AF1EBE">
        <w:trPr>
          <w:trHeight w:val="282"/>
        </w:trPr>
        <w:tc>
          <w:tcPr>
            <w:cnfStyle w:val="001000000000" w:firstRow="0" w:lastRow="0" w:firstColumn="1" w:lastColumn="0" w:oddVBand="0" w:evenVBand="0" w:oddHBand="0" w:evenHBand="0" w:firstRowFirstColumn="0" w:firstRowLastColumn="0" w:lastRowFirstColumn="0" w:lastRowLastColumn="0"/>
            <w:tcW w:w="1648" w:type="dxa"/>
            <w:tcBorders>
              <w:left w:val="nil"/>
              <w:right w:val="nil"/>
            </w:tcBorders>
            <w:vAlign w:val="center"/>
          </w:tcPr>
          <w:p w14:paraId="34910867" w14:textId="77777777" w:rsidR="0089148A" w:rsidRPr="000A0FFD" w:rsidRDefault="0089148A" w:rsidP="009D41AA">
            <w:pPr>
              <w:rPr>
                <w:rFonts w:ascii="Arial" w:eastAsia="Arial" w:hAnsi="Arial" w:cs="Arial"/>
                <w:b w:val="0"/>
                <w:bCs w:val="0"/>
                <w:sz w:val="16"/>
                <w:szCs w:val="16"/>
              </w:rPr>
            </w:pPr>
            <w:r w:rsidRPr="000A0FFD">
              <w:rPr>
                <w:rFonts w:ascii="Arial" w:eastAsia="Arial" w:hAnsi="Arial" w:cs="Arial"/>
                <w:b w:val="0"/>
                <w:bCs w:val="0"/>
                <w:sz w:val="16"/>
                <w:szCs w:val="16"/>
              </w:rPr>
              <w:t>Panther Aptima-350</w:t>
            </w:r>
          </w:p>
        </w:tc>
        <w:tc>
          <w:tcPr>
            <w:tcW w:w="537" w:type="dxa"/>
            <w:tcBorders>
              <w:left w:val="nil"/>
              <w:right w:val="nil"/>
            </w:tcBorders>
            <w:vAlign w:val="center"/>
          </w:tcPr>
          <w:p w14:paraId="3AFC1B4E" w14:textId="77777777" w:rsidR="0089148A" w:rsidRDefault="0089148A" w:rsidP="004B194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8</w:t>
            </w:r>
          </w:p>
        </w:tc>
        <w:tc>
          <w:tcPr>
            <w:tcW w:w="1018" w:type="dxa"/>
            <w:tcBorders>
              <w:left w:val="nil"/>
              <w:right w:val="nil"/>
            </w:tcBorders>
            <w:vAlign w:val="center"/>
          </w:tcPr>
          <w:p w14:paraId="74B0488A" w14:textId="269E011C" w:rsidR="0089148A" w:rsidRDefault="0089148A" w:rsidP="00071C38">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All</w:t>
            </w:r>
          </w:p>
        </w:tc>
        <w:tc>
          <w:tcPr>
            <w:tcW w:w="812" w:type="dxa"/>
            <w:tcBorders>
              <w:left w:val="nil"/>
              <w:right w:val="nil"/>
            </w:tcBorders>
            <w:vAlign w:val="center"/>
          </w:tcPr>
          <w:p w14:paraId="29DBC1BB" w14:textId="364EEAF4" w:rsidR="0089148A" w:rsidRDefault="0089148A" w:rsidP="0060308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627" w:type="dxa"/>
            <w:tcBorders>
              <w:left w:val="nil"/>
              <w:right w:val="nil"/>
            </w:tcBorders>
            <w:vAlign w:val="center"/>
          </w:tcPr>
          <w:p w14:paraId="3E5DE108" w14:textId="0C986F2E" w:rsidR="0089148A" w:rsidRDefault="0089148A" w:rsidP="008F4D3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768" w:type="dxa"/>
            <w:tcBorders>
              <w:left w:val="nil"/>
              <w:right w:val="nil"/>
            </w:tcBorders>
            <w:vAlign w:val="center"/>
          </w:tcPr>
          <w:p w14:paraId="6EA3F67A" w14:textId="4EEDF7B3"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1790" w:type="dxa"/>
            <w:tcBorders>
              <w:left w:val="nil"/>
              <w:right w:val="nil"/>
            </w:tcBorders>
            <w:vAlign w:val="center"/>
          </w:tcPr>
          <w:p w14:paraId="23339478" w14:textId="78CB8936" w:rsidR="0089148A" w:rsidRPr="003C658F" w:rsidRDefault="00E749C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1710" w:type="dxa"/>
            <w:tcBorders>
              <w:left w:val="nil"/>
              <w:right w:val="nil"/>
            </w:tcBorders>
            <w:vAlign w:val="center"/>
          </w:tcPr>
          <w:p w14:paraId="0CD373AC" w14:textId="2BE12EC2" w:rsidR="0089148A" w:rsidRPr="6412F46A" w:rsidRDefault="00E749C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1918" w:type="dxa"/>
            <w:tcBorders>
              <w:left w:val="nil"/>
              <w:right w:val="nil"/>
            </w:tcBorders>
            <w:vAlign w:val="center"/>
          </w:tcPr>
          <w:p w14:paraId="4FE8B7E5" w14:textId="36030D17" w:rsidR="0089148A" w:rsidRPr="6412F46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82.6% (68.6%-92.2%)</w:t>
            </w:r>
          </w:p>
        </w:tc>
        <w:tc>
          <w:tcPr>
            <w:tcW w:w="872" w:type="dxa"/>
            <w:tcBorders>
              <w:left w:val="nil"/>
              <w:right w:val="nil"/>
            </w:tcBorders>
            <w:vAlign w:val="center"/>
          </w:tcPr>
          <w:p w14:paraId="517E845D" w14:textId="2E19FEC1" w:rsidR="0089148A" w:rsidRPr="6412F46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0.470</w:t>
            </w:r>
          </w:p>
        </w:tc>
      </w:tr>
      <w:tr w:rsidR="00AF1EBE" w14:paraId="1345B472" w14:textId="7DA8B2E8" w:rsidTr="00AF1EBE">
        <w:trPr>
          <w:trHeight w:val="282"/>
        </w:trPr>
        <w:tc>
          <w:tcPr>
            <w:cnfStyle w:val="001000000000" w:firstRow="0" w:lastRow="0" w:firstColumn="1" w:lastColumn="0" w:oddVBand="0" w:evenVBand="0" w:oddHBand="0" w:evenHBand="0" w:firstRowFirstColumn="0" w:firstRowLastColumn="0" w:lastRowFirstColumn="0" w:lastRowLastColumn="0"/>
            <w:tcW w:w="1648" w:type="dxa"/>
            <w:tcBorders>
              <w:left w:val="nil"/>
              <w:right w:val="nil"/>
            </w:tcBorders>
            <w:vAlign w:val="center"/>
          </w:tcPr>
          <w:p w14:paraId="7C883957" w14:textId="77777777" w:rsidR="0089148A" w:rsidRPr="000A0FFD" w:rsidRDefault="0089148A" w:rsidP="009D41AA">
            <w:pPr>
              <w:rPr>
                <w:rFonts w:ascii="Arial" w:eastAsia="Arial" w:hAnsi="Arial" w:cs="Arial"/>
                <w:bCs w:val="0"/>
                <w:sz w:val="16"/>
                <w:szCs w:val="16"/>
              </w:rPr>
            </w:pPr>
            <w:r w:rsidRPr="000A0FFD">
              <w:rPr>
                <w:rFonts w:ascii="Arial" w:eastAsia="Arial" w:hAnsi="Arial" w:cs="Arial"/>
                <w:b w:val="0"/>
                <w:bCs w:val="0"/>
                <w:sz w:val="16"/>
                <w:szCs w:val="16"/>
              </w:rPr>
              <w:t>LDT</w:t>
            </w:r>
          </w:p>
        </w:tc>
        <w:tc>
          <w:tcPr>
            <w:tcW w:w="537" w:type="dxa"/>
            <w:tcBorders>
              <w:left w:val="nil"/>
              <w:right w:val="nil"/>
            </w:tcBorders>
            <w:vAlign w:val="center"/>
          </w:tcPr>
          <w:p w14:paraId="110CCBEC" w14:textId="77777777" w:rsidR="0089148A" w:rsidRDefault="0089148A" w:rsidP="004B194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0A0FFD">
              <w:rPr>
                <w:rFonts w:ascii="Arial" w:eastAsia="Arial" w:hAnsi="Arial" w:cs="Arial"/>
                <w:bCs/>
                <w:sz w:val="16"/>
                <w:szCs w:val="16"/>
              </w:rPr>
              <w:t>8</w:t>
            </w:r>
          </w:p>
        </w:tc>
        <w:tc>
          <w:tcPr>
            <w:tcW w:w="1018" w:type="dxa"/>
            <w:tcBorders>
              <w:left w:val="nil"/>
              <w:right w:val="nil"/>
            </w:tcBorders>
            <w:vAlign w:val="center"/>
          </w:tcPr>
          <w:p w14:paraId="32F7E664" w14:textId="17058341" w:rsidR="0089148A" w:rsidRDefault="0089148A" w:rsidP="00071C38">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First</w:t>
            </w:r>
            <w:r w:rsidRPr="00C14A24">
              <w:rPr>
                <w:rFonts w:ascii="Arial" w:eastAsia="Arial" w:hAnsi="Arial" w:cs="Arial"/>
                <w:sz w:val="16"/>
                <w:szCs w:val="16"/>
                <w:vertAlign w:val="superscript"/>
              </w:rPr>
              <w:t>†</w:t>
            </w:r>
          </w:p>
        </w:tc>
        <w:tc>
          <w:tcPr>
            <w:tcW w:w="812" w:type="dxa"/>
            <w:tcBorders>
              <w:left w:val="nil"/>
              <w:right w:val="nil"/>
            </w:tcBorders>
            <w:vAlign w:val="center"/>
          </w:tcPr>
          <w:p w14:paraId="6B4E5302" w14:textId="77777777" w:rsidR="0089148A" w:rsidRDefault="0089148A" w:rsidP="0060308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3.7%</w:t>
            </w:r>
          </w:p>
        </w:tc>
        <w:tc>
          <w:tcPr>
            <w:tcW w:w="627" w:type="dxa"/>
            <w:tcBorders>
              <w:left w:val="nil"/>
              <w:right w:val="nil"/>
            </w:tcBorders>
            <w:vAlign w:val="center"/>
          </w:tcPr>
          <w:p w14:paraId="2896F050" w14:textId="406A238D" w:rsidR="0089148A" w:rsidRDefault="0089148A" w:rsidP="008F4D3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35.9</w:t>
            </w:r>
          </w:p>
        </w:tc>
        <w:tc>
          <w:tcPr>
            <w:tcW w:w="768" w:type="dxa"/>
            <w:tcBorders>
              <w:left w:val="nil"/>
              <w:right w:val="nil"/>
            </w:tcBorders>
            <w:vAlign w:val="center"/>
          </w:tcPr>
          <w:p w14:paraId="36D354E9" w14:textId="328EBA89" w:rsidR="0089148A" w:rsidRPr="000A0FFD"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8.3%</w:t>
            </w:r>
          </w:p>
        </w:tc>
        <w:tc>
          <w:tcPr>
            <w:tcW w:w="1790" w:type="dxa"/>
            <w:tcBorders>
              <w:left w:val="nil"/>
              <w:right w:val="nil"/>
            </w:tcBorders>
            <w:vAlign w:val="center"/>
          </w:tcPr>
          <w:p w14:paraId="646D38BF" w14:textId="222B5E58"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93.3% (90.2%-96.3%)</w:t>
            </w:r>
          </w:p>
        </w:tc>
        <w:tc>
          <w:tcPr>
            <w:tcW w:w="1710" w:type="dxa"/>
            <w:tcBorders>
              <w:left w:val="nil"/>
              <w:right w:val="nil"/>
            </w:tcBorders>
            <w:vAlign w:val="center"/>
          </w:tcPr>
          <w:p w14:paraId="4D26E9E0" w14:textId="350A0E34" w:rsidR="0089148A" w:rsidRPr="6412F46A" w:rsidRDefault="003F7799">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0.368 (0.360-0.376)</w:t>
            </w:r>
          </w:p>
        </w:tc>
        <w:tc>
          <w:tcPr>
            <w:tcW w:w="1918" w:type="dxa"/>
            <w:tcBorders>
              <w:left w:val="nil"/>
              <w:right w:val="nil"/>
            </w:tcBorders>
            <w:vAlign w:val="center"/>
          </w:tcPr>
          <w:p w14:paraId="149B6D98" w14:textId="3C4058CA"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100% (76.8%-100%)</w:t>
            </w:r>
          </w:p>
        </w:tc>
        <w:tc>
          <w:tcPr>
            <w:tcW w:w="872" w:type="dxa"/>
            <w:tcBorders>
              <w:left w:val="nil"/>
              <w:right w:val="nil"/>
            </w:tcBorders>
            <w:vAlign w:val="center"/>
          </w:tcPr>
          <w:p w14:paraId="4BE4674A" w14:textId="0CBEF88A"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w:t>
            </w:r>
          </w:p>
        </w:tc>
      </w:tr>
      <w:tr w:rsidR="00AF1EBE" w14:paraId="5D0491BC" w14:textId="145B6936" w:rsidTr="00AF1EBE">
        <w:trPr>
          <w:trHeight w:val="282"/>
        </w:trPr>
        <w:tc>
          <w:tcPr>
            <w:cnfStyle w:val="001000000000" w:firstRow="0" w:lastRow="0" w:firstColumn="1" w:lastColumn="0" w:oddVBand="0" w:evenVBand="0" w:oddHBand="0" w:evenHBand="0" w:firstRowFirstColumn="0" w:firstRowLastColumn="0" w:lastRowFirstColumn="0" w:lastRowLastColumn="0"/>
            <w:tcW w:w="1648" w:type="dxa"/>
            <w:tcBorders>
              <w:left w:val="nil"/>
              <w:right w:val="nil"/>
            </w:tcBorders>
            <w:vAlign w:val="center"/>
          </w:tcPr>
          <w:p w14:paraId="74283D72" w14:textId="77777777" w:rsidR="0089148A" w:rsidRPr="000A0FFD" w:rsidRDefault="0089148A" w:rsidP="009D41AA">
            <w:pPr>
              <w:rPr>
                <w:rFonts w:ascii="Arial" w:eastAsia="Arial" w:hAnsi="Arial" w:cs="Arial"/>
                <w:bCs w:val="0"/>
                <w:sz w:val="16"/>
                <w:szCs w:val="16"/>
              </w:rPr>
            </w:pPr>
            <w:r w:rsidRPr="000A0FFD">
              <w:rPr>
                <w:rFonts w:ascii="Arial" w:eastAsia="Arial" w:hAnsi="Arial" w:cs="Arial"/>
                <w:b w:val="0"/>
                <w:bCs w:val="0"/>
                <w:sz w:val="16"/>
                <w:szCs w:val="16"/>
              </w:rPr>
              <w:t>Panther Fusion</w:t>
            </w:r>
          </w:p>
        </w:tc>
        <w:tc>
          <w:tcPr>
            <w:tcW w:w="537" w:type="dxa"/>
            <w:tcBorders>
              <w:left w:val="nil"/>
              <w:right w:val="nil"/>
            </w:tcBorders>
            <w:vAlign w:val="center"/>
          </w:tcPr>
          <w:p w14:paraId="46CA3BEB" w14:textId="77777777" w:rsidR="0089148A" w:rsidRDefault="0089148A" w:rsidP="004B194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8</w:t>
            </w:r>
          </w:p>
        </w:tc>
        <w:tc>
          <w:tcPr>
            <w:tcW w:w="1018" w:type="dxa"/>
            <w:tcBorders>
              <w:left w:val="nil"/>
              <w:right w:val="nil"/>
            </w:tcBorders>
            <w:vAlign w:val="center"/>
          </w:tcPr>
          <w:p w14:paraId="576989CD" w14:textId="469FE42A" w:rsidR="0089148A" w:rsidRDefault="0089148A" w:rsidP="00071C38">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bCs/>
                <w:sz w:val="16"/>
                <w:szCs w:val="16"/>
              </w:rPr>
              <w:t>First</w:t>
            </w:r>
            <w:r w:rsidRPr="00C14A24">
              <w:rPr>
                <w:rFonts w:ascii="Arial" w:eastAsia="Arial" w:hAnsi="Arial" w:cs="Arial"/>
                <w:sz w:val="16"/>
                <w:szCs w:val="16"/>
                <w:vertAlign w:val="superscript"/>
              </w:rPr>
              <w:t>†</w:t>
            </w:r>
          </w:p>
        </w:tc>
        <w:tc>
          <w:tcPr>
            <w:tcW w:w="812" w:type="dxa"/>
            <w:tcBorders>
              <w:left w:val="nil"/>
              <w:right w:val="nil"/>
            </w:tcBorders>
            <w:vAlign w:val="center"/>
          </w:tcPr>
          <w:p w14:paraId="06D858BD" w14:textId="73773BC9" w:rsidR="0089148A" w:rsidRDefault="0089148A" w:rsidP="0060308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bCs/>
                <w:sz w:val="16"/>
                <w:szCs w:val="16"/>
              </w:rPr>
              <w:t>3.7%</w:t>
            </w:r>
          </w:p>
        </w:tc>
        <w:tc>
          <w:tcPr>
            <w:tcW w:w="627" w:type="dxa"/>
            <w:tcBorders>
              <w:left w:val="nil"/>
              <w:right w:val="nil"/>
            </w:tcBorders>
            <w:vAlign w:val="center"/>
          </w:tcPr>
          <w:p w14:paraId="7F7DCB2A" w14:textId="42E2B762" w:rsidR="0089148A" w:rsidRDefault="0089148A" w:rsidP="008F4D3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35.6</w:t>
            </w:r>
          </w:p>
        </w:tc>
        <w:tc>
          <w:tcPr>
            <w:tcW w:w="768" w:type="dxa"/>
            <w:tcBorders>
              <w:left w:val="nil"/>
              <w:right w:val="nil"/>
            </w:tcBorders>
            <w:vAlign w:val="center"/>
          </w:tcPr>
          <w:p w14:paraId="34D10747" w14:textId="0ECFB37A"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bCs/>
                <w:sz w:val="16"/>
                <w:szCs w:val="16"/>
              </w:rPr>
              <w:t>8.3%</w:t>
            </w:r>
          </w:p>
        </w:tc>
        <w:tc>
          <w:tcPr>
            <w:tcW w:w="1790" w:type="dxa"/>
            <w:tcBorders>
              <w:left w:val="nil"/>
              <w:right w:val="nil"/>
            </w:tcBorders>
            <w:vAlign w:val="center"/>
          </w:tcPr>
          <w:p w14:paraId="5211069C" w14:textId="4248E353" w:rsidR="0089148A" w:rsidRDefault="001769E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93.3% (90.5%-96.3%)</w:t>
            </w:r>
          </w:p>
        </w:tc>
        <w:tc>
          <w:tcPr>
            <w:tcW w:w="1710" w:type="dxa"/>
            <w:tcBorders>
              <w:left w:val="nil"/>
              <w:right w:val="nil"/>
            </w:tcBorders>
            <w:vAlign w:val="center"/>
          </w:tcPr>
          <w:p w14:paraId="72376403" w14:textId="35F71599" w:rsidR="0089148A" w:rsidRPr="6412F46A" w:rsidRDefault="001769E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0.368 (0.361-0.376)</w:t>
            </w:r>
          </w:p>
        </w:tc>
        <w:tc>
          <w:tcPr>
            <w:tcW w:w="1918" w:type="dxa"/>
            <w:tcBorders>
              <w:left w:val="nil"/>
              <w:right w:val="nil"/>
            </w:tcBorders>
            <w:vAlign w:val="center"/>
          </w:tcPr>
          <w:p w14:paraId="7D2F53BF" w14:textId="273FB154" w:rsidR="0089148A" w:rsidRPr="6412F46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100% (76.8%-100%)</w:t>
            </w:r>
          </w:p>
        </w:tc>
        <w:tc>
          <w:tcPr>
            <w:tcW w:w="872" w:type="dxa"/>
            <w:tcBorders>
              <w:left w:val="nil"/>
              <w:right w:val="nil"/>
            </w:tcBorders>
            <w:vAlign w:val="center"/>
          </w:tcPr>
          <w:p w14:paraId="11E0029A" w14:textId="70E150C8" w:rsidR="0089148A" w:rsidRPr="6412F46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w:t>
            </w:r>
          </w:p>
        </w:tc>
      </w:tr>
      <w:tr w:rsidR="00AF1EBE" w14:paraId="376E4634" w14:textId="59D09A72" w:rsidTr="00AF1EBE">
        <w:trPr>
          <w:trHeight w:val="282"/>
        </w:trPr>
        <w:tc>
          <w:tcPr>
            <w:cnfStyle w:val="001000000000" w:firstRow="0" w:lastRow="0" w:firstColumn="1" w:lastColumn="0" w:oddVBand="0" w:evenVBand="0" w:oddHBand="0" w:evenHBand="0" w:firstRowFirstColumn="0" w:firstRowLastColumn="0" w:lastRowFirstColumn="0" w:lastRowLastColumn="0"/>
            <w:tcW w:w="1648" w:type="dxa"/>
            <w:tcBorders>
              <w:left w:val="nil"/>
              <w:right w:val="nil"/>
            </w:tcBorders>
            <w:vAlign w:val="center"/>
          </w:tcPr>
          <w:p w14:paraId="1357B04B" w14:textId="77777777" w:rsidR="0089148A" w:rsidRPr="000A0FFD" w:rsidRDefault="0089148A" w:rsidP="009D41AA">
            <w:pPr>
              <w:rPr>
                <w:rFonts w:ascii="Arial" w:eastAsia="Arial" w:hAnsi="Arial" w:cs="Arial"/>
                <w:bCs w:val="0"/>
                <w:sz w:val="16"/>
                <w:szCs w:val="16"/>
              </w:rPr>
            </w:pPr>
            <w:r w:rsidRPr="000A0FFD">
              <w:rPr>
                <w:rFonts w:ascii="Arial" w:eastAsia="Arial" w:hAnsi="Arial" w:cs="Arial"/>
                <w:b w:val="0"/>
                <w:bCs w:val="0"/>
                <w:sz w:val="16"/>
                <w:szCs w:val="16"/>
              </w:rPr>
              <w:t>Panther Aptima-M</w:t>
            </w:r>
          </w:p>
        </w:tc>
        <w:tc>
          <w:tcPr>
            <w:tcW w:w="537" w:type="dxa"/>
            <w:tcBorders>
              <w:left w:val="nil"/>
              <w:right w:val="nil"/>
            </w:tcBorders>
            <w:vAlign w:val="center"/>
          </w:tcPr>
          <w:p w14:paraId="2612DC4E" w14:textId="77777777" w:rsidR="0089148A" w:rsidRDefault="0089148A" w:rsidP="004B194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8</w:t>
            </w:r>
          </w:p>
        </w:tc>
        <w:tc>
          <w:tcPr>
            <w:tcW w:w="1018" w:type="dxa"/>
            <w:tcBorders>
              <w:left w:val="nil"/>
              <w:right w:val="nil"/>
            </w:tcBorders>
            <w:vAlign w:val="center"/>
          </w:tcPr>
          <w:p w14:paraId="3C9A5282" w14:textId="7F010981" w:rsidR="0089148A" w:rsidRDefault="0089148A" w:rsidP="00071C38">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bCs/>
                <w:sz w:val="16"/>
                <w:szCs w:val="16"/>
              </w:rPr>
              <w:t>First</w:t>
            </w:r>
            <w:r w:rsidRPr="00C14A24">
              <w:rPr>
                <w:rFonts w:ascii="Arial" w:eastAsia="Arial" w:hAnsi="Arial" w:cs="Arial"/>
                <w:sz w:val="16"/>
                <w:szCs w:val="16"/>
                <w:vertAlign w:val="superscript"/>
              </w:rPr>
              <w:t>†</w:t>
            </w:r>
          </w:p>
        </w:tc>
        <w:tc>
          <w:tcPr>
            <w:tcW w:w="812" w:type="dxa"/>
            <w:tcBorders>
              <w:left w:val="nil"/>
              <w:right w:val="nil"/>
            </w:tcBorders>
            <w:vAlign w:val="center"/>
          </w:tcPr>
          <w:p w14:paraId="075C2B95" w14:textId="792F9106" w:rsidR="0089148A" w:rsidRDefault="0089148A" w:rsidP="0060308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627" w:type="dxa"/>
            <w:tcBorders>
              <w:left w:val="nil"/>
              <w:right w:val="nil"/>
            </w:tcBorders>
            <w:vAlign w:val="center"/>
          </w:tcPr>
          <w:p w14:paraId="3D6FF0D2" w14:textId="4F0475FF" w:rsidR="0089148A" w:rsidRDefault="0089148A" w:rsidP="008F4D3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768" w:type="dxa"/>
            <w:tcBorders>
              <w:left w:val="nil"/>
              <w:right w:val="nil"/>
            </w:tcBorders>
            <w:vAlign w:val="center"/>
          </w:tcPr>
          <w:p w14:paraId="7600AB3F" w14:textId="6DAB95F7"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1790" w:type="dxa"/>
            <w:tcBorders>
              <w:left w:val="nil"/>
              <w:right w:val="nil"/>
            </w:tcBorders>
            <w:vAlign w:val="center"/>
          </w:tcPr>
          <w:p w14:paraId="12B691F7" w14:textId="335BDA6C" w:rsidR="0089148A" w:rsidRDefault="00E749C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1710" w:type="dxa"/>
            <w:tcBorders>
              <w:left w:val="nil"/>
              <w:right w:val="nil"/>
            </w:tcBorders>
            <w:vAlign w:val="center"/>
          </w:tcPr>
          <w:p w14:paraId="010A70CC" w14:textId="65D73A2C" w:rsidR="0089148A" w:rsidRPr="6412F46A" w:rsidRDefault="00E749C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1918" w:type="dxa"/>
            <w:tcBorders>
              <w:left w:val="nil"/>
              <w:right w:val="nil"/>
            </w:tcBorders>
            <w:vAlign w:val="center"/>
          </w:tcPr>
          <w:p w14:paraId="4AB949BA" w14:textId="514F7930" w:rsidR="0089148A" w:rsidRPr="6412F46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100% (76.8%-100%)</w:t>
            </w:r>
          </w:p>
        </w:tc>
        <w:tc>
          <w:tcPr>
            <w:tcW w:w="872" w:type="dxa"/>
            <w:tcBorders>
              <w:left w:val="nil"/>
              <w:right w:val="nil"/>
            </w:tcBorders>
            <w:vAlign w:val="center"/>
          </w:tcPr>
          <w:p w14:paraId="32C1F2B6" w14:textId="02979CD9" w:rsidR="0089148A" w:rsidRPr="6412F46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w:t>
            </w:r>
          </w:p>
        </w:tc>
      </w:tr>
      <w:tr w:rsidR="00AF1EBE" w14:paraId="42615F1A" w14:textId="55890E27" w:rsidTr="00AF1EBE">
        <w:trPr>
          <w:trHeight w:val="282"/>
        </w:trPr>
        <w:tc>
          <w:tcPr>
            <w:cnfStyle w:val="001000000000" w:firstRow="0" w:lastRow="0" w:firstColumn="1" w:lastColumn="0" w:oddVBand="0" w:evenVBand="0" w:oddHBand="0" w:evenHBand="0" w:firstRowFirstColumn="0" w:firstRowLastColumn="0" w:lastRowFirstColumn="0" w:lastRowLastColumn="0"/>
            <w:tcW w:w="1648" w:type="dxa"/>
            <w:tcBorders>
              <w:left w:val="nil"/>
              <w:right w:val="nil"/>
            </w:tcBorders>
            <w:vAlign w:val="center"/>
          </w:tcPr>
          <w:p w14:paraId="1C880326" w14:textId="77777777" w:rsidR="0089148A" w:rsidRPr="000A0FFD" w:rsidRDefault="0089148A" w:rsidP="009D41AA">
            <w:pPr>
              <w:rPr>
                <w:rFonts w:ascii="Arial" w:eastAsia="Arial" w:hAnsi="Arial" w:cs="Arial"/>
                <w:bCs w:val="0"/>
                <w:sz w:val="16"/>
                <w:szCs w:val="16"/>
              </w:rPr>
            </w:pPr>
            <w:r w:rsidRPr="000A0FFD">
              <w:rPr>
                <w:rFonts w:ascii="Arial" w:eastAsia="Arial" w:hAnsi="Arial" w:cs="Arial"/>
                <w:b w:val="0"/>
                <w:bCs w:val="0"/>
                <w:sz w:val="16"/>
                <w:szCs w:val="16"/>
              </w:rPr>
              <w:t>Panther Aptima-350</w:t>
            </w:r>
          </w:p>
        </w:tc>
        <w:tc>
          <w:tcPr>
            <w:tcW w:w="537" w:type="dxa"/>
            <w:tcBorders>
              <w:left w:val="nil"/>
              <w:right w:val="nil"/>
            </w:tcBorders>
            <w:vAlign w:val="center"/>
          </w:tcPr>
          <w:p w14:paraId="28ED7C82" w14:textId="77777777" w:rsidR="0089148A" w:rsidRDefault="0089148A" w:rsidP="004B194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8</w:t>
            </w:r>
          </w:p>
        </w:tc>
        <w:tc>
          <w:tcPr>
            <w:tcW w:w="1018" w:type="dxa"/>
            <w:tcBorders>
              <w:left w:val="nil"/>
              <w:right w:val="nil"/>
            </w:tcBorders>
            <w:vAlign w:val="center"/>
          </w:tcPr>
          <w:p w14:paraId="39CE4771" w14:textId="65D6896E" w:rsidR="0089148A" w:rsidRDefault="0089148A" w:rsidP="00071C38">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bCs/>
                <w:sz w:val="16"/>
                <w:szCs w:val="16"/>
              </w:rPr>
              <w:t>First</w:t>
            </w:r>
            <w:r w:rsidRPr="00C14A24">
              <w:rPr>
                <w:rFonts w:ascii="Arial" w:eastAsia="Arial" w:hAnsi="Arial" w:cs="Arial"/>
                <w:sz w:val="16"/>
                <w:szCs w:val="16"/>
                <w:vertAlign w:val="superscript"/>
              </w:rPr>
              <w:t>†</w:t>
            </w:r>
          </w:p>
        </w:tc>
        <w:tc>
          <w:tcPr>
            <w:tcW w:w="812" w:type="dxa"/>
            <w:tcBorders>
              <w:left w:val="nil"/>
              <w:right w:val="nil"/>
            </w:tcBorders>
            <w:vAlign w:val="center"/>
          </w:tcPr>
          <w:p w14:paraId="39978714" w14:textId="30DB87C5" w:rsidR="0089148A" w:rsidRDefault="0089148A" w:rsidP="0060308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627" w:type="dxa"/>
            <w:tcBorders>
              <w:left w:val="nil"/>
              <w:right w:val="nil"/>
            </w:tcBorders>
            <w:vAlign w:val="center"/>
          </w:tcPr>
          <w:p w14:paraId="00FA8BB0" w14:textId="70F45C51" w:rsidR="0089148A" w:rsidRDefault="0089148A" w:rsidP="008F4D3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768" w:type="dxa"/>
            <w:tcBorders>
              <w:left w:val="nil"/>
              <w:right w:val="nil"/>
            </w:tcBorders>
            <w:vAlign w:val="center"/>
          </w:tcPr>
          <w:p w14:paraId="0525D99E" w14:textId="698681C4"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1790" w:type="dxa"/>
            <w:tcBorders>
              <w:left w:val="nil"/>
              <w:right w:val="nil"/>
            </w:tcBorders>
            <w:vAlign w:val="center"/>
          </w:tcPr>
          <w:p w14:paraId="181A4397" w14:textId="794EFF1A" w:rsidR="0089148A" w:rsidRDefault="00E749C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1710" w:type="dxa"/>
            <w:tcBorders>
              <w:left w:val="nil"/>
              <w:right w:val="nil"/>
            </w:tcBorders>
            <w:vAlign w:val="center"/>
          </w:tcPr>
          <w:p w14:paraId="429FAC61" w14:textId="0CDF9B21" w:rsidR="0089148A" w:rsidRPr="6412F46A" w:rsidRDefault="00E749C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1918" w:type="dxa"/>
            <w:tcBorders>
              <w:left w:val="nil"/>
              <w:right w:val="nil"/>
            </w:tcBorders>
            <w:vAlign w:val="center"/>
          </w:tcPr>
          <w:p w14:paraId="73A2DDF5" w14:textId="20CF35BD" w:rsidR="0089148A" w:rsidRPr="6412F46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100% (76.8%-100%)</w:t>
            </w:r>
          </w:p>
        </w:tc>
        <w:tc>
          <w:tcPr>
            <w:tcW w:w="872" w:type="dxa"/>
            <w:tcBorders>
              <w:left w:val="nil"/>
              <w:right w:val="nil"/>
            </w:tcBorders>
            <w:vAlign w:val="center"/>
          </w:tcPr>
          <w:p w14:paraId="05F0C670" w14:textId="0DF70643" w:rsidR="0089148A" w:rsidRPr="6412F46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w:t>
            </w:r>
          </w:p>
        </w:tc>
      </w:tr>
      <w:tr w:rsidR="00AF1EBE" w14:paraId="301229C0" w14:textId="00F9691E" w:rsidTr="00AF1EBE">
        <w:trPr>
          <w:trHeight w:val="282"/>
        </w:trPr>
        <w:tc>
          <w:tcPr>
            <w:cnfStyle w:val="001000000000" w:firstRow="0" w:lastRow="0" w:firstColumn="1" w:lastColumn="0" w:oddVBand="0" w:evenVBand="0" w:oddHBand="0" w:evenHBand="0" w:firstRowFirstColumn="0" w:firstRowLastColumn="0" w:lastRowFirstColumn="0" w:lastRowLastColumn="0"/>
            <w:tcW w:w="1648" w:type="dxa"/>
            <w:tcBorders>
              <w:left w:val="nil"/>
              <w:right w:val="nil"/>
            </w:tcBorders>
            <w:vAlign w:val="center"/>
          </w:tcPr>
          <w:p w14:paraId="2C8A4041" w14:textId="77777777" w:rsidR="0089148A" w:rsidRPr="000A0FFD" w:rsidRDefault="0089148A" w:rsidP="009D41AA">
            <w:pPr>
              <w:rPr>
                <w:rFonts w:ascii="Arial" w:eastAsia="Arial" w:hAnsi="Arial" w:cs="Arial"/>
                <w:bCs w:val="0"/>
                <w:sz w:val="16"/>
                <w:szCs w:val="16"/>
              </w:rPr>
            </w:pPr>
            <w:r w:rsidRPr="000A0FFD">
              <w:rPr>
                <w:rFonts w:ascii="Arial" w:eastAsia="Arial" w:hAnsi="Arial" w:cs="Arial"/>
                <w:b w:val="0"/>
                <w:bCs w:val="0"/>
                <w:sz w:val="16"/>
                <w:szCs w:val="16"/>
              </w:rPr>
              <w:t>LDT</w:t>
            </w:r>
          </w:p>
        </w:tc>
        <w:tc>
          <w:tcPr>
            <w:tcW w:w="537" w:type="dxa"/>
            <w:tcBorders>
              <w:left w:val="nil"/>
              <w:right w:val="nil"/>
            </w:tcBorders>
            <w:vAlign w:val="center"/>
          </w:tcPr>
          <w:p w14:paraId="4ECFC3AC" w14:textId="77777777" w:rsidR="0089148A" w:rsidRDefault="0089148A" w:rsidP="004B194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0A0FFD">
              <w:rPr>
                <w:rFonts w:ascii="Arial" w:eastAsia="Arial" w:hAnsi="Arial" w:cs="Arial"/>
                <w:bCs/>
                <w:sz w:val="16"/>
                <w:szCs w:val="16"/>
              </w:rPr>
              <w:t>8</w:t>
            </w:r>
          </w:p>
        </w:tc>
        <w:tc>
          <w:tcPr>
            <w:tcW w:w="1018" w:type="dxa"/>
            <w:tcBorders>
              <w:left w:val="nil"/>
              <w:right w:val="nil"/>
            </w:tcBorders>
            <w:vAlign w:val="center"/>
          </w:tcPr>
          <w:p w14:paraId="139270F5" w14:textId="52B93157" w:rsidR="0089148A" w:rsidRDefault="0089148A" w:rsidP="00071C38">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Follow-up</w:t>
            </w:r>
            <w:r w:rsidRPr="00C14A24">
              <w:rPr>
                <w:rFonts w:ascii="Arial" w:eastAsia="Arial" w:hAnsi="Arial" w:cs="Arial"/>
                <w:sz w:val="16"/>
                <w:szCs w:val="16"/>
                <w:vertAlign w:val="superscript"/>
              </w:rPr>
              <w:t>†</w:t>
            </w:r>
          </w:p>
        </w:tc>
        <w:tc>
          <w:tcPr>
            <w:tcW w:w="812" w:type="dxa"/>
            <w:tcBorders>
              <w:left w:val="nil"/>
              <w:right w:val="nil"/>
            </w:tcBorders>
            <w:vAlign w:val="center"/>
          </w:tcPr>
          <w:p w14:paraId="740427D0" w14:textId="77777777" w:rsidR="0089148A" w:rsidRDefault="0089148A" w:rsidP="0060308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15.2%</w:t>
            </w:r>
          </w:p>
        </w:tc>
        <w:tc>
          <w:tcPr>
            <w:tcW w:w="627" w:type="dxa"/>
            <w:tcBorders>
              <w:left w:val="nil"/>
              <w:right w:val="nil"/>
            </w:tcBorders>
            <w:vAlign w:val="center"/>
          </w:tcPr>
          <w:p w14:paraId="37CA1A6E" w14:textId="3820FE8A" w:rsidR="0089148A" w:rsidRDefault="0089148A" w:rsidP="008F4D3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35.9</w:t>
            </w:r>
          </w:p>
        </w:tc>
        <w:tc>
          <w:tcPr>
            <w:tcW w:w="768" w:type="dxa"/>
            <w:tcBorders>
              <w:left w:val="nil"/>
              <w:right w:val="nil"/>
            </w:tcBorders>
            <w:vAlign w:val="center"/>
          </w:tcPr>
          <w:p w14:paraId="5E785B55" w14:textId="26CD9497" w:rsidR="0089148A" w:rsidRPr="000A0FFD"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32.4%</w:t>
            </w:r>
          </w:p>
        </w:tc>
        <w:tc>
          <w:tcPr>
            <w:tcW w:w="1790" w:type="dxa"/>
            <w:tcBorders>
              <w:left w:val="nil"/>
              <w:right w:val="nil"/>
            </w:tcBorders>
            <w:vAlign w:val="center"/>
          </w:tcPr>
          <w:p w14:paraId="4A54C6FC" w14:textId="47B8346B"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81.9% (74.9%-88.6%)</w:t>
            </w:r>
          </w:p>
        </w:tc>
        <w:tc>
          <w:tcPr>
            <w:tcW w:w="1710" w:type="dxa"/>
            <w:tcBorders>
              <w:left w:val="nil"/>
              <w:right w:val="nil"/>
            </w:tcBorders>
            <w:vAlign w:val="center"/>
          </w:tcPr>
          <w:p w14:paraId="31629C19" w14:textId="20FAB252" w:rsidR="0089148A" w:rsidRPr="6412F46A" w:rsidRDefault="003F7799">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0.725 (0.680-0.774)</w:t>
            </w:r>
          </w:p>
        </w:tc>
        <w:tc>
          <w:tcPr>
            <w:tcW w:w="1918" w:type="dxa"/>
            <w:tcBorders>
              <w:left w:val="nil"/>
              <w:right w:val="nil"/>
            </w:tcBorders>
            <w:vAlign w:val="center"/>
          </w:tcPr>
          <w:p w14:paraId="47626E11" w14:textId="58B7F435"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53.6% (33.9%-72.5%)</w:t>
            </w:r>
          </w:p>
        </w:tc>
        <w:tc>
          <w:tcPr>
            <w:tcW w:w="872" w:type="dxa"/>
            <w:tcBorders>
              <w:left w:val="nil"/>
              <w:right w:val="nil"/>
            </w:tcBorders>
            <w:vAlign w:val="center"/>
          </w:tcPr>
          <w:p w14:paraId="7B4260BD" w14:textId="2420741D"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w:t>
            </w:r>
          </w:p>
        </w:tc>
      </w:tr>
      <w:tr w:rsidR="00AF1EBE" w14:paraId="409105DE" w14:textId="3C861F62" w:rsidTr="00AF1EBE">
        <w:trPr>
          <w:trHeight w:val="282"/>
        </w:trPr>
        <w:tc>
          <w:tcPr>
            <w:cnfStyle w:val="001000000000" w:firstRow="0" w:lastRow="0" w:firstColumn="1" w:lastColumn="0" w:oddVBand="0" w:evenVBand="0" w:oddHBand="0" w:evenHBand="0" w:firstRowFirstColumn="0" w:firstRowLastColumn="0" w:lastRowFirstColumn="0" w:lastRowLastColumn="0"/>
            <w:tcW w:w="1648" w:type="dxa"/>
            <w:tcBorders>
              <w:left w:val="nil"/>
              <w:right w:val="nil"/>
            </w:tcBorders>
            <w:vAlign w:val="center"/>
          </w:tcPr>
          <w:p w14:paraId="43D88ACF" w14:textId="77777777" w:rsidR="0089148A" w:rsidRPr="000A0FFD" w:rsidRDefault="0089148A" w:rsidP="009D41AA">
            <w:pPr>
              <w:rPr>
                <w:rFonts w:ascii="Arial" w:eastAsia="Arial" w:hAnsi="Arial" w:cs="Arial"/>
                <w:bCs w:val="0"/>
                <w:sz w:val="16"/>
                <w:szCs w:val="16"/>
              </w:rPr>
            </w:pPr>
            <w:r w:rsidRPr="000A0FFD">
              <w:rPr>
                <w:rFonts w:ascii="Arial" w:eastAsia="Arial" w:hAnsi="Arial" w:cs="Arial"/>
                <w:b w:val="0"/>
                <w:bCs w:val="0"/>
                <w:sz w:val="16"/>
                <w:szCs w:val="16"/>
              </w:rPr>
              <w:t>Panther Fusion</w:t>
            </w:r>
          </w:p>
        </w:tc>
        <w:tc>
          <w:tcPr>
            <w:tcW w:w="537" w:type="dxa"/>
            <w:tcBorders>
              <w:left w:val="nil"/>
              <w:right w:val="nil"/>
            </w:tcBorders>
            <w:vAlign w:val="center"/>
          </w:tcPr>
          <w:p w14:paraId="6551FBCB" w14:textId="77777777" w:rsidR="0089148A" w:rsidRDefault="0089148A" w:rsidP="004B194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8</w:t>
            </w:r>
          </w:p>
        </w:tc>
        <w:tc>
          <w:tcPr>
            <w:tcW w:w="1018" w:type="dxa"/>
            <w:tcBorders>
              <w:left w:val="nil"/>
              <w:right w:val="nil"/>
            </w:tcBorders>
            <w:vAlign w:val="center"/>
          </w:tcPr>
          <w:p w14:paraId="1535775C" w14:textId="76DD167E" w:rsidR="0089148A" w:rsidRDefault="0089148A" w:rsidP="00071C38">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6275E">
              <w:rPr>
                <w:rFonts w:ascii="Arial" w:eastAsia="Arial" w:hAnsi="Arial" w:cs="Arial"/>
                <w:bCs/>
                <w:sz w:val="16"/>
                <w:szCs w:val="16"/>
              </w:rPr>
              <w:t>Follow-up</w:t>
            </w:r>
            <w:r w:rsidRPr="0006275E">
              <w:rPr>
                <w:rFonts w:ascii="Arial" w:eastAsia="Arial" w:hAnsi="Arial" w:cs="Arial"/>
                <w:sz w:val="16"/>
                <w:szCs w:val="16"/>
                <w:vertAlign w:val="superscript"/>
              </w:rPr>
              <w:t>†</w:t>
            </w:r>
          </w:p>
        </w:tc>
        <w:tc>
          <w:tcPr>
            <w:tcW w:w="812" w:type="dxa"/>
            <w:tcBorders>
              <w:left w:val="nil"/>
              <w:right w:val="nil"/>
            </w:tcBorders>
            <w:vAlign w:val="center"/>
          </w:tcPr>
          <w:p w14:paraId="3F30CB61" w14:textId="64095A9A" w:rsidR="0089148A" w:rsidRDefault="0089148A" w:rsidP="0060308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bCs/>
                <w:sz w:val="16"/>
                <w:szCs w:val="16"/>
              </w:rPr>
              <w:t>15.2%</w:t>
            </w:r>
          </w:p>
        </w:tc>
        <w:tc>
          <w:tcPr>
            <w:tcW w:w="627" w:type="dxa"/>
            <w:tcBorders>
              <w:left w:val="nil"/>
              <w:right w:val="nil"/>
            </w:tcBorders>
            <w:vAlign w:val="center"/>
          </w:tcPr>
          <w:p w14:paraId="395039AA" w14:textId="64D1B35F" w:rsidR="0089148A" w:rsidRDefault="0089148A" w:rsidP="008F4D3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35.6</w:t>
            </w:r>
          </w:p>
        </w:tc>
        <w:tc>
          <w:tcPr>
            <w:tcW w:w="768" w:type="dxa"/>
            <w:tcBorders>
              <w:left w:val="nil"/>
              <w:right w:val="nil"/>
            </w:tcBorders>
            <w:vAlign w:val="center"/>
          </w:tcPr>
          <w:p w14:paraId="4DF7229A" w14:textId="7007D365"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35.3%</w:t>
            </w:r>
          </w:p>
        </w:tc>
        <w:tc>
          <w:tcPr>
            <w:tcW w:w="1790" w:type="dxa"/>
            <w:tcBorders>
              <w:left w:val="nil"/>
              <w:right w:val="nil"/>
            </w:tcBorders>
            <w:vAlign w:val="center"/>
          </w:tcPr>
          <w:p w14:paraId="1CF74A09" w14:textId="74C95438" w:rsidR="0089148A" w:rsidRDefault="001769E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79.9% (73.6%-87.1%)</w:t>
            </w:r>
          </w:p>
        </w:tc>
        <w:tc>
          <w:tcPr>
            <w:tcW w:w="1710" w:type="dxa"/>
            <w:tcBorders>
              <w:left w:val="nil"/>
              <w:right w:val="nil"/>
            </w:tcBorders>
            <w:vAlign w:val="center"/>
          </w:tcPr>
          <w:p w14:paraId="55DFF7D0" w14:textId="5F0AA8BA" w:rsidR="0089148A" w:rsidRPr="6412F46A" w:rsidRDefault="001769E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0.711 (0.664-0.763)</w:t>
            </w:r>
          </w:p>
        </w:tc>
        <w:tc>
          <w:tcPr>
            <w:tcW w:w="1918" w:type="dxa"/>
            <w:tcBorders>
              <w:left w:val="nil"/>
              <w:right w:val="nil"/>
            </w:tcBorders>
            <w:vAlign w:val="center"/>
          </w:tcPr>
          <w:p w14:paraId="050DD72F" w14:textId="0C1354BB" w:rsidR="0089148A" w:rsidRPr="6412F46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60.7% (40.6%-78.5%)</w:t>
            </w:r>
          </w:p>
        </w:tc>
        <w:tc>
          <w:tcPr>
            <w:tcW w:w="872" w:type="dxa"/>
            <w:tcBorders>
              <w:left w:val="nil"/>
              <w:right w:val="nil"/>
            </w:tcBorders>
            <w:vAlign w:val="center"/>
          </w:tcPr>
          <w:p w14:paraId="006EC733" w14:textId="5CA63564" w:rsidR="0089148A" w:rsidRPr="6412F46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w:t>
            </w:r>
          </w:p>
        </w:tc>
      </w:tr>
      <w:tr w:rsidR="00AF1EBE" w14:paraId="6976450E" w14:textId="34DCA5C7" w:rsidTr="00AF1EBE">
        <w:trPr>
          <w:trHeight w:val="282"/>
        </w:trPr>
        <w:tc>
          <w:tcPr>
            <w:cnfStyle w:val="001000000000" w:firstRow="0" w:lastRow="0" w:firstColumn="1" w:lastColumn="0" w:oddVBand="0" w:evenVBand="0" w:oddHBand="0" w:evenHBand="0" w:firstRowFirstColumn="0" w:firstRowLastColumn="0" w:lastRowFirstColumn="0" w:lastRowLastColumn="0"/>
            <w:tcW w:w="1648" w:type="dxa"/>
            <w:tcBorders>
              <w:left w:val="nil"/>
              <w:right w:val="nil"/>
            </w:tcBorders>
            <w:vAlign w:val="center"/>
          </w:tcPr>
          <w:p w14:paraId="169ADD48" w14:textId="77777777" w:rsidR="0089148A" w:rsidRPr="000A0FFD" w:rsidRDefault="0089148A" w:rsidP="009D41AA">
            <w:pPr>
              <w:rPr>
                <w:rFonts w:ascii="Arial" w:eastAsia="Arial" w:hAnsi="Arial" w:cs="Arial"/>
                <w:bCs w:val="0"/>
                <w:sz w:val="16"/>
                <w:szCs w:val="16"/>
              </w:rPr>
            </w:pPr>
            <w:r w:rsidRPr="000A0FFD">
              <w:rPr>
                <w:rFonts w:ascii="Arial" w:eastAsia="Arial" w:hAnsi="Arial" w:cs="Arial"/>
                <w:b w:val="0"/>
                <w:bCs w:val="0"/>
                <w:sz w:val="16"/>
                <w:szCs w:val="16"/>
              </w:rPr>
              <w:t>Panther Aptima-M</w:t>
            </w:r>
          </w:p>
        </w:tc>
        <w:tc>
          <w:tcPr>
            <w:tcW w:w="537" w:type="dxa"/>
            <w:tcBorders>
              <w:left w:val="nil"/>
              <w:right w:val="nil"/>
            </w:tcBorders>
            <w:vAlign w:val="center"/>
          </w:tcPr>
          <w:p w14:paraId="4E27DF82" w14:textId="77777777" w:rsidR="0089148A" w:rsidRDefault="0089148A" w:rsidP="004B194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8</w:t>
            </w:r>
          </w:p>
        </w:tc>
        <w:tc>
          <w:tcPr>
            <w:tcW w:w="1018" w:type="dxa"/>
            <w:tcBorders>
              <w:left w:val="nil"/>
              <w:right w:val="nil"/>
            </w:tcBorders>
            <w:vAlign w:val="center"/>
          </w:tcPr>
          <w:p w14:paraId="6AB65B96" w14:textId="1AB4E706" w:rsidR="0089148A" w:rsidRDefault="0089148A" w:rsidP="00071C38">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6275E">
              <w:rPr>
                <w:rFonts w:ascii="Arial" w:eastAsia="Arial" w:hAnsi="Arial" w:cs="Arial"/>
                <w:bCs/>
                <w:sz w:val="16"/>
                <w:szCs w:val="16"/>
              </w:rPr>
              <w:t>Follow-up</w:t>
            </w:r>
            <w:r w:rsidRPr="0006275E">
              <w:rPr>
                <w:rFonts w:ascii="Arial" w:eastAsia="Arial" w:hAnsi="Arial" w:cs="Arial"/>
                <w:sz w:val="16"/>
                <w:szCs w:val="16"/>
                <w:vertAlign w:val="superscript"/>
              </w:rPr>
              <w:t>†</w:t>
            </w:r>
          </w:p>
        </w:tc>
        <w:tc>
          <w:tcPr>
            <w:tcW w:w="812" w:type="dxa"/>
            <w:tcBorders>
              <w:left w:val="nil"/>
              <w:right w:val="nil"/>
            </w:tcBorders>
            <w:vAlign w:val="center"/>
          </w:tcPr>
          <w:p w14:paraId="70E46FC4" w14:textId="6E1DB003" w:rsidR="0089148A" w:rsidRDefault="0089148A" w:rsidP="0060308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627" w:type="dxa"/>
            <w:tcBorders>
              <w:left w:val="nil"/>
              <w:right w:val="nil"/>
            </w:tcBorders>
            <w:vAlign w:val="center"/>
          </w:tcPr>
          <w:p w14:paraId="65F2CF9A" w14:textId="25C76941" w:rsidR="0089148A" w:rsidRDefault="0089148A" w:rsidP="008F4D3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768" w:type="dxa"/>
            <w:tcBorders>
              <w:left w:val="nil"/>
              <w:right w:val="nil"/>
            </w:tcBorders>
            <w:vAlign w:val="center"/>
          </w:tcPr>
          <w:p w14:paraId="06A0B016" w14:textId="682D1D3C"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1790" w:type="dxa"/>
            <w:tcBorders>
              <w:left w:val="nil"/>
              <w:right w:val="nil"/>
            </w:tcBorders>
            <w:vAlign w:val="center"/>
          </w:tcPr>
          <w:p w14:paraId="5D8FF576" w14:textId="669D7889" w:rsidR="0089148A" w:rsidRDefault="00E749C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1710" w:type="dxa"/>
            <w:tcBorders>
              <w:left w:val="nil"/>
              <w:right w:val="nil"/>
            </w:tcBorders>
            <w:vAlign w:val="center"/>
          </w:tcPr>
          <w:p w14:paraId="76C895EB" w14:textId="422615C8" w:rsidR="0089148A" w:rsidRPr="6412F46A" w:rsidRDefault="00E749C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1918" w:type="dxa"/>
            <w:tcBorders>
              <w:left w:val="nil"/>
              <w:right w:val="nil"/>
            </w:tcBorders>
            <w:vAlign w:val="center"/>
          </w:tcPr>
          <w:p w14:paraId="7AB889C2" w14:textId="6F5B24A7" w:rsidR="0089148A" w:rsidRPr="6412F46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60.7% (40.6%-78.5%)</w:t>
            </w:r>
          </w:p>
        </w:tc>
        <w:tc>
          <w:tcPr>
            <w:tcW w:w="872" w:type="dxa"/>
            <w:tcBorders>
              <w:left w:val="nil"/>
              <w:right w:val="nil"/>
            </w:tcBorders>
            <w:vAlign w:val="center"/>
          </w:tcPr>
          <w:p w14:paraId="0FD08A41" w14:textId="169A0704" w:rsidR="0089148A" w:rsidRPr="6412F46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w:t>
            </w:r>
          </w:p>
        </w:tc>
      </w:tr>
      <w:tr w:rsidR="00AF1EBE" w14:paraId="15FD5A2A" w14:textId="4E549F1D" w:rsidTr="00AF1EBE">
        <w:trPr>
          <w:trHeight w:val="282"/>
        </w:trPr>
        <w:tc>
          <w:tcPr>
            <w:cnfStyle w:val="001000000000" w:firstRow="0" w:lastRow="0" w:firstColumn="1" w:lastColumn="0" w:oddVBand="0" w:evenVBand="0" w:oddHBand="0" w:evenHBand="0" w:firstRowFirstColumn="0" w:firstRowLastColumn="0" w:lastRowFirstColumn="0" w:lastRowLastColumn="0"/>
            <w:tcW w:w="1648" w:type="dxa"/>
            <w:tcBorders>
              <w:left w:val="nil"/>
              <w:right w:val="nil"/>
            </w:tcBorders>
            <w:vAlign w:val="center"/>
          </w:tcPr>
          <w:p w14:paraId="79441980" w14:textId="77777777" w:rsidR="0089148A" w:rsidRPr="000A0FFD" w:rsidRDefault="0089148A" w:rsidP="009D41AA">
            <w:pPr>
              <w:rPr>
                <w:rFonts w:ascii="Arial" w:eastAsia="Arial" w:hAnsi="Arial" w:cs="Arial"/>
                <w:bCs w:val="0"/>
                <w:sz w:val="16"/>
                <w:szCs w:val="16"/>
              </w:rPr>
            </w:pPr>
            <w:r w:rsidRPr="000A0FFD">
              <w:rPr>
                <w:rFonts w:ascii="Arial" w:eastAsia="Arial" w:hAnsi="Arial" w:cs="Arial"/>
                <w:b w:val="0"/>
                <w:bCs w:val="0"/>
                <w:sz w:val="16"/>
                <w:szCs w:val="16"/>
              </w:rPr>
              <w:t>Panther Aptima-350</w:t>
            </w:r>
          </w:p>
        </w:tc>
        <w:tc>
          <w:tcPr>
            <w:tcW w:w="537" w:type="dxa"/>
            <w:tcBorders>
              <w:left w:val="nil"/>
              <w:right w:val="nil"/>
            </w:tcBorders>
            <w:vAlign w:val="center"/>
          </w:tcPr>
          <w:p w14:paraId="44934786" w14:textId="77777777" w:rsidR="0089148A" w:rsidRDefault="0089148A" w:rsidP="004B194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8</w:t>
            </w:r>
          </w:p>
        </w:tc>
        <w:tc>
          <w:tcPr>
            <w:tcW w:w="1018" w:type="dxa"/>
            <w:tcBorders>
              <w:left w:val="nil"/>
              <w:right w:val="nil"/>
            </w:tcBorders>
            <w:vAlign w:val="center"/>
          </w:tcPr>
          <w:p w14:paraId="612BBB9D" w14:textId="290F7F6A" w:rsidR="0089148A" w:rsidRDefault="0089148A" w:rsidP="00071C38">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6275E">
              <w:rPr>
                <w:rFonts w:ascii="Arial" w:eastAsia="Arial" w:hAnsi="Arial" w:cs="Arial"/>
                <w:bCs/>
                <w:sz w:val="16"/>
                <w:szCs w:val="16"/>
              </w:rPr>
              <w:t>Follow-up</w:t>
            </w:r>
            <w:r w:rsidRPr="0006275E">
              <w:rPr>
                <w:rFonts w:ascii="Arial" w:eastAsia="Arial" w:hAnsi="Arial" w:cs="Arial"/>
                <w:sz w:val="16"/>
                <w:szCs w:val="16"/>
                <w:vertAlign w:val="superscript"/>
              </w:rPr>
              <w:t>†</w:t>
            </w:r>
          </w:p>
        </w:tc>
        <w:tc>
          <w:tcPr>
            <w:tcW w:w="812" w:type="dxa"/>
            <w:tcBorders>
              <w:left w:val="nil"/>
              <w:right w:val="nil"/>
            </w:tcBorders>
            <w:vAlign w:val="center"/>
          </w:tcPr>
          <w:p w14:paraId="65C9715D" w14:textId="03F65549" w:rsidR="0089148A" w:rsidRDefault="0089148A" w:rsidP="0060308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627" w:type="dxa"/>
            <w:tcBorders>
              <w:left w:val="nil"/>
              <w:right w:val="nil"/>
            </w:tcBorders>
            <w:vAlign w:val="center"/>
          </w:tcPr>
          <w:p w14:paraId="0EC32F54" w14:textId="1C327E1B" w:rsidR="0089148A" w:rsidRDefault="0089148A" w:rsidP="008F4D3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768" w:type="dxa"/>
            <w:tcBorders>
              <w:left w:val="nil"/>
              <w:right w:val="nil"/>
            </w:tcBorders>
            <w:vAlign w:val="center"/>
          </w:tcPr>
          <w:p w14:paraId="7C0EFC3C" w14:textId="581C8835"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1790" w:type="dxa"/>
            <w:tcBorders>
              <w:left w:val="nil"/>
              <w:right w:val="nil"/>
            </w:tcBorders>
            <w:vAlign w:val="center"/>
          </w:tcPr>
          <w:p w14:paraId="65EF88E0" w14:textId="4A1E76B8" w:rsidR="0089148A" w:rsidRDefault="00E749C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1710" w:type="dxa"/>
            <w:tcBorders>
              <w:left w:val="nil"/>
              <w:right w:val="nil"/>
            </w:tcBorders>
            <w:vAlign w:val="center"/>
          </w:tcPr>
          <w:p w14:paraId="3162D59D" w14:textId="0DBD3B40" w:rsidR="0089148A" w:rsidRPr="6412F46A" w:rsidRDefault="00E749C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1918" w:type="dxa"/>
            <w:tcBorders>
              <w:left w:val="nil"/>
              <w:right w:val="nil"/>
            </w:tcBorders>
            <w:vAlign w:val="center"/>
          </w:tcPr>
          <w:p w14:paraId="06EA828C" w14:textId="2E0BF11B" w:rsidR="0089148A" w:rsidRPr="6412F46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71.4% (51.3%-86.8%)</w:t>
            </w:r>
          </w:p>
        </w:tc>
        <w:tc>
          <w:tcPr>
            <w:tcW w:w="872" w:type="dxa"/>
            <w:tcBorders>
              <w:left w:val="nil"/>
              <w:right w:val="nil"/>
            </w:tcBorders>
            <w:vAlign w:val="center"/>
          </w:tcPr>
          <w:p w14:paraId="1F690646" w14:textId="1B2D6BAF" w:rsidR="0089148A" w:rsidRPr="6412F46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w:t>
            </w:r>
          </w:p>
        </w:tc>
      </w:tr>
      <w:tr w:rsidR="00AF1EBE" w14:paraId="16299628" w14:textId="1B22686D" w:rsidTr="00AF1EBE">
        <w:trPr>
          <w:trHeight w:val="282"/>
        </w:trPr>
        <w:tc>
          <w:tcPr>
            <w:cnfStyle w:val="001000000000" w:firstRow="0" w:lastRow="0" w:firstColumn="1" w:lastColumn="0" w:oddVBand="0" w:evenVBand="0" w:oddHBand="0" w:evenHBand="0" w:firstRowFirstColumn="0" w:firstRowLastColumn="0" w:lastRowFirstColumn="0" w:lastRowLastColumn="0"/>
            <w:tcW w:w="1648" w:type="dxa"/>
            <w:tcBorders>
              <w:left w:val="nil"/>
              <w:right w:val="nil"/>
            </w:tcBorders>
            <w:vAlign w:val="center"/>
          </w:tcPr>
          <w:p w14:paraId="3378CB69" w14:textId="77777777" w:rsidR="0089148A" w:rsidRPr="000A0FFD" w:rsidRDefault="0089148A" w:rsidP="009D41AA">
            <w:pPr>
              <w:rPr>
                <w:rFonts w:ascii="Arial" w:eastAsia="Arial" w:hAnsi="Arial" w:cs="Arial"/>
                <w:b w:val="0"/>
                <w:bCs w:val="0"/>
                <w:sz w:val="16"/>
                <w:szCs w:val="16"/>
              </w:rPr>
            </w:pPr>
            <w:r w:rsidRPr="000A0FFD">
              <w:rPr>
                <w:rFonts w:ascii="Arial" w:eastAsia="Arial" w:hAnsi="Arial" w:cs="Arial"/>
                <w:b w:val="0"/>
                <w:bCs w:val="0"/>
                <w:sz w:val="16"/>
                <w:szCs w:val="16"/>
              </w:rPr>
              <w:t>LDT</w:t>
            </w:r>
          </w:p>
        </w:tc>
        <w:tc>
          <w:tcPr>
            <w:tcW w:w="537" w:type="dxa"/>
            <w:tcBorders>
              <w:left w:val="nil"/>
              <w:right w:val="nil"/>
            </w:tcBorders>
            <w:vAlign w:val="center"/>
          </w:tcPr>
          <w:p w14:paraId="3C203FEE" w14:textId="77777777" w:rsidR="0089148A" w:rsidRDefault="0089148A" w:rsidP="004B194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0A0FFD">
              <w:rPr>
                <w:rFonts w:ascii="Arial" w:eastAsia="Arial" w:hAnsi="Arial" w:cs="Arial"/>
                <w:sz w:val="16"/>
                <w:szCs w:val="16"/>
              </w:rPr>
              <w:t>4</w:t>
            </w:r>
          </w:p>
        </w:tc>
        <w:tc>
          <w:tcPr>
            <w:tcW w:w="1018" w:type="dxa"/>
            <w:tcBorders>
              <w:left w:val="nil"/>
              <w:right w:val="nil"/>
            </w:tcBorders>
            <w:vAlign w:val="center"/>
          </w:tcPr>
          <w:p w14:paraId="3C415D8F" w14:textId="39B6A919" w:rsidR="0089148A" w:rsidRDefault="0089148A" w:rsidP="00071C38">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All</w:t>
            </w:r>
          </w:p>
        </w:tc>
        <w:tc>
          <w:tcPr>
            <w:tcW w:w="812" w:type="dxa"/>
            <w:tcBorders>
              <w:left w:val="nil"/>
              <w:right w:val="nil"/>
            </w:tcBorders>
            <w:vAlign w:val="center"/>
          </w:tcPr>
          <w:p w14:paraId="32AF1775" w14:textId="73090FFB" w:rsidR="0089148A" w:rsidRDefault="0089148A" w:rsidP="0060308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4.9%</w:t>
            </w:r>
          </w:p>
        </w:tc>
        <w:tc>
          <w:tcPr>
            <w:tcW w:w="627" w:type="dxa"/>
            <w:tcBorders>
              <w:left w:val="nil"/>
              <w:right w:val="nil"/>
            </w:tcBorders>
            <w:vAlign w:val="center"/>
          </w:tcPr>
          <w:p w14:paraId="77BDBBD6" w14:textId="62EA1A90" w:rsidR="0089148A" w:rsidRDefault="0089148A" w:rsidP="008F4D3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35.9</w:t>
            </w:r>
          </w:p>
        </w:tc>
        <w:tc>
          <w:tcPr>
            <w:tcW w:w="768" w:type="dxa"/>
            <w:tcBorders>
              <w:left w:val="nil"/>
              <w:right w:val="nil"/>
            </w:tcBorders>
            <w:vAlign w:val="center"/>
          </w:tcPr>
          <w:p w14:paraId="0223BB8C" w14:textId="70FB677B" w:rsidR="0089148A" w:rsidRPr="000A0FFD"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bCs/>
                <w:sz w:val="16"/>
                <w:szCs w:val="16"/>
              </w:rPr>
              <w:t>15.8%</w:t>
            </w:r>
          </w:p>
        </w:tc>
        <w:tc>
          <w:tcPr>
            <w:tcW w:w="1790" w:type="dxa"/>
            <w:tcBorders>
              <w:left w:val="nil"/>
              <w:right w:val="nil"/>
            </w:tcBorders>
            <w:vAlign w:val="center"/>
          </w:tcPr>
          <w:p w14:paraId="2FDEADBF" w14:textId="5A1FAFCD" w:rsidR="0089148A" w:rsidRPr="003C658F"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90.0% (84.8%-94.7%)</w:t>
            </w:r>
          </w:p>
        </w:tc>
        <w:tc>
          <w:tcPr>
            <w:tcW w:w="1710" w:type="dxa"/>
            <w:tcBorders>
              <w:left w:val="nil"/>
              <w:right w:val="nil"/>
            </w:tcBorders>
            <w:vAlign w:val="center"/>
          </w:tcPr>
          <w:p w14:paraId="0CBC4199" w14:textId="0CA84131" w:rsidR="0089148A" w:rsidRPr="6412F46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0.414 (0.406-0.422)</w:t>
            </w:r>
          </w:p>
        </w:tc>
        <w:tc>
          <w:tcPr>
            <w:tcW w:w="1918" w:type="dxa"/>
            <w:tcBorders>
              <w:left w:val="nil"/>
              <w:right w:val="nil"/>
            </w:tcBorders>
            <w:vAlign w:val="center"/>
          </w:tcPr>
          <w:p w14:paraId="061887D6" w14:textId="3888C801"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94.3% (80.8%-99.3%)</w:t>
            </w:r>
          </w:p>
        </w:tc>
        <w:tc>
          <w:tcPr>
            <w:tcW w:w="872" w:type="dxa"/>
            <w:tcBorders>
              <w:left w:val="nil"/>
              <w:right w:val="nil"/>
            </w:tcBorders>
            <w:vAlign w:val="center"/>
          </w:tcPr>
          <w:p w14:paraId="120CCB88" w14:textId="726DA760"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0.422</w:t>
            </w:r>
          </w:p>
        </w:tc>
      </w:tr>
      <w:tr w:rsidR="00AF1EBE" w14:paraId="3C490E4E" w14:textId="0FE8E126" w:rsidTr="00AF1EBE">
        <w:trPr>
          <w:trHeight w:val="282"/>
        </w:trPr>
        <w:tc>
          <w:tcPr>
            <w:cnfStyle w:val="001000000000" w:firstRow="0" w:lastRow="0" w:firstColumn="1" w:lastColumn="0" w:oddVBand="0" w:evenVBand="0" w:oddHBand="0" w:evenHBand="0" w:firstRowFirstColumn="0" w:firstRowLastColumn="0" w:lastRowFirstColumn="0" w:lastRowLastColumn="0"/>
            <w:tcW w:w="1648" w:type="dxa"/>
            <w:tcBorders>
              <w:left w:val="nil"/>
              <w:right w:val="nil"/>
            </w:tcBorders>
            <w:vAlign w:val="center"/>
          </w:tcPr>
          <w:p w14:paraId="54723061" w14:textId="77777777" w:rsidR="0089148A" w:rsidRPr="000A0FFD" w:rsidRDefault="0089148A" w:rsidP="009D41AA">
            <w:pPr>
              <w:rPr>
                <w:rFonts w:ascii="Arial" w:eastAsia="Arial" w:hAnsi="Arial" w:cs="Arial"/>
                <w:b w:val="0"/>
                <w:bCs w:val="0"/>
                <w:sz w:val="16"/>
                <w:szCs w:val="16"/>
              </w:rPr>
            </w:pPr>
            <w:r w:rsidRPr="000A0FFD">
              <w:rPr>
                <w:rFonts w:ascii="Arial" w:eastAsia="Arial" w:hAnsi="Arial" w:cs="Arial"/>
                <w:b w:val="0"/>
                <w:bCs w:val="0"/>
                <w:sz w:val="16"/>
                <w:szCs w:val="16"/>
              </w:rPr>
              <w:t>Panther Fusion*</w:t>
            </w:r>
          </w:p>
        </w:tc>
        <w:tc>
          <w:tcPr>
            <w:tcW w:w="537" w:type="dxa"/>
            <w:tcBorders>
              <w:left w:val="nil"/>
              <w:right w:val="nil"/>
            </w:tcBorders>
            <w:vAlign w:val="center"/>
          </w:tcPr>
          <w:p w14:paraId="3BB6EDC1" w14:textId="77777777" w:rsidR="0089148A" w:rsidRDefault="0089148A" w:rsidP="004B194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4</w:t>
            </w:r>
          </w:p>
        </w:tc>
        <w:tc>
          <w:tcPr>
            <w:tcW w:w="1018" w:type="dxa"/>
            <w:tcBorders>
              <w:left w:val="nil"/>
              <w:right w:val="nil"/>
            </w:tcBorders>
            <w:vAlign w:val="center"/>
          </w:tcPr>
          <w:p w14:paraId="73CBC9E5" w14:textId="2F81E93E" w:rsidR="0089148A" w:rsidRDefault="0089148A" w:rsidP="00071C38">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All</w:t>
            </w:r>
          </w:p>
        </w:tc>
        <w:tc>
          <w:tcPr>
            <w:tcW w:w="812" w:type="dxa"/>
            <w:tcBorders>
              <w:left w:val="nil"/>
              <w:right w:val="nil"/>
            </w:tcBorders>
            <w:vAlign w:val="center"/>
          </w:tcPr>
          <w:p w14:paraId="6C0D4CA7" w14:textId="3DB6FFE7" w:rsidR="0089148A" w:rsidRDefault="0089148A" w:rsidP="0060308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bCs/>
                <w:sz w:val="16"/>
                <w:szCs w:val="16"/>
              </w:rPr>
              <w:t>4.9%</w:t>
            </w:r>
          </w:p>
        </w:tc>
        <w:tc>
          <w:tcPr>
            <w:tcW w:w="627" w:type="dxa"/>
            <w:tcBorders>
              <w:left w:val="nil"/>
              <w:right w:val="nil"/>
            </w:tcBorders>
            <w:vAlign w:val="center"/>
          </w:tcPr>
          <w:p w14:paraId="46D818C4" w14:textId="4A09EA0B" w:rsidR="0089148A" w:rsidRDefault="0089148A" w:rsidP="008F4D3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35.6</w:t>
            </w:r>
          </w:p>
        </w:tc>
        <w:tc>
          <w:tcPr>
            <w:tcW w:w="768" w:type="dxa"/>
            <w:tcBorders>
              <w:left w:val="nil"/>
              <w:right w:val="nil"/>
            </w:tcBorders>
            <w:vAlign w:val="center"/>
          </w:tcPr>
          <w:p w14:paraId="55428340" w14:textId="44DBFF25"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15.8%</w:t>
            </w:r>
          </w:p>
        </w:tc>
        <w:tc>
          <w:tcPr>
            <w:tcW w:w="1790" w:type="dxa"/>
            <w:tcBorders>
              <w:left w:val="nil"/>
              <w:right w:val="nil"/>
            </w:tcBorders>
            <w:vAlign w:val="center"/>
          </w:tcPr>
          <w:p w14:paraId="73B20D55" w14:textId="6C434525" w:rsidR="0089148A" w:rsidRPr="003C658F" w:rsidRDefault="006F6179">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89.9% (85.8%-94.0%)</w:t>
            </w:r>
          </w:p>
        </w:tc>
        <w:tc>
          <w:tcPr>
            <w:tcW w:w="1710" w:type="dxa"/>
            <w:tcBorders>
              <w:left w:val="nil"/>
              <w:right w:val="nil"/>
            </w:tcBorders>
            <w:vAlign w:val="center"/>
          </w:tcPr>
          <w:p w14:paraId="10B662FA" w14:textId="6075B56F" w:rsidR="0089148A" w:rsidRPr="6412F46A" w:rsidRDefault="006F6179">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0.414 (0.406-0.421)</w:t>
            </w:r>
          </w:p>
        </w:tc>
        <w:tc>
          <w:tcPr>
            <w:tcW w:w="1918" w:type="dxa"/>
            <w:tcBorders>
              <w:left w:val="nil"/>
              <w:right w:val="nil"/>
            </w:tcBorders>
            <w:vAlign w:val="center"/>
          </w:tcPr>
          <w:p w14:paraId="4046E634" w14:textId="3839BE25" w:rsidR="0089148A" w:rsidRPr="6412F46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100% (85.8%-100%)</w:t>
            </w:r>
          </w:p>
        </w:tc>
        <w:tc>
          <w:tcPr>
            <w:tcW w:w="872" w:type="dxa"/>
            <w:tcBorders>
              <w:left w:val="nil"/>
              <w:right w:val="nil"/>
            </w:tcBorders>
            <w:vAlign w:val="center"/>
          </w:tcPr>
          <w:p w14:paraId="74121FE1" w14:textId="68E174FA" w:rsidR="0089148A" w:rsidRPr="6412F46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0.426</w:t>
            </w:r>
          </w:p>
        </w:tc>
      </w:tr>
      <w:tr w:rsidR="00AF1EBE" w14:paraId="651EE880" w14:textId="765DF9F7" w:rsidTr="00AF1EBE">
        <w:trPr>
          <w:trHeight w:val="282"/>
        </w:trPr>
        <w:tc>
          <w:tcPr>
            <w:cnfStyle w:val="001000000000" w:firstRow="0" w:lastRow="0" w:firstColumn="1" w:lastColumn="0" w:oddVBand="0" w:evenVBand="0" w:oddHBand="0" w:evenHBand="0" w:firstRowFirstColumn="0" w:firstRowLastColumn="0" w:lastRowFirstColumn="0" w:lastRowLastColumn="0"/>
            <w:tcW w:w="1648" w:type="dxa"/>
            <w:tcBorders>
              <w:left w:val="nil"/>
              <w:right w:val="nil"/>
            </w:tcBorders>
            <w:vAlign w:val="center"/>
          </w:tcPr>
          <w:p w14:paraId="59B6A1BF" w14:textId="77777777" w:rsidR="0089148A" w:rsidRPr="000A0FFD" w:rsidRDefault="0089148A" w:rsidP="009D41AA">
            <w:pPr>
              <w:rPr>
                <w:rFonts w:ascii="Arial" w:eastAsia="Arial" w:hAnsi="Arial" w:cs="Arial"/>
                <w:b w:val="0"/>
                <w:bCs w:val="0"/>
                <w:sz w:val="16"/>
                <w:szCs w:val="16"/>
              </w:rPr>
            </w:pPr>
            <w:r w:rsidRPr="000A0FFD">
              <w:rPr>
                <w:rFonts w:ascii="Arial" w:eastAsia="Arial" w:hAnsi="Arial" w:cs="Arial"/>
                <w:b w:val="0"/>
                <w:bCs w:val="0"/>
                <w:sz w:val="16"/>
                <w:szCs w:val="16"/>
              </w:rPr>
              <w:t>Panther Aptima-M</w:t>
            </w:r>
          </w:p>
        </w:tc>
        <w:tc>
          <w:tcPr>
            <w:tcW w:w="537" w:type="dxa"/>
            <w:tcBorders>
              <w:left w:val="nil"/>
              <w:right w:val="nil"/>
            </w:tcBorders>
            <w:vAlign w:val="center"/>
          </w:tcPr>
          <w:p w14:paraId="4E680D4E" w14:textId="77777777" w:rsidR="0089148A" w:rsidRDefault="0089148A" w:rsidP="004B194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4</w:t>
            </w:r>
          </w:p>
        </w:tc>
        <w:tc>
          <w:tcPr>
            <w:tcW w:w="1018" w:type="dxa"/>
            <w:tcBorders>
              <w:left w:val="nil"/>
              <w:right w:val="nil"/>
            </w:tcBorders>
            <w:vAlign w:val="center"/>
          </w:tcPr>
          <w:p w14:paraId="08D338EA" w14:textId="25DDBC1A" w:rsidR="0089148A" w:rsidRDefault="0089148A" w:rsidP="00071C38">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All</w:t>
            </w:r>
          </w:p>
        </w:tc>
        <w:tc>
          <w:tcPr>
            <w:tcW w:w="812" w:type="dxa"/>
            <w:tcBorders>
              <w:left w:val="nil"/>
              <w:right w:val="nil"/>
            </w:tcBorders>
            <w:vAlign w:val="center"/>
          </w:tcPr>
          <w:p w14:paraId="2A3B18BD" w14:textId="1EA815F0" w:rsidR="0089148A" w:rsidRDefault="0089148A" w:rsidP="0060308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627" w:type="dxa"/>
            <w:tcBorders>
              <w:left w:val="nil"/>
              <w:right w:val="nil"/>
            </w:tcBorders>
            <w:vAlign w:val="center"/>
          </w:tcPr>
          <w:p w14:paraId="4DCB355A" w14:textId="3DD139ED" w:rsidR="0089148A" w:rsidRDefault="0089148A" w:rsidP="008F4D3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768" w:type="dxa"/>
            <w:tcBorders>
              <w:left w:val="nil"/>
              <w:right w:val="nil"/>
            </w:tcBorders>
            <w:vAlign w:val="center"/>
          </w:tcPr>
          <w:p w14:paraId="3830D930" w14:textId="59A22E25"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1790" w:type="dxa"/>
            <w:tcBorders>
              <w:left w:val="nil"/>
              <w:right w:val="nil"/>
            </w:tcBorders>
            <w:vAlign w:val="center"/>
          </w:tcPr>
          <w:p w14:paraId="4508C7B3" w14:textId="3D93F47D" w:rsidR="0089148A" w:rsidRPr="003C658F" w:rsidRDefault="006F6179">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1710" w:type="dxa"/>
            <w:tcBorders>
              <w:left w:val="nil"/>
              <w:right w:val="nil"/>
            </w:tcBorders>
            <w:vAlign w:val="center"/>
          </w:tcPr>
          <w:p w14:paraId="7CE1FFE1" w14:textId="6DE444D4" w:rsidR="0089148A" w:rsidRPr="6412F46A" w:rsidRDefault="006F6179">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1918" w:type="dxa"/>
            <w:tcBorders>
              <w:left w:val="nil"/>
              <w:right w:val="nil"/>
            </w:tcBorders>
            <w:vAlign w:val="center"/>
          </w:tcPr>
          <w:p w14:paraId="68F51E93" w14:textId="2C519255" w:rsidR="0089148A" w:rsidRPr="6412F46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82.9% (66.2%-93.4%)</w:t>
            </w:r>
          </w:p>
        </w:tc>
        <w:tc>
          <w:tcPr>
            <w:tcW w:w="872" w:type="dxa"/>
            <w:tcBorders>
              <w:left w:val="nil"/>
              <w:right w:val="nil"/>
            </w:tcBorders>
            <w:vAlign w:val="center"/>
          </w:tcPr>
          <w:p w14:paraId="0E4B630F" w14:textId="506795DA" w:rsidR="0089148A" w:rsidRPr="6412F46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0.401</w:t>
            </w:r>
          </w:p>
        </w:tc>
      </w:tr>
      <w:tr w:rsidR="00AF1EBE" w14:paraId="0772D378" w14:textId="7D23E055" w:rsidTr="00AF1EBE">
        <w:trPr>
          <w:trHeight w:val="282"/>
        </w:trPr>
        <w:tc>
          <w:tcPr>
            <w:cnfStyle w:val="001000000000" w:firstRow="0" w:lastRow="0" w:firstColumn="1" w:lastColumn="0" w:oddVBand="0" w:evenVBand="0" w:oddHBand="0" w:evenHBand="0" w:firstRowFirstColumn="0" w:firstRowLastColumn="0" w:lastRowFirstColumn="0" w:lastRowLastColumn="0"/>
            <w:tcW w:w="1648" w:type="dxa"/>
            <w:tcBorders>
              <w:left w:val="nil"/>
              <w:right w:val="nil"/>
            </w:tcBorders>
            <w:vAlign w:val="center"/>
          </w:tcPr>
          <w:p w14:paraId="6DCA6B50" w14:textId="77777777" w:rsidR="0089148A" w:rsidRPr="000A0FFD" w:rsidRDefault="0089148A" w:rsidP="009D41AA">
            <w:pPr>
              <w:rPr>
                <w:rFonts w:ascii="Arial" w:eastAsia="Arial" w:hAnsi="Arial" w:cs="Arial"/>
                <w:b w:val="0"/>
                <w:bCs w:val="0"/>
                <w:sz w:val="16"/>
                <w:szCs w:val="16"/>
              </w:rPr>
            </w:pPr>
            <w:r w:rsidRPr="000A0FFD">
              <w:rPr>
                <w:rFonts w:ascii="Arial" w:eastAsia="Arial" w:hAnsi="Arial" w:cs="Arial"/>
                <w:b w:val="0"/>
                <w:bCs w:val="0"/>
                <w:sz w:val="16"/>
                <w:szCs w:val="16"/>
              </w:rPr>
              <w:t>Panther Aptima-350</w:t>
            </w:r>
          </w:p>
        </w:tc>
        <w:tc>
          <w:tcPr>
            <w:tcW w:w="537" w:type="dxa"/>
            <w:tcBorders>
              <w:left w:val="nil"/>
              <w:right w:val="nil"/>
            </w:tcBorders>
            <w:vAlign w:val="center"/>
          </w:tcPr>
          <w:p w14:paraId="0983BCB9" w14:textId="77777777" w:rsidR="0089148A" w:rsidRDefault="0089148A" w:rsidP="004B194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4</w:t>
            </w:r>
          </w:p>
        </w:tc>
        <w:tc>
          <w:tcPr>
            <w:tcW w:w="1018" w:type="dxa"/>
            <w:tcBorders>
              <w:left w:val="nil"/>
              <w:right w:val="nil"/>
            </w:tcBorders>
            <w:vAlign w:val="center"/>
          </w:tcPr>
          <w:p w14:paraId="1DEBC4F9" w14:textId="4685FD59" w:rsidR="0089148A" w:rsidRDefault="0089148A" w:rsidP="00071C38">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All</w:t>
            </w:r>
          </w:p>
        </w:tc>
        <w:tc>
          <w:tcPr>
            <w:tcW w:w="812" w:type="dxa"/>
            <w:tcBorders>
              <w:left w:val="nil"/>
              <w:right w:val="nil"/>
            </w:tcBorders>
            <w:vAlign w:val="center"/>
          </w:tcPr>
          <w:p w14:paraId="78F04E09" w14:textId="315E4DB0" w:rsidR="0089148A" w:rsidRDefault="0089148A" w:rsidP="0060308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627" w:type="dxa"/>
            <w:tcBorders>
              <w:left w:val="nil"/>
              <w:right w:val="nil"/>
            </w:tcBorders>
            <w:vAlign w:val="center"/>
          </w:tcPr>
          <w:p w14:paraId="0143FE88" w14:textId="09D726F1" w:rsidR="0089148A" w:rsidRDefault="0089148A" w:rsidP="008F4D3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768" w:type="dxa"/>
            <w:tcBorders>
              <w:left w:val="nil"/>
              <w:right w:val="nil"/>
            </w:tcBorders>
            <w:vAlign w:val="center"/>
          </w:tcPr>
          <w:p w14:paraId="35EE9759" w14:textId="1DFDA267"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1790" w:type="dxa"/>
            <w:tcBorders>
              <w:left w:val="nil"/>
              <w:right w:val="nil"/>
            </w:tcBorders>
            <w:vAlign w:val="center"/>
          </w:tcPr>
          <w:p w14:paraId="1D30F059" w14:textId="70172DC8" w:rsidR="0089148A" w:rsidRDefault="006F6179">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1710" w:type="dxa"/>
            <w:tcBorders>
              <w:left w:val="nil"/>
              <w:right w:val="nil"/>
            </w:tcBorders>
            <w:vAlign w:val="center"/>
          </w:tcPr>
          <w:p w14:paraId="798156F4" w14:textId="69316EF3" w:rsidR="0089148A" w:rsidRDefault="006F6179">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1918" w:type="dxa"/>
            <w:tcBorders>
              <w:left w:val="nil"/>
              <w:right w:val="nil"/>
            </w:tcBorders>
            <w:vAlign w:val="center"/>
          </w:tcPr>
          <w:p w14:paraId="6612E392" w14:textId="30ECB745"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88.6% (73.3%-96.8%)</w:t>
            </w:r>
          </w:p>
        </w:tc>
        <w:tc>
          <w:tcPr>
            <w:tcW w:w="872" w:type="dxa"/>
            <w:tcBorders>
              <w:left w:val="nil"/>
              <w:right w:val="nil"/>
            </w:tcBorders>
            <w:vAlign w:val="center"/>
          </w:tcPr>
          <w:p w14:paraId="64620B52" w14:textId="043F9B33"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0.411</w:t>
            </w:r>
          </w:p>
        </w:tc>
      </w:tr>
      <w:tr w:rsidR="00AF1EBE" w14:paraId="29D83EFE" w14:textId="20593F1A" w:rsidTr="00AF1EBE">
        <w:trPr>
          <w:trHeight w:val="282"/>
        </w:trPr>
        <w:tc>
          <w:tcPr>
            <w:cnfStyle w:val="001000000000" w:firstRow="0" w:lastRow="0" w:firstColumn="1" w:lastColumn="0" w:oddVBand="0" w:evenVBand="0" w:oddHBand="0" w:evenHBand="0" w:firstRowFirstColumn="0" w:firstRowLastColumn="0" w:lastRowFirstColumn="0" w:lastRowLastColumn="0"/>
            <w:tcW w:w="1648" w:type="dxa"/>
            <w:tcBorders>
              <w:left w:val="nil"/>
              <w:right w:val="nil"/>
            </w:tcBorders>
            <w:vAlign w:val="center"/>
          </w:tcPr>
          <w:p w14:paraId="5B2755FE" w14:textId="77777777" w:rsidR="0089148A" w:rsidRPr="000A0FFD" w:rsidRDefault="0089148A" w:rsidP="009D41AA">
            <w:pPr>
              <w:rPr>
                <w:rFonts w:ascii="Arial" w:eastAsia="Arial" w:hAnsi="Arial" w:cs="Arial"/>
                <w:sz w:val="16"/>
                <w:szCs w:val="16"/>
              </w:rPr>
            </w:pPr>
            <w:r w:rsidRPr="000A0FFD">
              <w:rPr>
                <w:rFonts w:ascii="Arial" w:eastAsia="Arial" w:hAnsi="Arial" w:cs="Arial"/>
                <w:b w:val="0"/>
                <w:bCs w:val="0"/>
                <w:sz w:val="16"/>
                <w:szCs w:val="16"/>
              </w:rPr>
              <w:t>LDT</w:t>
            </w:r>
          </w:p>
        </w:tc>
        <w:tc>
          <w:tcPr>
            <w:tcW w:w="537" w:type="dxa"/>
            <w:tcBorders>
              <w:left w:val="nil"/>
              <w:right w:val="nil"/>
            </w:tcBorders>
            <w:vAlign w:val="center"/>
          </w:tcPr>
          <w:p w14:paraId="0F1AE258" w14:textId="77777777" w:rsidR="0089148A" w:rsidRDefault="0089148A" w:rsidP="004B194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0A0FFD">
              <w:rPr>
                <w:rFonts w:ascii="Arial" w:eastAsia="Arial" w:hAnsi="Arial" w:cs="Arial"/>
                <w:sz w:val="16"/>
                <w:szCs w:val="16"/>
              </w:rPr>
              <w:t>4</w:t>
            </w:r>
          </w:p>
        </w:tc>
        <w:tc>
          <w:tcPr>
            <w:tcW w:w="1018" w:type="dxa"/>
            <w:tcBorders>
              <w:left w:val="nil"/>
              <w:right w:val="nil"/>
            </w:tcBorders>
            <w:vAlign w:val="center"/>
          </w:tcPr>
          <w:p w14:paraId="156A011E" w14:textId="728CF255" w:rsidR="0089148A" w:rsidRDefault="0089148A" w:rsidP="00071C38">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First</w:t>
            </w:r>
            <w:r w:rsidR="002B5E35" w:rsidRPr="00C14A24">
              <w:rPr>
                <w:rFonts w:ascii="Arial" w:eastAsia="Arial" w:hAnsi="Arial" w:cs="Arial"/>
                <w:sz w:val="16"/>
                <w:szCs w:val="16"/>
                <w:vertAlign w:val="superscript"/>
              </w:rPr>
              <w:t>‡</w:t>
            </w:r>
          </w:p>
        </w:tc>
        <w:tc>
          <w:tcPr>
            <w:tcW w:w="812" w:type="dxa"/>
            <w:tcBorders>
              <w:left w:val="nil"/>
              <w:right w:val="nil"/>
            </w:tcBorders>
            <w:vAlign w:val="center"/>
          </w:tcPr>
          <w:p w14:paraId="1EB9A9C0" w14:textId="77777777" w:rsidR="0089148A" w:rsidRDefault="0089148A" w:rsidP="0060308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5.7%</w:t>
            </w:r>
          </w:p>
        </w:tc>
        <w:tc>
          <w:tcPr>
            <w:tcW w:w="627" w:type="dxa"/>
            <w:tcBorders>
              <w:left w:val="nil"/>
              <w:right w:val="nil"/>
            </w:tcBorders>
            <w:vAlign w:val="center"/>
          </w:tcPr>
          <w:p w14:paraId="142FC977" w14:textId="06219AD4" w:rsidR="0089148A" w:rsidRDefault="0089148A" w:rsidP="008F4D3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35.9</w:t>
            </w:r>
          </w:p>
        </w:tc>
        <w:tc>
          <w:tcPr>
            <w:tcW w:w="768" w:type="dxa"/>
            <w:tcBorders>
              <w:left w:val="nil"/>
              <w:right w:val="nil"/>
            </w:tcBorders>
            <w:vAlign w:val="center"/>
          </w:tcPr>
          <w:p w14:paraId="53B1FA06" w14:textId="288868F8" w:rsidR="0089148A" w:rsidRPr="000A0FFD"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bCs/>
                <w:sz w:val="16"/>
                <w:szCs w:val="16"/>
              </w:rPr>
              <w:t>14.3%</w:t>
            </w:r>
          </w:p>
        </w:tc>
        <w:tc>
          <w:tcPr>
            <w:tcW w:w="1790" w:type="dxa"/>
            <w:tcBorders>
              <w:left w:val="nil"/>
              <w:right w:val="nil"/>
            </w:tcBorders>
            <w:vAlign w:val="center"/>
          </w:tcPr>
          <w:p w14:paraId="6DD198C3" w14:textId="2DD99B17"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91.1% (87.2%-95.2%)</w:t>
            </w:r>
          </w:p>
        </w:tc>
        <w:tc>
          <w:tcPr>
            <w:tcW w:w="1710" w:type="dxa"/>
            <w:tcBorders>
              <w:left w:val="nil"/>
              <w:right w:val="nil"/>
            </w:tcBorders>
            <w:vAlign w:val="center"/>
          </w:tcPr>
          <w:p w14:paraId="1CDE4FDA" w14:textId="518CD40C" w:rsidR="0089148A" w:rsidRDefault="001769E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0.441 (0.432-0.449)</w:t>
            </w:r>
          </w:p>
        </w:tc>
        <w:tc>
          <w:tcPr>
            <w:tcW w:w="1918" w:type="dxa"/>
            <w:tcBorders>
              <w:left w:val="nil"/>
              <w:right w:val="nil"/>
            </w:tcBorders>
            <w:vAlign w:val="center"/>
          </w:tcPr>
          <w:p w14:paraId="1776557E" w14:textId="1731B1CC"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96.2% (80.4%-99.9%)</w:t>
            </w:r>
          </w:p>
        </w:tc>
        <w:tc>
          <w:tcPr>
            <w:tcW w:w="872" w:type="dxa"/>
            <w:tcBorders>
              <w:left w:val="nil"/>
              <w:right w:val="nil"/>
            </w:tcBorders>
            <w:vAlign w:val="center"/>
          </w:tcPr>
          <w:p w14:paraId="1AD69B05" w14:textId="687E9069"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w:t>
            </w:r>
          </w:p>
        </w:tc>
      </w:tr>
      <w:tr w:rsidR="00AF1EBE" w14:paraId="622C1861" w14:textId="3605C8BD" w:rsidTr="00AF1EBE">
        <w:trPr>
          <w:trHeight w:val="282"/>
        </w:trPr>
        <w:tc>
          <w:tcPr>
            <w:cnfStyle w:val="001000000000" w:firstRow="0" w:lastRow="0" w:firstColumn="1" w:lastColumn="0" w:oddVBand="0" w:evenVBand="0" w:oddHBand="0" w:evenHBand="0" w:firstRowFirstColumn="0" w:firstRowLastColumn="0" w:lastRowFirstColumn="0" w:lastRowLastColumn="0"/>
            <w:tcW w:w="1648" w:type="dxa"/>
            <w:tcBorders>
              <w:left w:val="nil"/>
              <w:right w:val="nil"/>
            </w:tcBorders>
            <w:vAlign w:val="center"/>
          </w:tcPr>
          <w:p w14:paraId="67F55549" w14:textId="77777777" w:rsidR="0089148A" w:rsidRPr="000A0FFD" w:rsidRDefault="0089148A" w:rsidP="009D41AA">
            <w:pPr>
              <w:rPr>
                <w:rFonts w:ascii="Arial" w:eastAsia="Arial" w:hAnsi="Arial" w:cs="Arial"/>
                <w:sz w:val="16"/>
                <w:szCs w:val="16"/>
              </w:rPr>
            </w:pPr>
            <w:r w:rsidRPr="000A0FFD">
              <w:rPr>
                <w:rFonts w:ascii="Arial" w:eastAsia="Arial" w:hAnsi="Arial" w:cs="Arial"/>
                <w:b w:val="0"/>
                <w:bCs w:val="0"/>
                <w:sz w:val="16"/>
                <w:szCs w:val="16"/>
              </w:rPr>
              <w:t>Panther Fusion*</w:t>
            </w:r>
          </w:p>
        </w:tc>
        <w:tc>
          <w:tcPr>
            <w:tcW w:w="537" w:type="dxa"/>
            <w:tcBorders>
              <w:left w:val="nil"/>
              <w:right w:val="nil"/>
            </w:tcBorders>
            <w:vAlign w:val="center"/>
          </w:tcPr>
          <w:p w14:paraId="49D5C881" w14:textId="77777777" w:rsidR="0089148A" w:rsidRDefault="0089148A" w:rsidP="004B194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4</w:t>
            </w:r>
          </w:p>
        </w:tc>
        <w:tc>
          <w:tcPr>
            <w:tcW w:w="1018" w:type="dxa"/>
            <w:tcBorders>
              <w:left w:val="nil"/>
              <w:right w:val="nil"/>
            </w:tcBorders>
            <w:vAlign w:val="center"/>
          </w:tcPr>
          <w:p w14:paraId="2979E7CA" w14:textId="504A9F24" w:rsidR="0089148A" w:rsidRDefault="0089148A" w:rsidP="00071C38">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bCs/>
                <w:sz w:val="16"/>
                <w:szCs w:val="16"/>
              </w:rPr>
              <w:t>First</w:t>
            </w:r>
            <w:r w:rsidR="002B5E35" w:rsidRPr="00C14A24">
              <w:rPr>
                <w:rFonts w:ascii="Arial" w:eastAsia="Arial" w:hAnsi="Arial" w:cs="Arial"/>
                <w:sz w:val="16"/>
                <w:szCs w:val="16"/>
                <w:vertAlign w:val="superscript"/>
              </w:rPr>
              <w:t>‡</w:t>
            </w:r>
          </w:p>
        </w:tc>
        <w:tc>
          <w:tcPr>
            <w:tcW w:w="812" w:type="dxa"/>
            <w:tcBorders>
              <w:left w:val="nil"/>
              <w:right w:val="nil"/>
            </w:tcBorders>
            <w:vAlign w:val="center"/>
          </w:tcPr>
          <w:p w14:paraId="44BDEB94" w14:textId="5860F734" w:rsidR="0089148A" w:rsidRDefault="0089148A" w:rsidP="0060308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bCs/>
                <w:sz w:val="16"/>
                <w:szCs w:val="16"/>
              </w:rPr>
              <w:t>5.7%</w:t>
            </w:r>
          </w:p>
        </w:tc>
        <w:tc>
          <w:tcPr>
            <w:tcW w:w="627" w:type="dxa"/>
            <w:tcBorders>
              <w:left w:val="nil"/>
              <w:right w:val="nil"/>
            </w:tcBorders>
            <w:vAlign w:val="center"/>
          </w:tcPr>
          <w:p w14:paraId="15E1B449" w14:textId="523D653F" w:rsidR="0089148A" w:rsidRDefault="0089148A" w:rsidP="008F4D3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35.6</w:t>
            </w:r>
          </w:p>
        </w:tc>
        <w:tc>
          <w:tcPr>
            <w:tcW w:w="768" w:type="dxa"/>
            <w:tcBorders>
              <w:left w:val="nil"/>
              <w:right w:val="nil"/>
            </w:tcBorders>
            <w:vAlign w:val="center"/>
          </w:tcPr>
          <w:p w14:paraId="45035346" w14:textId="62D22399"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bCs/>
                <w:sz w:val="16"/>
                <w:szCs w:val="16"/>
              </w:rPr>
              <w:t>14.3%</w:t>
            </w:r>
          </w:p>
        </w:tc>
        <w:tc>
          <w:tcPr>
            <w:tcW w:w="1790" w:type="dxa"/>
            <w:tcBorders>
              <w:left w:val="nil"/>
              <w:right w:val="nil"/>
            </w:tcBorders>
            <w:vAlign w:val="center"/>
          </w:tcPr>
          <w:p w14:paraId="2B9E7B59" w14:textId="0E822DCD" w:rsidR="0089148A" w:rsidRDefault="006F6179">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91.0% (86.7%-</w:t>
            </w:r>
            <w:r w:rsidR="00AB5C42">
              <w:rPr>
                <w:rFonts w:ascii="Arial" w:eastAsia="Arial" w:hAnsi="Arial" w:cs="Arial"/>
                <w:sz w:val="16"/>
                <w:szCs w:val="16"/>
              </w:rPr>
              <w:t>94.6%)</w:t>
            </w:r>
          </w:p>
        </w:tc>
        <w:tc>
          <w:tcPr>
            <w:tcW w:w="1710" w:type="dxa"/>
            <w:tcBorders>
              <w:left w:val="nil"/>
              <w:right w:val="nil"/>
            </w:tcBorders>
            <w:vAlign w:val="center"/>
          </w:tcPr>
          <w:p w14:paraId="79EED3C7" w14:textId="6BFB76E2" w:rsidR="0089148A" w:rsidRDefault="00AB5C42">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0.440 (0.431-0.448)</w:t>
            </w:r>
          </w:p>
        </w:tc>
        <w:tc>
          <w:tcPr>
            <w:tcW w:w="1918" w:type="dxa"/>
            <w:tcBorders>
              <w:left w:val="nil"/>
              <w:right w:val="nil"/>
            </w:tcBorders>
            <w:vAlign w:val="center"/>
          </w:tcPr>
          <w:p w14:paraId="59B342C8" w14:textId="578986BF"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100% (82.4%-100%)</w:t>
            </w:r>
          </w:p>
        </w:tc>
        <w:tc>
          <w:tcPr>
            <w:tcW w:w="872" w:type="dxa"/>
            <w:tcBorders>
              <w:left w:val="nil"/>
              <w:right w:val="nil"/>
            </w:tcBorders>
            <w:vAlign w:val="center"/>
          </w:tcPr>
          <w:p w14:paraId="16F2BDCC" w14:textId="215E63D2"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w:t>
            </w:r>
          </w:p>
        </w:tc>
      </w:tr>
      <w:tr w:rsidR="00AF1EBE" w14:paraId="2E32EF83" w14:textId="79680B5B" w:rsidTr="00AF1EBE">
        <w:trPr>
          <w:trHeight w:val="282"/>
        </w:trPr>
        <w:tc>
          <w:tcPr>
            <w:cnfStyle w:val="001000000000" w:firstRow="0" w:lastRow="0" w:firstColumn="1" w:lastColumn="0" w:oddVBand="0" w:evenVBand="0" w:oddHBand="0" w:evenHBand="0" w:firstRowFirstColumn="0" w:firstRowLastColumn="0" w:lastRowFirstColumn="0" w:lastRowLastColumn="0"/>
            <w:tcW w:w="1648" w:type="dxa"/>
            <w:tcBorders>
              <w:left w:val="nil"/>
              <w:right w:val="nil"/>
            </w:tcBorders>
            <w:vAlign w:val="center"/>
          </w:tcPr>
          <w:p w14:paraId="50B02950" w14:textId="77777777" w:rsidR="0089148A" w:rsidRPr="000A0FFD" w:rsidRDefault="0089148A" w:rsidP="009D41AA">
            <w:pPr>
              <w:rPr>
                <w:rFonts w:ascii="Arial" w:eastAsia="Arial" w:hAnsi="Arial" w:cs="Arial"/>
                <w:sz w:val="16"/>
                <w:szCs w:val="16"/>
              </w:rPr>
            </w:pPr>
            <w:r w:rsidRPr="000A0FFD">
              <w:rPr>
                <w:rFonts w:ascii="Arial" w:eastAsia="Arial" w:hAnsi="Arial" w:cs="Arial"/>
                <w:b w:val="0"/>
                <w:bCs w:val="0"/>
                <w:sz w:val="16"/>
                <w:szCs w:val="16"/>
              </w:rPr>
              <w:t>Panther Aptima-M</w:t>
            </w:r>
          </w:p>
        </w:tc>
        <w:tc>
          <w:tcPr>
            <w:tcW w:w="537" w:type="dxa"/>
            <w:tcBorders>
              <w:left w:val="nil"/>
              <w:right w:val="nil"/>
            </w:tcBorders>
            <w:vAlign w:val="center"/>
          </w:tcPr>
          <w:p w14:paraId="112DC75E" w14:textId="77777777" w:rsidR="0089148A" w:rsidRDefault="0089148A" w:rsidP="004B194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4</w:t>
            </w:r>
          </w:p>
        </w:tc>
        <w:tc>
          <w:tcPr>
            <w:tcW w:w="1018" w:type="dxa"/>
            <w:tcBorders>
              <w:left w:val="nil"/>
              <w:right w:val="nil"/>
            </w:tcBorders>
            <w:vAlign w:val="center"/>
          </w:tcPr>
          <w:p w14:paraId="24462ACE" w14:textId="68AB09CB" w:rsidR="0089148A" w:rsidRDefault="0089148A" w:rsidP="00071C38">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bCs/>
                <w:sz w:val="16"/>
                <w:szCs w:val="16"/>
              </w:rPr>
              <w:t>First</w:t>
            </w:r>
            <w:r w:rsidR="002B5E35" w:rsidRPr="00C14A24">
              <w:rPr>
                <w:rFonts w:ascii="Arial" w:eastAsia="Arial" w:hAnsi="Arial" w:cs="Arial"/>
                <w:sz w:val="16"/>
                <w:szCs w:val="16"/>
                <w:vertAlign w:val="superscript"/>
              </w:rPr>
              <w:t>‡</w:t>
            </w:r>
          </w:p>
        </w:tc>
        <w:tc>
          <w:tcPr>
            <w:tcW w:w="812" w:type="dxa"/>
            <w:tcBorders>
              <w:left w:val="nil"/>
              <w:right w:val="nil"/>
            </w:tcBorders>
            <w:vAlign w:val="center"/>
          </w:tcPr>
          <w:p w14:paraId="32E4E984" w14:textId="0B8DE7DD" w:rsidR="0089148A" w:rsidRDefault="0089148A" w:rsidP="0060308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627" w:type="dxa"/>
            <w:tcBorders>
              <w:left w:val="nil"/>
              <w:right w:val="nil"/>
            </w:tcBorders>
            <w:vAlign w:val="center"/>
          </w:tcPr>
          <w:p w14:paraId="134D49C5" w14:textId="4BF83173" w:rsidR="0089148A" w:rsidRDefault="0089148A" w:rsidP="008F4D3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768" w:type="dxa"/>
            <w:tcBorders>
              <w:left w:val="nil"/>
              <w:right w:val="nil"/>
            </w:tcBorders>
            <w:vAlign w:val="center"/>
          </w:tcPr>
          <w:p w14:paraId="12DF4E23" w14:textId="264BFB66"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1790" w:type="dxa"/>
            <w:tcBorders>
              <w:left w:val="nil"/>
              <w:right w:val="nil"/>
            </w:tcBorders>
            <w:vAlign w:val="center"/>
          </w:tcPr>
          <w:p w14:paraId="1BC55EBF" w14:textId="62824AB2" w:rsidR="0089148A" w:rsidRDefault="006F6179">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1710" w:type="dxa"/>
            <w:tcBorders>
              <w:left w:val="nil"/>
              <w:right w:val="nil"/>
            </w:tcBorders>
            <w:vAlign w:val="center"/>
          </w:tcPr>
          <w:p w14:paraId="7DD08A8B" w14:textId="35E5C11D" w:rsidR="0089148A" w:rsidRDefault="006F6179">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1918" w:type="dxa"/>
            <w:tcBorders>
              <w:left w:val="nil"/>
              <w:right w:val="nil"/>
            </w:tcBorders>
            <w:vAlign w:val="center"/>
          </w:tcPr>
          <w:p w14:paraId="5B7D9156" w14:textId="3D2832A6"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88.5% (69.9%-97.6%)</w:t>
            </w:r>
          </w:p>
        </w:tc>
        <w:tc>
          <w:tcPr>
            <w:tcW w:w="872" w:type="dxa"/>
            <w:tcBorders>
              <w:left w:val="nil"/>
              <w:right w:val="nil"/>
            </w:tcBorders>
            <w:vAlign w:val="center"/>
          </w:tcPr>
          <w:p w14:paraId="27889081" w14:textId="4A2BEF75"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w:t>
            </w:r>
          </w:p>
        </w:tc>
      </w:tr>
      <w:tr w:rsidR="00AF1EBE" w14:paraId="1D27EC83" w14:textId="3D1C74D0" w:rsidTr="00AF1EBE">
        <w:trPr>
          <w:trHeight w:val="282"/>
        </w:trPr>
        <w:tc>
          <w:tcPr>
            <w:cnfStyle w:val="001000000000" w:firstRow="0" w:lastRow="0" w:firstColumn="1" w:lastColumn="0" w:oddVBand="0" w:evenVBand="0" w:oddHBand="0" w:evenHBand="0" w:firstRowFirstColumn="0" w:firstRowLastColumn="0" w:lastRowFirstColumn="0" w:lastRowLastColumn="0"/>
            <w:tcW w:w="1648" w:type="dxa"/>
            <w:tcBorders>
              <w:left w:val="nil"/>
              <w:right w:val="nil"/>
            </w:tcBorders>
            <w:vAlign w:val="center"/>
          </w:tcPr>
          <w:p w14:paraId="731B44FC" w14:textId="77777777" w:rsidR="0089148A" w:rsidRPr="000A0FFD" w:rsidRDefault="0089148A" w:rsidP="009D41AA">
            <w:pPr>
              <w:rPr>
                <w:rFonts w:ascii="Arial" w:eastAsia="Arial" w:hAnsi="Arial" w:cs="Arial"/>
                <w:sz w:val="16"/>
                <w:szCs w:val="16"/>
              </w:rPr>
            </w:pPr>
            <w:r w:rsidRPr="000A0FFD">
              <w:rPr>
                <w:rFonts w:ascii="Arial" w:eastAsia="Arial" w:hAnsi="Arial" w:cs="Arial"/>
                <w:b w:val="0"/>
                <w:bCs w:val="0"/>
                <w:sz w:val="16"/>
                <w:szCs w:val="16"/>
              </w:rPr>
              <w:t>Panther Aptima-350</w:t>
            </w:r>
          </w:p>
        </w:tc>
        <w:tc>
          <w:tcPr>
            <w:tcW w:w="537" w:type="dxa"/>
            <w:tcBorders>
              <w:left w:val="nil"/>
              <w:right w:val="nil"/>
            </w:tcBorders>
            <w:vAlign w:val="center"/>
          </w:tcPr>
          <w:p w14:paraId="783273ED" w14:textId="77777777" w:rsidR="0089148A" w:rsidRDefault="0089148A" w:rsidP="004B194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4</w:t>
            </w:r>
          </w:p>
        </w:tc>
        <w:tc>
          <w:tcPr>
            <w:tcW w:w="1018" w:type="dxa"/>
            <w:tcBorders>
              <w:left w:val="nil"/>
              <w:right w:val="nil"/>
            </w:tcBorders>
            <w:vAlign w:val="center"/>
          </w:tcPr>
          <w:p w14:paraId="42963905" w14:textId="11A0C750" w:rsidR="0089148A" w:rsidRDefault="0089148A" w:rsidP="00071C38">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bCs/>
                <w:sz w:val="16"/>
                <w:szCs w:val="16"/>
              </w:rPr>
              <w:t>First</w:t>
            </w:r>
            <w:r w:rsidR="002B5E35" w:rsidRPr="00C14A24">
              <w:rPr>
                <w:rFonts w:ascii="Arial" w:eastAsia="Arial" w:hAnsi="Arial" w:cs="Arial"/>
                <w:sz w:val="16"/>
                <w:szCs w:val="16"/>
                <w:vertAlign w:val="superscript"/>
              </w:rPr>
              <w:t>‡</w:t>
            </w:r>
          </w:p>
        </w:tc>
        <w:tc>
          <w:tcPr>
            <w:tcW w:w="812" w:type="dxa"/>
            <w:tcBorders>
              <w:left w:val="nil"/>
              <w:right w:val="nil"/>
            </w:tcBorders>
            <w:vAlign w:val="center"/>
          </w:tcPr>
          <w:p w14:paraId="18163A47" w14:textId="5E04D004" w:rsidR="0089148A" w:rsidRDefault="0089148A" w:rsidP="0060308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627" w:type="dxa"/>
            <w:tcBorders>
              <w:left w:val="nil"/>
              <w:right w:val="nil"/>
            </w:tcBorders>
            <w:vAlign w:val="center"/>
          </w:tcPr>
          <w:p w14:paraId="6CFF7BA0" w14:textId="79AD1546" w:rsidR="0089148A" w:rsidRDefault="0089148A" w:rsidP="008F4D3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768" w:type="dxa"/>
            <w:tcBorders>
              <w:left w:val="nil"/>
              <w:right w:val="nil"/>
            </w:tcBorders>
            <w:vAlign w:val="center"/>
          </w:tcPr>
          <w:p w14:paraId="27C677E2" w14:textId="001606E2"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1790" w:type="dxa"/>
            <w:tcBorders>
              <w:left w:val="nil"/>
              <w:right w:val="nil"/>
            </w:tcBorders>
            <w:vAlign w:val="center"/>
          </w:tcPr>
          <w:p w14:paraId="03F1D486" w14:textId="3B787E62" w:rsidR="0089148A" w:rsidRDefault="006F6179">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1710" w:type="dxa"/>
            <w:tcBorders>
              <w:left w:val="nil"/>
              <w:right w:val="nil"/>
            </w:tcBorders>
            <w:vAlign w:val="center"/>
          </w:tcPr>
          <w:p w14:paraId="6F72CDBA" w14:textId="4A2E50F3" w:rsidR="0089148A" w:rsidRDefault="006F6179">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1918" w:type="dxa"/>
            <w:tcBorders>
              <w:left w:val="nil"/>
              <w:right w:val="nil"/>
            </w:tcBorders>
            <w:vAlign w:val="center"/>
          </w:tcPr>
          <w:p w14:paraId="021ACB44" w14:textId="128E3D97"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92.3% (74.9%-99.1%)</w:t>
            </w:r>
          </w:p>
        </w:tc>
        <w:tc>
          <w:tcPr>
            <w:tcW w:w="872" w:type="dxa"/>
            <w:tcBorders>
              <w:left w:val="nil"/>
              <w:right w:val="nil"/>
            </w:tcBorders>
            <w:vAlign w:val="center"/>
          </w:tcPr>
          <w:p w14:paraId="07BA2223" w14:textId="75DD7469"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w:t>
            </w:r>
          </w:p>
        </w:tc>
      </w:tr>
      <w:tr w:rsidR="00AF1EBE" w14:paraId="34032B74" w14:textId="0ABC52A3" w:rsidTr="00AF1EBE">
        <w:trPr>
          <w:trHeight w:val="282"/>
        </w:trPr>
        <w:tc>
          <w:tcPr>
            <w:cnfStyle w:val="001000000000" w:firstRow="0" w:lastRow="0" w:firstColumn="1" w:lastColumn="0" w:oddVBand="0" w:evenVBand="0" w:oddHBand="0" w:evenHBand="0" w:firstRowFirstColumn="0" w:firstRowLastColumn="0" w:lastRowFirstColumn="0" w:lastRowLastColumn="0"/>
            <w:tcW w:w="1648" w:type="dxa"/>
            <w:tcBorders>
              <w:left w:val="nil"/>
              <w:right w:val="nil"/>
            </w:tcBorders>
            <w:vAlign w:val="center"/>
          </w:tcPr>
          <w:p w14:paraId="1FA927FF" w14:textId="77777777" w:rsidR="0089148A" w:rsidRPr="000A0FFD" w:rsidRDefault="0089148A" w:rsidP="009D41AA">
            <w:pPr>
              <w:rPr>
                <w:rFonts w:ascii="Arial" w:eastAsia="Arial" w:hAnsi="Arial" w:cs="Arial"/>
                <w:sz w:val="16"/>
                <w:szCs w:val="16"/>
              </w:rPr>
            </w:pPr>
            <w:r w:rsidRPr="000A0FFD">
              <w:rPr>
                <w:rFonts w:ascii="Arial" w:eastAsia="Arial" w:hAnsi="Arial" w:cs="Arial"/>
                <w:b w:val="0"/>
                <w:bCs w:val="0"/>
                <w:sz w:val="16"/>
                <w:szCs w:val="16"/>
              </w:rPr>
              <w:t>LDT</w:t>
            </w:r>
          </w:p>
        </w:tc>
        <w:tc>
          <w:tcPr>
            <w:tcW w:w="537" w:type="dxa"/>
            <w:tcBorders>
              <w:left w:val="nil"/>
              <w:right w:val="nil"/>
            </w:tcBorders>
            <w:vAlign w:val="center"/>
          </w:tcPr>
          <w:p w14:paraId="37702346" w14:textId="77777777" w:rsidR="0089148A" w:rsidRDefault="0089148A" w:rsidP="004B194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0A0FFD">
              <w:rPr>
                <w:rFonts w:ascii="Arial" w:eastAsia="Arial" w:hAnsi="Arial" w:cs="Arial"/>
                <w:sz w:val="16"/>
                <w:szCs w:val="16"/>
              </w:rPr>
              <w:t>4</w:t>
            </w:r>
          </w:p>
        </w:tc>
        <w:tc>
          <w:tcPr>
            <w:tcW w:w="1018" w:type="dxa"/>
            <w:tcBorders>
              <w:left w:val="nil"/>
              <w:right w:val="nil"/>
            </w:tcBorders>
            <w:vAlign w:val="center"/>
          </w:tcPr>
          <w:p w14:paraId="640612C3" w14:textId="5319BC14" w:rsidR="0089148A" w:rsidRDefault="0089148A" w:rsidP="00071C38">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Follow-up</w:t>
            </w:r>
            <w:r w:rsidR="002B5E35" w:rsidRPr="00C14A24">
              <w:rPr>
                <w:rFonts w:ascii="Arial" w:eastAsia="Arial" w:hAnsi="Arial" w:cs="Arial"/>
                <w:sz w:val="16"/>
                <w:szCs w:val="16"/>
                <w:vertAlign w:val="superscript"/>
              </w:rPr>
              <w:t>‡</w:t>
            </w:r>
          </w:p>
        </w:tc>
        <w:tc>
          <w:tcPr>
            <w:tcW w:w="812" w:type="dxa"/>
            <w:tcBorders>
              <w:left w:val="nil"/>
              <w:right w:val="nil"/>
            </w:tcBorders>
            <w:vAlign w:val="center"/>
          </w:tcPr>
          <w:p w14:paraId="580AB6FA" w14:textId="77777777" w:rsidR="0089148A" w:rsidRDefault="0089148A" w:rsidP="0060308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3.6%</w:t>
            </w:r>
          </w:p>
        </w:tc>
        <w:tc>
          <w:tcPr>
            <w:tcW w:w="627" w:type="dxa"/>
            <w:tcBorders>
              <w:left w:val="nil"/>
              <w:right w:val="nil"/>
            </w:tcBorders>
            <w:vAlign w:val="center"/>
          </w:tcPr>
          <w:p w14:paraId="692F3E36" w14:textId="31FE7F8F" w:rsidR="0089148A" w:rsidRDefault="0089148A" w:rsidP="008F4D3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35.9</w:t>
            </w:r>
          </w:p>
        </w:tc>
        <w:tc>
          <w:tcPr>
            <w:tcW w:w="768" w:type="dxa"/>
            <w:tcBorders>
              <w:left w:val="nil"/>
              <w:right w:val="nil"/>
            </w:tcBorders>
            <w:vAlign w:val="center"/>
          </w:tcPr>
          <w:p w14:paraId="2E1A837E" w14:textId="20369643" w:rsidR="0089148A" w:rsidRPr="000A0FFD"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bCs/>
                <w:sz w:val="16"/>
                <w:szCs w:val="16"/>
              </w:rPr>
              <w:t>20.0%</w:t>
            </w:r>
          </w:p>
        </w:tc>
        <w:tc>
          <w:tcPr>
            <w:tcW w:w="1790" w:type="dxa"/>
            <w:tcBorders>
              <w:left w:val="nil"/>
              <w:right w:val="nil"/>
            </w:tcBorders>
            <w:vAlign w:val="center"/>
          </w:tcPr>
          <w:p w14:paraId="4A33371D" w14:textId="26864ADD"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86.9% (81.8%-92.3%)</w:t>
            </w:r>
          </w:p>
        </w:tc>
        <w:tc>
          <w:tcPr>
            <w:tcW w:w="1710" w:type="dxa"/>
            <w:tcBorders>
              <w:left w:val="nil"/>
              <w:right w:val="nil"/>
            </w:tcBorders>
            <w:vAlign w:val="center"/>
          </w:tcPr>
          <w:p w14:paraId="29D6322C" w14:textId="45B8CEAD" w:rsidR="0089148A" w:rsidRDefault="003F7799">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0.369 (0.362-0.376)</w:t>
            </w:r>
          </w:p>
        </w:tc>
        <w:tc>
          <w:tcPr>
            <w:tcW w:w="1918" w:type="dxa"/>
            <w:tcBorders>
              <w:left w:val="nil"/>
              <w:right w:val="nil"/>
            </w:tcBorders>
            <w:vAlign w:val="center"/>
          </w:tcPr>
          <w:p w14:paraId="3AB4FDF1" w14:textId="4BC7E6F1"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88.9% (51.8%-99.7%)</w:t>
            </w:r>
          </w:p>
        </w:tc>
        <w:tc>
          <w:tcPr>
            <w:tcW w:w="872" w:type="dxa"/>
            <w:tcBorders>
              <w:left w:val="nil"/>
              <w:right w:val="nil"/>
            </w:tcBorders>
            <w:vAlign w:val="center"/>
          </w:tcPr>
          <w:p w14:paraId="75BAFA59" w14:textId="4EF37CB3"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w:t>
            </w:r>
          </w:p>
        </w:tc>
      </w:tr>
      <w:tr w:rsidR="00AF1EBE" w14:paraId="694D9821" w14:textId="21231EF2" w:rsidTr="00AF1EBE">
        <w:trPr>
          <w:trHeight w:val="282"/>
        </w:trPr>
        <w:tc>
          <w:tcPr>
            <w:cnfStyle w:val="001000000000" w:firstRow="0" w:lastRow="0" w:firstColumn="1" w:lastColumn="0" w:oddVBand="0" w:evenVBand="0" w:oddHBand="0" w:evenHBand="0" w:firstRowFirstColumn="0" w:firstRowLastColumn="0" w:lastRowFirstColumn="0" w:lastRowLastColumn="0"/>
            <w:tcW w:w="1648" w:type="dxa"/>
            <w:tcBorders>
              <w:left w:val="nil"/>
              <w:right w:val="nil"/>
            </w:tcBorders>
            <w:vAlign w:val="center"/>
          </w:tcPr>
          <w:p w14:paraId="78A6D1AF" w14:textId="77777777" w:rsidR="0089148A" w:rsidRPr="000A0FFD" w:rsidRDefault="0089148A" w:rsidP="009D41AA">
            <w:pPr>
              <w:rPr>
                <w:rFonts w:ascii="Arial" w:eastAsia="Arial" w:hAnsi="Arial" w:cs="Arial"/>
                <w:sz w:val="16"/>
                <w:szCs w:val="16"/>
              </w:rPr>
            </w:pPr>
            <w:r w:rsidRPr="000A0FFD">
              <w:rPr>
                <w:rFonts w:ascii="Arial" w:eastAsia="Arial" w:hAnsi="Arial" w:cs="Arial"/>
                <w:b w:val="0"/>
                <w:bCs w:val="0"/>
                <w:sz w:val="16"/>
                <w:szCs w:val="16"/>
              </w:rPr>
              <w:t>Panther Fusion*</w:t>
            </w:r>
          </w:p>
        </w:tc>
        <w:tc>
          <w:tcPr>
            <w:tcW w:w="537" w:type="dxa"/>
            <w:tcBorders>
              <w:left w:val="nil"/>
              <w:right w:val="nil"/>
            </w:tcBorders>
            <w:vAlign w:val="center"/>
          </w:tcPr>
          <w:p w14:paraId="32C730E5" w14:textId="77777777" w:rsidR="0089148A" w:rsidRDefault="0089148A" w:rsidP="004B194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4</w:t>
            </w:r>
          </w:p>
        </w:tc>
        <w:tc>
          <w:tcPr>
            <w:tcW w:w="1018" w:type="dxa"/>
            <w:tcBorders>
              <w:left w:val="nil"/>
              <w:right w:val="nil"/>
            </w:tcBorders>
            <w:vAlign w:val="center"/>
          </w:tcPr>
          <w:p w14:paraId="1EAB80A8" w14:textId="4DAD271C" w:rsidR="0089148A" w:rsidRDefault="0089148A" w:rsidP="00071C38">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6275E">
              <w:rPr>
                <w:rFonts w:ascii="Arial" w:eastAsia="Arial" w:hAnsi="Arial" w:cs="Arial"/>
                <w:bCs/>
                <w:sz w:val="16"/>
                <w:szCs w:val="16"/>
              </w:rPr>
              <w:t>Follow-up</w:t>
            </w:r>
            <w:r w:rsidR="002B5E35" w:rsidRPr="00C14A24">
              <w:rPr>
                <w:rFonts w:ascii="Arial" w:eastAsia="Arial" w:hAnsi="Arial" w:cs="Arial"/>
                <w:sz w:val="16"/>
                <w:szCs w:val="16"/>
                <w:vertAlign w:val="superscript"/>
              </w:rPr>
              <w:t>‡</w:t>
            </w:r>
          </w:p>
        </w:tc>
        <w:tc>
          <w:tcPr>
            <w:tcW w:w="812" w:type="dxa"/>
            <w:tcBorders>
              <w:left w:val="nil"/>
              <w:right w:val="nil"/>
            </w:tcBorders>
            <w:vAlign w:val="center"/>
          </w:tcPr>
          <w:p w14:paraId="3473811A" w14:textId="57A89CFE" w:rsidR="0089148A" w:rsidRDefault="0089148A" w:rsidP="0060308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bCs/>
                <w:sz w:val="16"/>
                <w:szCs w:val="16"/>
              </w:rPr>
              <w:t>3.6%</w:t>
            </w:r>
          </w:p>
        </w:tc>
        <w:tc>
          <w:tcPr>
            <w:tcW w:w="627" w:type="dxa"/>
            <w:tcBorders>
              <w:left w:val="nil"/>
              <w:right w:val="nil"/>
            </w:tcBorders>
            <w:vAlign w:val="center"/>
          </w:tcPr>
          <w:p w14:paraId="49D00D79" w14:textId="0B706612" w:rsidR="0089148A" w:rsidRDefault="0089148A" w:rsidP="008F4D3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35.6</w:t>
            </w:r>
          </w:p>
        </w:tc>
        <w:tc>
          <w:tcPr>
            <w:tcW w:w="768" w:type="dxa"/>
            <w:tcBorders>
              <w:left w:val="nil"/>
              <w:right w:val="nil"/>
            </w:tcBorders>
            <w:vAlign w:val="center"/>
          </w:tcPr>
          <w:p w14:paraId="4E2C94A4" w14:textId="631BCE71"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bCs/>
                <w:sz w:val="16"/>
                <w:szCs w:val="16"/>
              </w:rPr>
              <w:t>20.0%</w:t>
            </w:r>
          </w:p>
        </w:tc>
        <w:tc>
          <w:tcPr>
            <w:tcW w:w="1790" w:type="dxa"/>
            <w:tcBorders>
              <w:left w:val="nil"/>
              <w:right w:val="nil"/>
            </w:tcBorders>
            <w:vAlign w:val="center"/>
          </w:tcPr>
          <w:p w14:paraId="1F4F3B63" w14:textId="763BE1DA" w:rsidR="0089148A" w:rsidRDefault="00AB5C42">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86.9% (82.1%-92.0%)</w:t>
            </w:r>
          </w:p>
        </w:tc>
        <w:tc>
          <w:tcPr>
            <w:tcW w:w="1710" w:type="dxa"/>
            <w:tcBorders>
              <w:left w:val="nil"/>
              <w:right w:val="nil"/>
            </w:tcBorders>
            <w:vAlign w:val="center"/>
          </w:tcPr>
          <w:p w14:paraId="3DA5F658" w14:textId="3FF2A38D" w:rsidR="0089148A" w:rsidRDefault="00AB5C42">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0.369 (0.362-0.376)</w:t>
            </w:r>
          </w:p>
        </w:tc>
        <w:tc>
          <w:tcPr>
            <w:tcW w:w="1918" w:type="dxa"/>
            <w:tcBorders>
              <w:left w:val="nil"/>
              <w:right w:val="nil"/>
            </w:tcBorders>
            <w:vAlign w:val="center"/>
          </w:tcPr>
          <w:p w14:paraId="36A4B9D8" w14:textId="6E03AE00"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100% (47.8%-100.0%)</w:t>
            </w:r>
          </w:p>
        </w:tc>
        <w:tc>
          <w:tcPr>
            <w:tcW w:w="872" w:type="dxa"/>
            <w:tcBorders>
              <w:left w:val="nil"/>
              <w:right w:val="nil"/>
            </w:tcBorders>
            <w:vAlign w:val="center"/>
          </w:tcPr>
          <w:p w14:paraId="5B66F212" w14:textId="1E372113"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w:t>
            </w:r>
          </w:p>
        </w:tc>
      </w:tr>
      <w:tr w:rsidR="00AF1EBE" w14:paraId="722520F9" w14:textId="1761734F" w:rsidTr="00AF1EBE">
        <w:trPr>
          <w:trHeight w:val="282"/>
        </w:trPr>
        <w:tc>
          <w:tcPr>
            <w:cnfStyle w:val="001000000000" w:firstRow="0" w:lastRow="0" w:firstColumn="1" w:lastColumn="0" w:oddVBand="0" w:evenVBand="0" w:oddHBand="0" w:evenHBand="0" w:firstRowFirstColumn="0" w:firstRowLastColumn="0" w:lastRowFirstColumn="0" w:lastRowLastColumn="0"/>
            <w:tcW w:w="1648" w:type="dxa"/>
            <w:tcBorders>
              <w:left w:val="nil"/>
              <w:right w:val="nil"/>
            </w:tcBorders>
            <w:vAlign w:val="center"/>
          </w:tcPr>
          <w:p w14:paraId="60D20B9E" w14:textId="77777777" w:rsidR="0089148A" w:rsidRPr="000A0FFD" w:rsidRDefault="0089148A" w:rsidP="009D41AA">
            <w:pPr>
              <w:rPr>
                <w:rFonts w:ascii="Arial" w:eastAsia="Arial" w:hAnsi="Arial" w:cs="Arial"/>
                <w:sz w:val="16"/>
                <w:szCs w:val="16"/>
              </w:rPr>
            </w:pPr>
            <w:r w:rsidRPr="000A0FFD">
              <w:rPr>
                <w:rFonts w:ascii="Arial" w:eastAsia="Arial" w:hAnsi="Arial" w:cs="Arial"/>
                <w:b w:val="0"/>
                <w:bCs w:val="0"/>
                <w:sz w:val="16"/>
                <w:szCs w:val="16"/>
              </w:rPr>
              <w:t>Panther Aptima-M</w:t>
            </w:r>
          </w:p>
        </w:tc>
        <w:tc>
          <w:tcPr>
            <w:tcW w:w="537" w:type="dxa"/>
            <w:tcBorders>
              <w:left w:val="nil"/>
              <w:right w:val="nil"/>
            </w:tcBorders>
            <w:vAlign w:val="center"/>
          </w:tcPr>
          <w:p w14:paraId="7514A03C" w14:textId="77777777" w:rsidR="0089148A" w:rsidRDefault="0089148A" w:rsidP="004B194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4</w:t>
            </w:r>
          </w:p>
        </w:tc>
        <w:tc>
          <w:tcPr>
            <w:tcW w:w="1018" w:type="dxa"/>
            <w:tcBorders>
              <w:left w:val="nil"/>
              <w:right w:val="nil"/>
            </w:tcBorders>
            <w:vAlign w:val="center"/>
          </w:tcPr>
          <w:p w14:paraId="335416F5" w14:textId="62FEE8AF" w:rsidR="0089148A" w:rsidRDefault="0089148A" w:rsidP="00071C38">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6275E">
              <w:rPr>
                <w:rFonts w:ascii="Arial" w:eastAsia="Arial" w:hAnsi="Arial" w:cs="Arial"/>
                <w:bCs/>
                <w:sz w:val="16"/>
                <w:szCs w:val="16"/>
              </w:rPr>
              <w:t>Follow-up</w:t>
            </w:r>
            <w:r w:rsidR="002B5E35" w:rsidRPr="00C14A24">
              <w:rPr>
                <w:rFonts w:ascii="Arial" w:eastAsia="Arial" w:hAnsi="Arial" w:cs="Arial"/>
                <w:sz w:val="16"/>
                <w:szCs w:val="16"/>
                <w:vertAlign w:val="superscript"/>
              </w:rPr>
              <w:t>‡</w:t>
            </w:r>
          </w:p>
        </w:tc>
        <w:tc>
          <w:tcPr>
            <w:tcW w:w="812" w:type="dxa"/>
            <w:tcBorders>
              <w:left w:val="nil"/>
              <w:right w:val="nil"/>
            </w:tcBorders>
            <w:vAlign w:val="center"/>
          </w:tcPr>
          <w:p w14:paraId="3C0183E7" w14:textId="3D1DF5E8" w:rsidR="0089148A" w:rsidRDefault="0089148A" w:rsidP="0060308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627" w:type="dxa"/>
            <w:tcBorders>
              <w:left w:val="nil"/>
              <w:right w:val="nil"/>
            </w:tcBorders>
            <w:vAlign w:val="center"/>
          </w:tcPr>
          <w:p w14:paraId="4FB02722" w14:textId="3382D479" w:rsidR="0089148A" w:rsidRDefault="0089148A" w:rsidP="008F4D3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768" w:type="dxa"/>
            <w:tcBorders>
              <w:left w:val="nil"/>
              <w:right w:val="nil"/>
            </w:tcBorders>
            <w:vAlign w:val="center"/>
          </w:tcPr>
          <w:p w14:paraId="212E1906" w14:textId="6812C7AB"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1790" w:type="dxa"/>
            <w:tcBorders>
              <w:left w:val="nil"/>
              <w:right w:val="nil"/>
            </w:tcBorders>
            <w:vAlign w:val="center"/>
          </w:tcPr>
          <w:p w14:paraId="0082C86F" w14:textId="189548C6" w:rsidR="0089148A" w:rsidRDefault="006F6179">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1710" w:type="dxa"/>
            <w:tcBorders>
              <w:left w:val="nil"/>
              <w:right w:val="nil"/>
            </w:tcBorders>
            <w:vAlign w:val="center"/>
          </w:tcPr>
          <w:p w14:paraId="34500837" w14:textId="028A8955" w:rsidR="0089148A" w:rsidRDefault="006F6179">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1918" w:type="dxa"/>
            <w:tcBorders>
              <w:left w:val="nil"/>
              <w:right w:val="nil"/>
            </w:tcBorders>
            <w:vAlign w:val="center"/>
          </w:tcPr>
          <w:p w14:paraId="385388D1" w14:textId="43FC9F1B"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66.7% (29.9%-92.5%)</w:t>
            </w:r>
          </w:p>
        </w:tc>
        <w:tc>
          <w:tcPr>
            <w:tcW w:w="872" w:type="dxa"/>
            <w:tcBorders>
              <w:left w:val="nil"/>
              <w:right w:val="nil"/>
            </w:tcBorders>
            <w:vAlign w:val="center"/>
          </w:tcPr>
          <w:p w14:paraId="10915E37" w14:textId="4D70BA68"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w:t>
            </w:r>
          </w:p>
        </w:tc>
      </w:tr>
      <w:tr w:rsidR="00AF1EBE" w14:paraId="7DF51EE7" w14:textId="33D82685" w:rsidTr="00AF1EBE">
        <w:trPr>
          <w:trHeight w:val="282"/>
        </w:trPr>
        <w:tc>
          <w:tcPr>
            <w:cnfStyle w:val="001000000000" w:firstRow="0" w:lastRow="0" w:firstColumn="1" w:lastColumn="0" w:oddVBand="0" w:evenVBand="0" w:oddHBand="0" w:evenHBand="0" w:firstRowFirstColumn="0" w:firstRowLastColumn="0" w:lastRowFirstColumn="0" w:lastRowLastColumn="0"/>
            <w:tcW w:w="1648" w:type="dxa"/>
            <w:tcBorders>
              <w:left w:val="nil"/>
              <w:right w:val="nil"/>
            </w:tcBorders>
            <w:vAlign w:val="center"/>
          </w:tcPr>
          <w:p w14:paraId="156EDC82" w14:textId="77777777" w:rsidR="0089148A" w:rsidRPr="000A0FFD" w:rsidRDefault="0089148A" w:rsidP="009D41AA">
            <w:pPr>
              <w:rPr>
                <w:rFonts w:ascii="Arial" w:eastAsia="Arial" w:hAnsi="Arial" w:cs="Arial"/>
                <w:sz w:val="16"/>
                <w:szCs w:val="16"/>
              </w:rPr>
            </w:pPr>
            <w:r w:rsidRPr="000A0FFD">
              <w:rPr>
                <w:rFonts w:ascii="Arial" w:eastAsia="Arial" w:hAnsi="Arial" w:cs="Arial"/>
                <w:b w:val="0"/>
                <w:bCs w:val="0"/>
                <w:sz w:val="16"/>
                <w:szCs w:val="16"/>
              </w:rPr>
              <w:t>Panther Aptima-350</w:t>
            </w:r>
          </w:p>
        </w:tc>
        <w:tc>
          <w:tcPr>
            <w:tcW w:w="537" w:type="dxa"/>
            <w:tcBorders>
              <w:left w:val="nil"/>
              <w:right w:val="nil"/>
            </w:tcBorders>
            <w:vAlign w:val="center"/>
          </w:tcPr>
          <w:p w14:paraId="590E1801" w14:textId="77777777" w:rsidR="0089148A" w:rsidRDefault="0089148A" w:rsidP="004B194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4</w:t>
            </w:r>
          </w:p>
        </w:tc>
        <w:tc>
          <w:tcPr>
            <w:tcW w:w="1018" w:type="dxa"/>
            <w:tcBorders>
              <w:left w:val="nil"/>
              <w:right w:val="nil"/>
            </w:tcBorders>
            <w:vAlign w:val="center"/>
          </w:tcPr>
          <w:p w14:paraId="0CBBC1B9" w14:textId="4ADA08AB" w:rsidR="0089148A" w:rsidRDefault="0089148A" w:rsidP="00071C38">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6275E">
              <w:rPr>
                <w:rFonts w:ascii="Arial" w:eastAsia="Arial" w:hAnsi="Arial" w:cs="Arial"/>
                <w:bCs/>
                <w:sz w:val="16"/>
                <w:szCs w:val="16"/>
              </w:rPr>
              <w:t>Follow-up</w:t>
            </w:r>
            <w:r w:rsidR="002B5E35" w:rsidRPr="00C14A24">
              <w:rPr>
                <w:rFonts w:ascii="Arial" w:eastAsia="Arial" w:hAnsi="Arial" w:cs="Arial"/>
                <w:sz w:val="16"/>
                <w:szCs w:val="16"/>
                <w:vertAlign w:val="superscript"/>
              </w:rPr>
              <w:t>‡</w:t>
            </w:r>
          </w:p>
        </w:tc>
        <w:tc>
          <w:tcPr>
            <w:tcW w:w="812" w:type="dxa"/>
            <w:tcBorders>
              <w:left w:val="nil"/>
              <w:right w:val="nil"/>
            </w:tcBorders>
            <w:vAlign w:val="center"/>
          </w:tcPr>
          <w:p w14:paraId="1A038424" w14:textId="416F97DA" w:rsidR="0089148A" w:rsidRDefault="0089148A" w:rsidP="0060308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627" w:type="dxa"/>
            <w:tcBorders>
              <w:left w:val="nil"/>
              <w:right w:val="nil"/>
            </w:tcBorders>
            <w:vAlign w:val="center"/>
          </w:tcPr>
          <w:p w14:paraId="5436B499" w14:textId="7121667A" w:rsidR="0089148A" w:rsidRDefault="0089148A" w:rsidP="008F4D3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768" w:type="dxa"/>
            <w:tcBorders>
              <w:left w:val="nil"/>
              <w:right w:val="nil"/>
            </w:tcBorders>
            <w:vAlign w:val="center"/>
          </w:tcPr>
          <w:p w14:paraId="13F119D2" w14:textId="29653FD2"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1790" w:type="dxa"/>
            <w:tcBorders>
              <w:left w:val="nil"/>
              <w:right w:val="nil"/>
            </w:tcBorders>
            <w:vAlign w:val="center"/>
          </w:tcPr>
          <w:p w14:paraId="23783E5F" w14:textId="32159F3C" w:rsidR="0089148A" w:rsidRDefault="006F6179">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1710" w:type="dxa"/>
            <w:tcBorders>
              <w:left w:val="nil"/>
              <w:right w:val="nil"/>
            </w:tcBorders>
            <w:vAlign w:val="center"/>
          </w:tcPr>
          <w:p w14:paraId="56FD7503" w14:textId="17C32EC4" w:rsidR="0089148A" w:rsidRDefault="006F6179">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1918" w:type="dxa"/>
            <w:tcBorders>
              <w:left w:val="nil"/>
              <w:right w:val="nil"/>
            </w:tcBorders>
            <w:vAlign w:val="center"/>
          </w:tcPr>
          <w:p w14:paraId="6428884C" w14:textId="78ABFB53"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77.8% (40.0%-97.2%)</w:t>
            </w:r>
          </w:p>
        </w:tc>
        <w:tc>
          <w:tcPr>
            <w:tcW w:w="872" w:type="dxa"/>
            <w:tcBorders>
              <w:left w:val="nil"/>
              <w:right w:val="nil"/>
            </w:tcBorders>
            <w:vAlign w:val="center"/>
          </w:tcPr>
          <w:p w14:paraId="064A7B2F" w14:textId="78D58D4B"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w:t>
            </w:r>
          </w:p>
        </w:tc>
      </w:tr>
      <w:tr w:rsidR="00AF1EBE" w14:paraId="6575454C" w14:textId="72647CC2" w:rsidTr="00AF1EBE">
        <w:trPr>
          <w:trHeight w:val="282"/>
        </w:trPr>
        <w:tc>
          <w:tcPr>
            <w:cnfStyle w:val="001000000000" w:firstRow="0" w:lastRow="0" w:firstColumn="1" w:lastColumn="0" w:oddVBand="0" w:evenVBand="0" w:oddHBand="0" w:evenHBand="0" w:firstRowFirstColumn="0" w:firstRowLastColumn="0" w:lastRowFirstColumn="0" w:lastRowLastColumn="0"/>
            <w:tcW w:w="1648" w:type="dxa"/>
            <w:tcBorders>
              <w:left w:val="nil"/>
              <w:right w:val="nil"/>
            </w:tcBorders>
            <w:vAlign w:val="center"/>
          </w:tcPr>
          <w:p w14:paraId="3FAF7D74" w14:textId="77777777" w:rsidR="0089148A" w:rsidRPr="000A0FFD" w:rsidRDefault="0089148A" w:rsidP="009D41AA">
            <w:pPr>
              <w:rPr>
                <w:rFonts w:ascii="Arial" w:eastAsia="Arial" w:hAnsi="Arial" w:cs="Arial"/>
                <w:b w:val="0"/>
                <w:sz w:val="16"/>
                <w:szCs w:val="16"/>
              </w:rPr>
            </w:pPr>
            <w:r w:rsidRPr="000A0FFD">
              <w:rPr>
                <w:rFonts w:ascii="Arial" w:eastAsia="Arial" w:hAnsi="Arial" w:cs="Arial"/>
                <w:b w:val="0"/>
                <w:sz w:val="16"/>
                <w:szCs w:val="16"/>
              </w:rPr>
              <w:t>Panther Fusion</w:t>
            </w:r>
          </w:p>
        </w:tc>
        <w:tc>
          <w:tcPr>
            <w:tcW w:w="537" w:type="dxa"/>
            <w:tcBorders>
              <w:left w:val="nil"/>
              <w:right w:val="nil"/>
            </w:tcBorders>
            <w:vAlign w:val="center"/>
          </w:tcPr>
          <w:p w14:paraId="4A6C9698" w14:textId="77777777" w:rsidR="0089148A" w:rsidRDefault="0089148A" w:rsidP="004B194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i/>
                <w:sz w:val="16"/>
                <w:szCs w:val="16"/>
              </w:rPr>
            </w:pPr>
            <w:r w:rsidRPr="000A0FFD">
              <w:rPr>
                <w:rFonts w:ascii="Arial" w:eastAsia="Arial" w:hAnsi="Arial" w:cs="Arial"/>
                <w:sz w:val="16"/>
                <w:szCs w:val="16"/>
              </w:rPr>
              <w:t>5</w:t>
            </w:r>
          </w:p>
        </w:tc>
        <w:tc>
          <w:tcPr>
            <w:tcW w:w="1018" w:type="dxa"/>
            <w:tcBorders>
              <w:left w:val="nil"/>
              <w:right w:val="nil"/>
            </w:tcBorders>
            <w:vAlign w:val="center"/>
          </w:tcPr>
          <w:p w14:paraId="42DA1BB0" w14:textId="77777777" w:rsidR="0089148A" w:rsidRPr="000A0FFD" w:rsidRDefault="0089148A" w:rsidP="00071C38">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In silico</w:t>
            </w:r>
          </w:p>
        </w:tc>
        <w:tc>
          <w:tcPr>
            <w:tcW w:w="812" w:type="dxa"/>
            <w:tcBorders>
              <w:left w:val="nil"/>
              <w:right w:val="nil"/>
            </w:tcBorders>
            <w:vAlign w:val="center"/>
          </w:tcPr>
          <w:p w14:paraId="4464F9F1" w14:textId="77777777" w:rsidR="0089148A" w:rsidRPr="000A0FFD" w:rsidRDefault="0089148A" w:rsidP="0060308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19.1%</w:t>
            </w:r>
          </w:p>
        </w:tc>
        <w:tc>
          <w:tcPr>
            <w:tcW w:w="627" w:type="dxa"/>
            <w:tcBorders>
              <w:left w:val="nil"/>
              <w:right w:val="nil"/>
            </w:tcBorders>
            <w:vAlign w:val="center"/>
          </w:tcPr>
          <w:p w14:paraId="157D7466" w14:textId="7D40F34A" w:rsidR="0089148A" w:rsidRDefault="0089148A" w:rsidP="008F4D3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35.6</w:t>
            </w:r>
          </w:p>
        </w:tc>
        <w:tc>
          <w:tcPr>
            <w:tcW w:w="768" w:type="dxa"/>
            <w:tcBorders>
              <w:left w:val="nil"/>
              <w:right w:val="nil"/>
            </w:tcBorders>
            <w:vAlign w:val="center"/>
          </w:tcPr>
          <w:p w14:paraId="70D56592" w14:textId="51BB3217" w:rsidR="0089148A" w:rsidRPr="000A0FFD"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13.0%</w:t>
            </w:r>
          </w:p>
        </w:tc>
        <w:tc>
          <w:tcPr>
            <w:tcW w:w="1790" w:type="dxa"/>
            <w:tcBorders>
              <w:left w:val="nil"/>
              <w:right w:val="nil"/>
            </w:tcBorders>
            <w:vAlign w:val="center"/>
          </w:tcPr>
          <w:p w14:paraId="45A675C5" w14:textId="678730B8"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93.5% (90.8%-96.3%)</w:t>
            </w:r>
          </w:p>
        </w:tc>
        <w:tc>
          <w:tcPr>
            <w:tcW w:w="1710" w:type="dxa"/>
            <w:tcBorders>
              <w:left w:val="nil"/>
              <w:right w:val="nil"/>
            </w:tcBorders>
            <w:vAlign w:val="center"/>
          </w:tcPr>
          <w:p w14:paraId="1E00D76B" w14:textId="4864E334"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0.811 (0.793-0.830)</w:t>
            </w:r>
          </w:p>
        </w:tc>
        <w:tc>
          <w:tcPr>
            <w:tcW w:w="1918" w:type="dxa"/>
            <w:tcBorders>
              <w:left w:val="nil"/>
              <w:right w:val="nil"/>
            </w:tcBorders>
            <w:vAlign w:val="center"/>
          </w:tcPr>
          <w:p w14:paraId="17D8548D" w14:textId="339A770D"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95.0% (94.7-95.2)</w:t>
            </w:r>
          </w:p>
        </w:tc>
        <w:tc>
          <w:tcPr>
            <w:tcW w:w="872" w:type="dxa"/>
            <w:tcBorders>
              <w:left w:val="nil"/>
              <w:right w:val="nil"/>
            </w:tcBorders>
            <w:vAlign w:val="center"/>
          </w:tcPr>
          <w:p w14:paraId="141311A5" w14:textId="47D5EA7D"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w:t>
            </w:r>
          </w:p>
        </w:tc>
      </w:tr>
      <w:tr w:rsidR="00AF1EBE" w14:paraId="094718AB" w14:textId="3A98A176" w:rsidTr="00AF1EBE">
        <w:trPr>
          <w:trHeight w:val="282"/>
        </w:trPr>
        <w:tc>
          <w:tcPr>
            <w:cnfStyle w:val="001000000000" w:firstRow="0" w:lastRow="0" w:firstColumn="1" w:lastColumn="0" w:oddVBand="0" w:evenVBand="0" w:oddHBand="0" w:evenHBand="0" w:firstRowFirstColumn="0" w:firstRowLastColumn="0" w:lastRowFirstColumn="0" w:lastRowLastColumn="0"/>
            <w:tcW w:w="1648" w:type="dxa"/>
            <w:tcBorders>
              <w:left w:val="nil"/>
              <w:bottom w:val="single" w:sz="4" w:space="0" w:color="auto"/>
              <w:right w:val="nil"/>
            </w:tcBorders>
            <w:vAlign w:val="center"/>
          </w:tcPr>
          <w:p w14:paraId="5EF06753" w14:textId="77777777" w:rsidR="0089148A" w:rsidRPr="000A0FFD" w:rsidRDefault="0089148A" w:rsidP="009D41AA">
            <w:pPr>
              <w:rPr>
                <w:rFonts w:ascii="Arial" w:eastAsia="Arial" w:hAnsi="Arial" w:cs="Arial"/>
                <w:b w:val="0"/>
                <w:sz w:val="16"/>
                <w:szCs w:val="16"/>
              </w:rPr>
            </w:pPr>
            <w:r w:rsidRPr="000A0FFD">
              <w:rPr>
                <w:rFonts w:ascii="Arial" w:eastAsia="Arial" w:hAnsi="Arial" w:cs="Arial"/>
                <w:b w:val="0"/>
                <w:sz w:val="16"/>
                <w:szCs w:val="16"/>
              </w:rPr>
              <w:t>Panther Fusion</w:t>
            </w:r>
          </w:p>
        </w:tc>
        <w:tc>
          <w:tcPr>
            <w:tcW w:w="537" w:type="dxa"/>
            <w:tcBorders>
              <w:left w:val="nil"/>
              <w:bottom w:val="single" w:sz="4" w:space="0" w:color="auto"/>
              <w:right w:val="nil"/>
            </w:tcBorders>
            <w:vAlign w:val="center"/>
          </w:tcPr>
          <w:p w14:paraId="47B8B883" w14:textId="77777777" w:rsidR="0089148A" w:rsidRDefault="0089148A" w:rsidP="004B194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i/>
                <w:sz w:val="16"/>
                <w:szCs w:val="16"/>
              </w:rPr>
            </w:pPr>
            <w:r w:rsidRPr="000A0FFD">
              <w:rPr>
                <w:rFonts w:ascii="Arial" w:eastAsia="Arial" w:hAnsi="Arial" w:cs="Arial"/>
                <w:sz w:val="16"/>
                <w:szCs w:val="16"/>
              </w:rPr>
              <w:t>3</w:t>
            </w:r>
          </w:p>
        </w:tc>
        <w:tc>
          <w:tcPr>
            <w:tcW w:w="1018" w:type="dxa"/>
            <w:tcBorders>
              <w:left w:val="nil"/>
              <w:bottom w:val="single" w:sz="4" w:space="0" w:color="auto"/>
              <w:right w:val="nil"/>
            </w:tcBorders>
            <w:vAlign w:val="center"/>
          </w:tcPr>
          <w:p w14:paraId="148B5FDF" w14:textId="77777777" w:rsidR="0089148A" w:rsidRPr="000A0FFD" w:rsidRDefault="0089148A" w:rsidP="00071C38">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In silico</w:t>
            </w:r>
          </w:p>
        </w:tc>
        <w:tc>
          <w:tcPr>
            <w:tcW w:w="812" w:type="dxa"/>
            <w:tcBorders>
              <w:left w:val="nil"/>
              <w:bottom w:val="single" w:sz="4" w:space="0" w:color="auto"/>
              <w:right w:val="nil"/>
            </w:tcBorders>
            <w:vAlign w:val="center"/>
          </w:tcPr>
          <w:p w14:paraId="41E99F2A" w14:textId="77777777" w:rsidR="0089148A" w:rsidRPr="000A0FFD" w:rsidRDefault="0089148A" w:rsidP="0060308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19.1%</w:t>
            </w:r>
          </w:p>
        </w:tc>
        <w:tc>
          <w:tcPr>
            <w:tcW w:w="627" w:type="dxa"/>
            <w:tcBorders>
              <w:left w:val="nil"/>
              <w:bottom w:val="single" w:sz="4" w:space="0" w:color="auto"/>
              <w:right w:val="nil"/>
            </w:tcBorders>
            <w:vAlign w:val="center"/>
          </w:tcPr>
          <w:p w14:paraId="284D56C2" w14:textId="2EDA3E64" w:rsidR="0089148A" w:rsidRDefault="0089148A" w:rsidP="008F4D3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35.6</w:t>
            </w:r>
          </w:p>
        </w:tc>
        <w:tc>
          <w:tcPr>
            <w:tcW w:w="768" w:type="dxa"/>
            <w:tcBorders>
              <w:left w:val="nil"/>
              <w:bottom w:val="single" w:sz="4" w:space="0" w:color="auto"/>
              <w:right w:val="nil"/>
            </w:tcBorders>
            <w:vAlign w:val="center"/>
          </w:tcPr>
          <w:p w14:paraId="3A8BEE17" w14:textId="08E730F2" w:rsidR="0089148A" w:rsidRPr="000A0FFD"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13.0%</w:t>
            </w:r>
          </w:p>
        </w:tc>
        <w:tc>
          <w:tcPr>
            <w:tcW w:w="1790" w:type="dxa"/>
            <w:tcBorders>
              <w:left w:val="nil"/>
              <w:bottom w:val="single" w:sz="4" w:space="0" w:color="auto"/>
              <w:right w:val="nil"/>
            </w:tcBorders>
            <w:vAlign w:val="center"/>
          </w:tcPr>
          <w:p w14:paraId="2539CE69" w14:textId="616D0BFE"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93.5% (90.5%-96.5%)</w:t>
            </w:r>
          </w:p>
        </w:tc>
        <w:tc>
          <w:tcPr>
            <w:tcW w:w="1710" w:type="dxa"/>
            <w:tcBorders>
              <w:left w:val="nil"/>
              <w:bottom w:val="single" w:sz="4" w:space="0" w:color="auto"/>
              <w:right w:val="nil"/>
            </w:tcBorders>
            <w:vAlign w:val="center"/>
          </w:tcPr>
          <w:p w14:paraId="35B054C2" w14:textId="2F7201C4"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0.773 (0.759-0.787)</w:t>
            </w:r>
          </w:p>
        </w:tc>
        <w:tc>
          <w:tcPr>
            <w:tcW w:w="1918" w:type="dxa"/>
            <w:tcBorders>
              <w:left w:val="nil"/>
              <w:bottom w:val="single" w:sz="4" w:space="0" w:color="auto"/>
              <w:right w:val="nil"/>
            </w:tcBorders>
            <w:vAlign w:val="center"/>
          </w:tcPr>
          <w:p w14:paraId="17D5E78C" w14:textId="7491A329"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99.9% (99.9-99.9)</w:t>
            </w:r>
          </w:p>
        </w:tc>
        <w:tc>
          <w:tcPr>
            <w:tcW w:w="872" w:type="dxa"/>
            <w:tcBorders>
              <w:left w:val="nil"/>
              <w:bottom w:val="single" w:sz="4" w:space="0" w:color="auto"/>
              <w:right w:val="nil"/>
            </w:tcBorders>
            <w:vAlign w:val="center"/>
          </w:tcPr>
          <w:p w14:paraId="0C770064" w14:textId="122D4F5D"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w:t>
            </w:r>
          </w:p>
        </w:tc>
      </w:tr>
      <w:tr w:rsidR="0089148A" w14:paraId="158A5238" w14:textId="77777777" w:rsidTr="00AF1EBE">
        <w:trPr>
          <w:trHeight w:val="1610"/>
        </w:trPr>
        <w:tc>
          <w:tcPr>
            <w:cnfStyle w:val="001000000000" w:firstRow="0" w:lastRow="0" w:firstColumn="1" w:lastColumn="0" w:oddVBand="0" w:evenVBand="0" w:oddHBand="0" w:evenHBand="0" w:firstRowFirstColumn="0" w:firstRowLastColumn="0" w:lastRowFirstColumn="0" w:lastRowLastColumn="0"/>
            <w:tcW w:w="11700" w:type="dxa"/>
            <w:gridSpan w:val="10"/>
            <w:tcBorders>
              <w:left w:val="nil"/>
              <w:bottom w:val="nil"/>
              <w:right w:val="nil"/>
            </w:tcBorders>
            <w:vAlign w:val="bottom"/>
          </w:tcPr>
          <w:p w14:paraId="566FF84E" w14:textId="4C56AB9C" w:rsidR="0089148A" w:rsidRDefault="0089148A" w:rsidP="009D41AA">
            <w:pPr>
              <w:rPr>
                <w:rFonts w:ascii="Arial" w:eastAsia="Arial" w:hAnsi="Arial" w:cs="Arial"/>
                <w:bCs w:val="0"/>
                <w:sz w:val="16"/>
                <w:szCs w:val="16"/>
              </w:rPr>
            </w:pPr>
            <w:r>
              <w:rPr>
                <w:rFonts w:ascii="Arial" w:eastAsia="Arial" w:hAnsi="Arial" w:cs="Arial"/>
                <w:b w:val="0"/>
                <w:sz w:val="16"/>
                <w:szCs w:val="16"/>
              </w:rPr>
              <w:t>*56 of the 192 pools tested on the other platforms were not tested by Panther Fusion.</w:t>
            </w:r>
          </w:p>
          <w:p w14:paraId="0BFF56F0" w14:textId="74F6C890" w:rsidR="0089148A" w:rsidRPr="00723E55" w:rsidRDefault="0089148A" w:rsidP="009D41AA">
            <w:pPr>
              <w:rPr>
                <w:rFonts w:ascii="Arial" w:eastAsia="Arial" w:hAnsi="Arial" w:cs="Arial"/>
                <w:b w:val="0"/>
                <w:bCs w:val="0"/>
                <w:sz w:val="16"/>
                <w:szCs w:val="16"/>
              </w:rPr>
            </w:pPr>
            <w:r w:rsidRPr="00C14A24">
              <w:rPr>
                <w:rFonts w:ascii="Arial" w:eastAsia="Arial" w:hAnsi="Arial" w:cs="Arial"/>
                <w:sz w:val="16"/>
                <w:szCs w:val="16"/>
                <w:vertAlign w:val="superscript"/>
              </w:rPr>
              <w:t>†</w:t>
            </w:r>
            <w:r>
              <w:rPr>
                <w:rFonts w:ascii="Arial" w:eastAsia="Arial" w:hAnsi="Arial" w:cs="Arial"/>
                <w:b w:val="0"/>
                <w:bCs w:val="0"/>
                <w:sz w:val="16"/>
                <w:szCs w:val="16"/>
              </w:rPr>
              <w:t>For a pool size of 8</w:t>
            </w:r>
            <w:r w:rsidRPr="00723E55">
              <w:rPr>
                <w:rFonts w:ascii="Arial" w:eastAsia="Arial" w:hAnsi="Arial" w:cs="Arial"/>
                <w:b w:val="0"/>
                <w:bCs w:val="0"/>
                <w:sz w:val="16"/>
                <w:szCs w:val="16"/>
              </w:rPr>
              <w:t>, t</w:t>
            </w:r>
            <w:r w:rsidRPr="00723E55">
              <w:rPr>
                <w:rFonts w:ascii="Arial" w:eastAsia="Arial" w:hAnsi="Arial" w:cs="Arial"/>
                <w:b w:val="0"/>
                <w:sz w:val="16"/>
                <w:szCs w:val="16"/>
              </w:rPr>
              <w:t xml:space="preserve">here were a total of 14 pools containing </w:t>
            </w:r>
            <w:r w:rsidRPr="00723E55">
              <w:rPr>
                <w:rFonts w:ascii="Arial" w:eastAsia="Arial" w:hAnsi="Arial" w:cs="Arial"/>
                <w:b w:val="0"/>
                <w:bCs w:val="0"/>
                <w:sz w:val="16"/>
                <w:szCs w:val="16"/>
              </w:rPr>
              <w:t xml:space="preserve">positive </w:t>
            </w:r>
            <w:r w:rsidRPr="00723E55">
              <w:rPr>
                <w:rFonts w:ascii="Arial" w:eastAsia="Arial" w:hAnsi="Arial" w:cs="Arial"/>
                <w:b w:val="0"/>
                <w:sz w:val="16"/>
                <w:szCs w:val="16"/>
              </w:rPr>
              <w:t xml:space="preserve">first tests only, and 28 pools containing </w:t>
            </w:r>
            <w:r w:rsidRPr="00723E55">
              <w:rPr>
                <w:rFonts w:ascii="Arial" w:eastAsia="Arial" w:hAnsi="Arial" w:cs="Arial"/>
                <w:b w:val="0"/>
                <w:bCs w:val="0"/>
                <w:sz w:val="16"/>
                <w:szCs w:val="16"/>
              </w:rPr>
              <w:t xml:space="preserve">positive </w:t>
            </w:r>
            <w:r w:rsidRPr="00723E55">
              <w:rPr>
                <w:rFonts w:ascii="Arial" w:eastAsia="Arial" w:hAnsi="Arial" w:cs="Arial"/>
                <w:b w:val="0"/>
                <w:sz w:val="16"/>
                <w:szCs w:val="16"/>
              </w:rPr>
              <w:t>follow-up tests</w:t>
            </w:r>
            <w:r w:rsidRPr="00723E55">
              <w:rPr>
                <w:rFonts w:ascii="Arial" w:eastAsia="Arial" w:hAnsi="Arial" w:cs="Arial"/>
                <w:b w:val="0"/>
                <w:bCs w:val="0"/>
                <w:sz w:val="16"/>
                <w:szCs w:val="16"/>
              </w:rPr>
              <w:t xml:space="preserve"> only. These numbers represent the denominator for the calculation of PPA.</w:t>
            </w:r>
          </w:p>
          <w:p w14:paraId="6309BAD6" w14:textId="22480AC8" w:rsidR="0089148A" w:rsidRPr="00723E55" w:rsidRDefault="0089148A" w:rsidP="009D41AA">
            <w:pPr>
              <w:rPr>
                <w:rFonts w:ascii="Arial" w:eastAsia="Arial" w:hAnsi="Arial" w:cs="Arial"/>
                <w:b w:val="0"/>
                <w:bCs w:val="0"/>
                <w:sz w:val="16"/>
                <w:szCs w:val="16"/>
              </w:rPr>
            </w:pPr>
            <w:r w:rsidRPr="00723E55">
              <w:rPr>
                <w:rFonts w:ascii="Arial" w:eastAsia="Arial" w:hAnsi="Arial" w:cs="Arial"/>
                <w:b w:val="0"/>
                <w:sz w:val="16"/>
                <w:szCs w:val="16"/>
                <w:vertAlign w:val="superscript"/>
              </w:rPr>
              <w:t>‡</w:t>
            </w:r>
            <w:r w:rsidRPr="00723E55">
              <w:rPr>
                <w:rFonts w:ascii="Arial" w:eastAsia="Arial" w:hAnsi="Arial" w:cs="Arial"/>
                <w:b w:val="0"/>
                <w:sz w:val="16"/>
                <w:szCs w:val="16"/>
              </w:rPr>
              <w:t>For a pool size of 4, there were a total of 26 pools containing positive first tests only, and 9 pools containing positive follow-up tests only.</w:t>
            </w:r>
            <w:r w:rsidRPr="00723E55">
              <w:rPr>
                <w:rFonts w:ascii="Arial" w:eastAsia="Arial" w:hAnsi="Arial" w:cs="Arial"/>
                <w:b w:val="0"/>
                <w:bCs w:val="0"/>
                <w:sz w:val="16"/>
                <w:szCs w:val="16"/>
              </w:rPr>
              <w:t xml:space="preserve"> These numbers represent the denominator for the calculation of PPA.</w:t>
            </w:r>
          </w:p>
          <w:p w14:paraId="5C286A7E" w14:textId="709EE1E3" w:rsidR="0089148A" w:rsidRPr="000A0FFD" w:rsidRDefault="0089148A" w:rsidP="004B1946">
            <w:pPr>
              <w:rPr>
                <w:rFonts w:ascii="Arial" w:hAnsi="Arial" w:cs="Arial"/>
                <w:b w:val="0"/>
                <w:sz w:val="20"/>
                <w:szCs w:val="20"/>
              </w:rPr>
            </w:pPr>
            <w:r>
              <w:rPr>
                <w:rFonts w:ascii="Arial" w:eastAsia="Arial" w:hAnsi="Arial" w:cs="Arial"/>
                <w:b w:val="0"/>
                <w:sz w:val="16"/>
                <w:szCs w:val="16"/>
              </w:rPr>
              <w:t xml:space="preserve">PSA, probabilistic sensitivity analysis; </w:t>
            </w:r>
            <w:proofErr w:type="spellStart"/>
            <w:r w:rsidR="002B5E35">
              <w:rPr>
                <w:rFonts w:ascii="Arial" w:eastAsia="Arial" w:hAnsi="Arial" w:cs="Arial"/>
                <w:b w:val="0"/>
                <w:sz w:val="16"/>
                <w:szCs w:val="16"/>
              </w:rPr>
              <w:t>LoD</w:t>
            </w:r>
            <w:proofErr w:type="spellEnd"/>
            <w:r w:rsidR="002B5E35">
              <w:rPr>
                <w:rFonts w:ascii="Arial" w:eastAsia="Arial" w:hAnsi="Arial" w:cs="Arial"/>
                <w:b w:val="0"/>
                <w:sz w:val="16"/>
                <w:szCs w:val="16"/>
              </w:rPr>
              <w:t xml:space="preserve">, limit of detection; Ct, cycle threshold; </w:t>
            </w:r>
            <w:r w:rsidRPr="000A0FFD">
              <w:rPr>
                <w:rFonts w:ascii="Arial" w:eastAsia="Arial" w:hAnsi="Arial" w:cs="Arial"/>
                <w:b w:val="0"/>
                <w:sz w:val="16"/>
                <w:szCs w:val="16"/>
              </w:rPr>
              <w:t xml:space="preserve">PPA, positive percent agreement; </w:t>
            </w:r>
            <w:r>
              <w:rPr>
                <w:rFonts w:ascii="Arial" w:eastAsia="Arial" w:hAnsi="Arial" w:cs="Arial"/>
                <w:b w:val="0"/>
                <w:sz w:val="16"/>
                <w:szCs w:val="16"/>
              </w:rPr>
              <w:t>CI, confidence interval</w:t>
            </w:r>
            <w:r w:rsidRPr="000A0FFD">
              <w:rPr>
                <w:rFonts w:ascii="Arial" w:eastAsia="Arial" w:hAnsi="Arial" w:cs="Arial"/>
                <w:b w:val="0"/>
                <w:sz w:val="16"/>
                <w:szCs w:val="16"/>
              </w:rPr>
              <w:t>; LDT, laboratory-developed test; Panther Aptima-M, Panther Aptima with manufacturer-set relative light unit cutoff; Panther Aptima-350, Panther Aptima with relative light unit cutoff of &gt;350 considered positive; RLU, relative light unit.</w:t>
            </w:r>
          </w:p>
        </w:tc>
      </w:tr>
    </w:tbl>
    <w:p w14:paraId="1FDD6B02" w14:textId="77777777" w:rsidR="00084FA1" w:rsidRPr="007E0BC9" w:rsidRDefault="00B1770D" w:rsidP="00084FA1">
      <w:pPr>
        <w:spacing w:line="480" w:lineRule="auto"/>
      </w:pPr>
      <w:r>
        <w:br w:type="page"/>
      </w:r>
      <w:r w:rsidR="00084FA1" w:rsidRPr="00B1770D">
        <w:rPr>
          <w:b/>
          <w:bCs/>
        </w:rPr>
        <w:lastRenderedPageBreak/>
        <w:t xml:space="preserve">Appendix Table </w:t>
      </w:r>
      <w:r w:rsidR="00084FA1">
        <w:rPr>
          <w:b/>
          <w:bCs/>
        </w:rPr>
        <w:t>4</w:t>
      </w:r>
      <w:r w:rsidR="00084FA1">
        <w:t xml:space="preserve"> (separate excel file). Lookup table for estimated positive percent agreement with deterministic sensitivity analysis upper and lower bounds for pool sizes between 1 and 20 based on model inputs of proportion tests positive (0.001 to 0.15) and proportion of tests with </w:t>
      </w:r>
      <w:r w:rsidR="00084FA1">
        <w:rPr>
          <w:rFonts w:cs="Arial"/>
          <w:bCs/>
        </w:rPr>
        <w:t>cycle threshold greater than the 95% limit of detection (0.05 to 0.30). Input values in cells B1 and B2 of first sheet “</w:t>
      </w:r>
      <w:proofErr w:type="spellStart"/>
      <w:r w:rsidR="00084FA1">
        <w:rPr>
          <w:rFonts w:cs="Arial"/>
          <w:bCs/>
        </w:rPr>
        <w:t>lookup_table</w:t>
      </w:r>
      <w:proofErr w:type="spellEnd"/>
      <w:r w:rsidR="00084FA1">
        <w:rPr>
          <w:rFonts w:cs="Arial"/>
          <w:bCs/>
        </w:rPr>
        <w:t>”.</w:t>
      </w:r>
    </w:p>
    <w:p w14:paraId="5B9D87F9" w14:textId="751B3431" w:rsidR="00084FA1" w:rsidRDefault="00084FA1">
      <w:r>
        <w:br w:type="page"/>
      </w:r>
    </w:p>
    <w:p w14:paraId="684ACCD3" w14:textId="33C55C17" w:rsidR="00DF0907" w:rsidRPr="0000625A" w:rsidRDefault="00DF0907" w:rsidP="00814D6B">
      <w:pPr>
        <w:spacing w:line="480" w:lineRule="auto"/>
      </w:pPr>
      <w:r w:rsidRPr="00B1770D">
        <w:rPr>
          <w:b/>
          <w:bCs/>
        </w:rPr>
        <w:lastRenderedPageBreak/>
        <w:t>Appendix Figure 1.</w:t>
      </w:r>
      <w:r w:rsidR="0000625A">
        <w:t xml:space="preserve"> </w:t>
      </w:r>
      <w:r w:rsidR="00687C15">
        <w:t xml:space="preserve">A) Receiver operating </w:t>
      </w:r>
      <w:r w:rsidR="00AC4712">
        <w:t xml:space="preserve">characteristic </w:t>
      </w:r>
      <w:r w:rsidR="00687C15">
        <w:t>curve of pools</w:t>
      </w:r>
      <w:r w:rsidR="00200BFB">
        <w:t xml:space="preserve"> of 8</w:t>
      </w:r>
      <w:r w:rsidR="00687C15">
        <w:t xml:space="preserve"> </w:t>
      </w:r>
      <w:r w:rsidR="007E18A2">
        <w:t xml:space="preserve">containing only a single positive sample </w:t>
      </w:r>
      <w:r w:rsidR="00687C15">
        <w:t>tested by Panther Aptima</w:t>
      </w:r>
      <w:r w:rsidR="007E18A2">
        <w:t>,</w:t>
      </w:r>
      <w:r w:rsidR="00200BFB">
        <w:t xml:space="preserve"> </w:t>
      </w:r>
      <w:r w:rsidR="00687C15">
        <w:t>and individual samples tested by LDT, with area under the curve of 0.911</w:t>
      </w:r>
      <w:r w:rsidR="007E18A2">
        <w:t xml:space="preserve"> (n=36)</w:t>
      </w:r>
      <w:r w:rsidR="00687C15">
        <w:t xml:space="preserve">. B) </w:t>
      </w:r>
      <w:r w:rsidR="0000625A">
        <w:t>Positive percent agreement (PPA) plotted against Panther Aptima relative light unit (RLU) threshold. Based on the inflection point of this curve, an RLU cutoff of &gt;350 was chosen to maximize PPA.</w:t>
      </w:r>
    </w:p>
    <w:p w14:paraId="616735C5" w14:textId="1288960A" w:rsidR="003C24DC" w:rsidRPr="00DE700A" w:rsidRDefault="003C24DC" w:rsidP="00814D6B">
      <w:pPr>
        <w:spacing w:line="480" w:lineRule="auto"/>
        <w:rPr>
          <w:b/>
        </w:rPr>
      </w:pPr>
    </w:p>
    <w:p w14:paraId="641DBE7F" w14:textId="7D4708FE" w:rsidR="0008174F" w:rsidRDefault="009372E8" w:rsidP="0008174F">
      <w:pPr>
        <w:spacing w:line="480" w:lineRule="auto"/>
      </w:pPr>
      <w:r w:rsidRPr="00DE700A">
        <w:rPr>
          <w:b/>
        </w:rPr>
        <w:t>Appendix Figure 2.</w:t>
      </w:r>
      <w:r>
        <w:t xml:space="preserve"> </w:t>
      </w:r>
      <w:r w:rsidR="007E18A2">
        <w:t>For a pool size of 4, p</w:t>
      </w:r>
      <w:r w:rsidR="007E18A2" w:rsidRPr="006F1059">
        <w:t>aired individual and pooled C</w:t>
      </w:r>
      <w:r w:rsidR="007E18A2" w:rsidRPr="006F1059">
        <w:rPr>
          <w:vertAlign w:val="subscript"/>
        </w:rPr>
        <w:t>t</w:t>
      </w:r>
      <w:r w:rsidR="007E18A2" w:rsidRPr="006F1059">
        <w:t xml:space="preserve"> values for each individually positive sample</w:t>
      </w:r>
      <w:r w:rsidR="007E18A2">
        <w:t xml:space="preserve"> (n=38)</w:t>
      </w:r>
      <w:r w:rsidR="007E18A2" w:rsidRPr="006F1059">
        <w:t xml:space="preserve">, </w:t>
      </w:r>
      <w:r w:rsidR="007E18A2">
        <w:t>in order of</w:t>
      </w:r>
      <w:r w:rsidR="007E18A2" w:rsidRPr="006F1059">
        <w:t xml:space="preserve"> increasing individual C</w:t>
      </w:r>
      <w:r w:rsidR="007E18A2" w:rsidRPr="006F1059">
        <w:rPr>
          <w:vertAlign w:val="subscript"/>
        </w:rPr>
        <w:t>t</w:t>
      </w:r>
      <w:r w:rsidR="007E18A2" w:rsidRPr="006F1059">
        <w:t xml:space="preserve"> value. The left panel contains pools comprised of only a single positive sample. The right panel contains pools comprised of two or more positive samples. The grey lines span the range of C</w:t>
      </w:r>
      <w:r w:rsidR="007E18A2" w:rsidRPr="006F1059">
        <w:rPr>
          <w:vertAlign w:val="subscript"/>
        </w:rPr>
        <w:t>t</w:t>
      </w:r>
      <w:r w:rsidR="007E18A2" w:rsidRPr="006F1059">
        <w:t xml:space="preserve"> values associated with a given pool. </w:t>
      </w:r>
      <w:r w:rsidR="007E18A2">
        <w:t>Pools without a red square were false negatives by the laboratory-developed test (LDT). Pools without a blue triangle were not tested by Panther Fusion, and do not represent false negatives.</w:t>
      </w:r>
    </w:p>
    <w:p w14:paraId="3AF7C954" w14:textId="5C9B471A" w:rsidR="009372E8" w:rsidRDefault="007E18A2" w:rsidP="00814D6B">
      <w:pPr>
        <w:spacing w:line="480" w:lineRule="auto"/>
      </w:pPr>
      <w:r w:rsidRPr="006F1059">
        <w:t xml:space="preserve"> </w:t>
      </w:r>
    </w:p>
    <w:p w14:paraId="4551D538" w14:textId="6BED7FD6" w:rsidR="007F723D" w:rsidRDefault="007F723D" w:rsidP="00814D6B">
      <w:pPr>
        <w:spacing w:line="480" w:lineRule="auto"/>
      </w:pPr>
      <w:r w:rsidRPr="00DE700A">
        <w:rPr>
          <w:b/>
        </w:rPr>
        <w:t xml:space="preserve">Appendix Figure </w:t>
      </w:r>
      <w:r w:rsidR="009372E8">
        <w:rPr>
          <w:b/>
        </w:rPr>
        <w:t>3</w:t>
      </w:r>
      <w:r w:rsidRPr="00DE700A">
        <w:rPr>
          <w:b/>
        </w:rPr>
        <w:t>.</w:t>
      </w:r>
      <w:r>
        <w:t xml:space="preserve"> </w:t>
      </w:r>
      <w:r w:rsidR="007E18A2">
        <w:t xml:space="preserve">Passing-Bablok regression and Bland-Altman plots for pools of 4 containing only a </w:t>
      </w:r>
      <w:r w:rsidR="007E18A2" w:rsidRPr="006F1059">
        <w:t>single positive sample</w:t>
      </w:r>
      <w:r w:rsidRPr="007F723D">
        <w:t xml:space="preserve">, tested by A-B) pooled LDT vs. individual LDT (n=30), C-D) pooled Panther Fusion vs. individual LDT (n=21), and E-F) pooled Panther Fusion vs. pooled LDT (n=24). For the Passing-Bablok regression plots (A, C, E), the solid line represents the line of regression, with 95% confidence interval shaded in grey. The dashed line represents the line of identity. The slope and intercept of the regression line are reported with 95% confidence intervals in parentheses. For the Bland-Altman plots (B, D, F), the solid line represents the mean difference in Ct value, with 95% limits of agreement </w:t>
      </w:r>
      <w:r w:rsidR="00242C55">
        <w:t>range</w:t>
      </w:r>
      <w:r w:rsidRPr="007F723D">
        <w:t xml:space="preserve"> shaded in grey.</w:t>
      </w:r>
    </w:p>
    <w:p w14:paraId="0F3AECC6" w14:textId="77777777" w:rsidR="007E18A2" w:rsidRDefault="007E18A2" w:rsidP="00814D6B">
      <w:pPr>
        <w:spacing w:line="480" w:lineRule="auto"/>
      </w:pPr>
    </w:p>
    <w:p w14:paraId="72FE5B4E" w14:textId="3BD5F9B2" w:rsidR="0008174F" w:rsidRDefault="0008174F" w:rsidP="00814D6B">
      <w:pPr>
        <w:spacing w:line="480" w:lineRule="auto"/>
      </w:pPr>
      <w:r w:rsidRPr="00DE700A">
        <w:rPr>
          <w:b/>
          <w:bCs/>
        </w:rPr>
        <w:t>Appendix Figure 4.</w:t>
      </w:r>
      <w:r>
        <w:t xml:space="preserve"> </w:t>
      </w:r>
      <w:r w:rsidR="00115813">
        <w:t xml:space="preserve">Continuous probability distributions fit to independent dataset of </w:t>
      </w:r>
      <w:r w:rsidR="007E18A2">
        <w:t>cycle threshold (</w:t>
      </w:r>
      <w:r w:rsidR="00115813">
        <w:t>C</w:t>
      </w:r>
      <w:r w:rsidR="00115813" w:rsidRPr="007E18A2">
        <w:rPr>
          <w:vertAlign w:val="subscript"/>
        </w:rPr>
        <w:t>t</w:t>
      </w:r>
      <w:r w:rsidR="007E18A2">
        <w:t xml:space="preserve">) </w:t>
      </w:r>
      <w:r w:rsidR="00115813">
        <w:t xml:space="preserve">values not subjected to pooled testing. Fitted </w:t>
      </w:r>
      <w:r w:rsidR="00394A6E">
        <w:t xml:space="preserve">theoretical </w:t>
      </w:r>
      <w:proofErr w:type="spellStart"/>
      <w:r w:rsidR="00115813">
        <w:t>weibull</w:t>
      </w:r>
      <w:proofErr w:type="spellEnd"/>
      <w:r w:rsidR="00115813">
        <w:t xml:space="preserve"> (red), normal (green), gamma (dark blue), and log-normal (light blue) distributions are plotted alongside </w:t>
      </w:r>
      <w:r w:rsidR="00394A6E">
        <w:t xml:space="preserve">empirical dataset for </w:t>
      </w:r>
      <w:r w:rsidR="00394A6E">
        <w:lastRenderedPageBreak/>
        <w:t xml:space="preserve">probability densities, quantiles (Q-Q plot), cumulative distribution functions, and probabilities (P-P plot). The fitted Weibull distribution was selected based on minimization of the Bayesian Information Criterion, </w:t>
      </w:r>
      <w:r w:rsidR="00394A6E" w:rsidRPr="00394A6E">
        <w:t>Akaike information criterion</w:t>
      </w:r>
      <w:r w:rsidR="00394A6E">
        <w:t xml:space="preserve">, and </w:t>
      </w:r>
      <w:r w:rsidR="00394A6E" w:rsidRPr="00394A6E">
        <w:t>Kolmogorov–Smirnov statistic</w:t>
      </w:r>
      <w:r w:rsidR="00394A6E">
        <w:t>.</w:t>
      </w:r>
    </w:p>
    <w:p w14:paraId="3B81EDDC" w14:textId="77777777" w:rsidR="00394A6E" w:rsidRDefault="00394A6E" w:rsidP="00814D6B">
      <w:pPr>
        <w:spacing w:line="480" w:lineRule="auto"/>
      </w:pPr>
    </w:p>
    <w:p w14:paraId="3BF43E67" w14:textId="15C21EDF" w:rsidR="00C86E06" w:rsidRDefault="00C86E06" w:rsidP="00814D6B">
      <w:pPr>
        <w:spacing w:line="480" w:lineRule="auto"/>
      </w:pPr>
      <w:r w:rsidRPr="00DE700A">
        <w:rPr>
          <w:b/>
          <w:bCs/>
        </w:rPr>
        <w:t>Appendix Figure 5.</w:t>
      </w:r>
      <w:r>
        <w:t xml:space="preserve"> </w:t>
      </w:r>
      <w:r w:rsidR="00394A6E" w:rsidRPr="00394A6E">
        <w:t xml:space="preserve">Fitted probit regression (solid black line) with 95% confidence intervals (dashed black lines) derived from independent limit of detection </w:t>
      </w:r>
      <w:r w:rsidR="007E18A2">
        <w:t>(</w:t>
      </w:r>
      <w:proofErr w:type="spellStart"/>
      <w:r w:rsidR="007E18A2">
        <w:t>LoD</w:t>
      </w:r>
      <w:proofErr w:type="spellEnd"/>
      <w:r w:rsidR="007E18A2">
        <w:t xml:space="preserve">) </w:t>
      </w:r>
      <w:r w:rsidR="00394A6E" w:rsidRPr="00394A6E">
        <w:t xml:space="preserve">experiment. Probability of detection is plotted against nominal viral copies per milliliter (A, top) and </w:t>
      </w:r>
      <w:r w:rsidR="00394A6E">
        <w:t xml:space="preserve">corresponding </w:t>
      </w:r>
      <w:r w:rsidR="007E18A2">
        <w:t>cycle threshold (C</w:t>
      </w:r>
      <w:r w:rsidR="007E18A2" w:rsidRPr="007E18A2">
        <w:rPr>
          <w:vertAlign w:val="subscript"/>
        </w:rPr>
        <w:t>t</w:t>
      </w:r>
      <w:r w:rsidR="007E18A2">
        <w:t>)</w:t>
      </w:r>
      <w:r w:rsidR="00394A6E" w:rsidRPr="00394A6E">
        <w:t xml:space="preserve"> value (B, bottom). Solid red lines indicate 95% estimated probability of detection (horizontal) and corresponding 95% </w:t>
      </w:r>
      <w:proofErr w:type="spellStart"/>
      <w:r w:rsidR="00394A6E" w:rsidRPr="00394A6E">
        <w:t>LoD</w:t>
      </w:r>
      <w:proofErr w:type="spellEnd"/>
      <w:r w:rsidR="00394A6E" w:rsidRPr="00394A6E">
        <w:t xml:space="preserve"> (</w:t>
      </w:r>
      <w:r w:rsidR="00394A6E">
        <w:t xml:space="preserve">vertical, </w:t>
      </w:r>
      <w:r w:rsidR="00394A6E" w:rsidRPr="00394A6E">
        <w:t>685 cp/mL or C</w:t>
      </w:r>
      <w:r w:rsidR="00394A6E" w:rsidRPr="007E18A2">
        <w:rPr>
          <w:vertAlign w:val="subscript"/>
        </w:rPr>
        <w:t>t</w:t>
      </w:r>
      <w:r w:rsidR="00394A6E" w:rsidRPr="00394A6E">
        <w:t xml:space="preserve"> 35.9).</w:t>
      </w:r>
    </w:p>
    <w:p w14:paraId="724F45B3" w14:textId="77777777" w:rsidR="0008174F" w:rsidRDefault="0008174F" w:rsidP="00814D6B">
      <w:pPr>
        <w:spacing w:line="480" w:lineRule="auto"/>
      </w:pPr>
    </w:p>
    <w:p w14:paraId="75D16B51" w14:textId="764BE440" w:rsidR="006F1059" w:rsidRPr="007E18A2" w:rsidRDefault="00DF0907" w:rsidP="00814D6B">
      <w:pPr>
        <w:spacing w:line="480" w:lineRule="auto"/>
      </w:pPr>
      <w:r w:rsidRPr="00C1278A">
        <w:rPr>
          <w:b/>
          <w:bCs/>
        </w:rPr>
        <w:t xml:space="preserve">Appendix Figure </w:t>
      </w:r>
      <w:r w:rsidR="00C86E06" w:rsidRPr="00C1278A">
        <w:rPr>
          <w:b/>
          <w:bCs/>
        </w:rPr>
        <w:t>6</w:t>
      </w:r>
      <w:r w:rsidRPr="00C1278A">
        <w:rPr>
          <w:b/>
          <w:bCs/>
        </w:rPr>
        <w:t>.</w:t>
      </w:r>
      <w:r>
        <w:t xml:space="preserve"> </w:t>
      </w:r>
      <w:r w:rsidR="007E18A2">
        <w:t>Model-estimated positive percent agreement (PPA) and testing efficiency, by pool size, proportion of tests positive, assay sensitivity as represented by cycle threshold (</w:t>
      </w:r>
      <w:r w:rsidR="007E18A2" w:rsidRPr="00DB1421">
        <w:rPr>
          <w:rFonts w:cs="Arial"/>
          <w:bCs/>
        </w:rPr>
        <w:t>C</w:t>
      </w:r>
      <w:r w:rsidR="007E18A2" w:rsidRPr="00DB1421">
        <w:rPr>
          <w:rFonts w:cs="Arial"/>
          <w:bCs/>
          <w:vertAlign w:val="subscript"/>
        </w:rPr>
        <w:t>t</w:t>
      </w:r>
      <w:r w:rsidR="007E18A2">
        <w:t>) corresponding to the 95% limit of detection (</w:t>
      </w:r>
      <w:proofErr w:type="spellStart"/>
      <w:r w:rsidR="007E18A2">
        <w:t>LoD</w:t>
      </w:r>
      <w:proofErr w:type="spellEnd"/>
      <w:r w:rsidR="007E18A2">
        <w:t xml:space="preserve">), and proportion of samples with </w:t>
      </w:r>
      <w:r w:rsidR="007E18A2" w:rsidRPr="00DB1421">
        <w:rPr>
          <w:rFonts w:cs="Arial"/>
          <w:bCs/>
        </w:rPr>
        <w:t>C</w:t>
      </w:r>
      <w:r w:rsidR="007E18A2" w:rsidRPr="00DB1421">
        <w:rPr>
          <w:rFonts w:cs="Arial"/>
          <w:bCs/>
          <w:vertAlign w:val="subscript"/>
        </w:rPr>
        <w:t>t</w:t>
      </w:r>
      <w:r w:rsidR="007E18A2">
        <w:t xml:space="preserve"> above the </w:t>
      </w:r>
      <w:proofErr w:type="spellStart"/>
      <w:r w:rsidR="007E18A2">
        <w:t>LoD</w:t>
      </w:r>
      <w:proofErr w:type="spellEnd"/>
      <w:r w:rsidR="007E18A2">
        <w:t xml:space="preserve">. </w:t>
      </w:r>
      <w:r>
        <w:t>The relationship between PP</w:t>
      </w:r>
      <w:r w:rsidR="00501700">
        <w:t xml:space="preserve">A and pool size is independent of the </w:t>
      </w:r>
      <w:r w:rsidR="007E18A2">
        <w:t xml:space="preserve">actual </w:t>
      </w:r>
      <w:r w:rsidR="00501700" w:rsidRPr="00DB1421">
        <w:rPr>
          <w:rFonts w:cs="Arial"/>
          <w:bCs/>
        </w:rPr>
        <w:t>C</w:t>
      </w:r>
      <w:r w:rsidR="00501700" w:rsidRPr="00DB1421">
        <w:rPr>
          <w:rFonts w:cs="Arial"/>
          <w:bCs/>
          <w:vertAlign w:val="subscript"/>
        </w:rPr>
        <w:t>t</w:t>
      </w:r>
      <w:r w:rsidR="00501700">
        <w:rPr>
          <w:rFonts w:cs="Arial"/>
          <w:bCs/>
        </w:rPr>
        <w:t xml:space="preserve"> value corresponding to the 95% </w:t>
      </w:r>
      <w:proofErr w:type="spellStart"/>
      <w:r w:rsidR="00501700">
        <w:rPr>
          <w:rFonts w:cs="Arial"/>
          <w:bCs/>
        </w:rPr>
        <w:t>LoD</w:t>
      </w:r>
      <w:proofErr w:type="spellEnd"/>
      <w:r w:rsidR="007E18A2">
        <w:rPr>
          <w:rFonts w:cs="Arial"/>
          <w:bCs/>
        </w:rPr>
        <w:t xml:space="preserve"> </w:t>
      </w:r>
      <w:r w:rsidR="009E15F0">
        <w:rPr>
          <w:rFonts w:cs="Arial"/>
          <w:bCs/>
        </w:rPr>
        <w:t>due to a fixed proportion of C</w:t>
      </w:r>
      <w:r w:rsidR="00671E63" w:rsidRPr="00DB1421">
        <w:rPr>
          <w:rFonts w:cs="Arial"/>
          <w:bCs/>
          <w:vertAlign w:val="subscript"/>
        </w:rPr>
        <w:t>t</w:t>
      </w:r>
      <w:r w:rsidR="009E15F0">
        <w:rPr>
          <w:rFonts w:cs="Arial"/>
          <w:bCs/>
        </w:rPr>
        <w:t xml:space="preserve"> values above the </w:t>
      </w:r>
      <w:proofErr w:type="spellStart"/>
      <w:r w:rsidR="009E15F0">
        <w:rPr>
          <w:rFonts w:cs="Arial"/>
          <w:bCs/>
        </w:rPr>
        <w:t>LoD</w:t>
      </w:r>
      <w:proofErr w:type="spellEnd"/>
      <w:r w:rsidR="009E15F0">
        <w:rPr>
          <w:rFonts w:cs="Arial"/>
          <w:bCs/>
        </w:rPr>
        <w:t xml:space="preserve"> (5%, 15%, 25%)</w:t>
      </w:r>
      <w:r w:rsidR="00501700">
        <w:rPr>
          <w:rFonts w:cs="Arial"/>
          <w:bCs/>
        </w:rPr>
        <w:t>, as demonstrated by identical plots in each vertical panel.</w:t>
      </w:r>
    </w:p>
    <w:p w14:paraId="46700EE1" w14:textId="77777777" w:rsidR="007E18A2" w:rsidRDefault="007E18A2" w:rsidP="00814D6B">
      <w:pPr>
        <w:spacing w:line="480" w:lineRule="auto"/>
        <w:rPr>
          <w:rFonts w:cs="Arial"/>
          <w:bCs/>
        </w:rPr>
      </w:pPr>
    </w:p>
    <w:p w14:paraId="2D2E241D" w14:textId="528CD332" w:rsidR="00D11E2E" w:rsidRDefault="00C86E06" w:rsidP="00814D6B">
      <w:pPr>
        <w:spacing w:line="480" w:lineRule="auto"/>
        <w:rPr>
          <w:rFonts w:cs="Arial"/>
          <w:bCs/>
        </w:rPr>
      </w:pPr>
      <w:r w:rsidRPr="00DE700A">
        <w:rPr>
          <w:rFonts w:cs="Arial"/>
          <w:b/>
        </w:rPr>
        <w:t>Appendix Figure 7.</w:t>
      </w:r>
      <w:r>
        <w:rPr>
          <w:rFonts w:cs="Arial"/>
          <w:bCs/>
        </w:rPr>
        <w:t xml:space="preserve"> </w:t>
      </w:r>
      <w:r w:rsidR="00D11E2E">
        <w:rPr>
          <w:rFonts w:cs="Arial"/>
          <w:bCs/>
        </w:rPr>
        <w:t xml:space="preserve">One-way deterministic sensitivity analysis for </w:t>
      </w:r>
      <w:r w:rsidR="00D11E2E">
        <w:t>m</w:t>
      </w:r>
      <w:r w:rsidR="009E15F0">
        <w:t>odeled estimates of</w:t>
      </w:r>
      <w:r>
        <w:t xml:space="preserve"> positive percent agreement (PPA) between pooled and individual testing at pool sizes from 1-20</w:t>
      </w:r>
      <w:r w:rsidR="00D11E2E">
        <w:t xml:space="preserve"> for </w:t>
      </w:r>
      <w:r w:rsidR="007330F9">
        <w:t>variable</w:t>
      </w:r>
      <w:r w:rsidR="00D11E2E">
        <w:t xml:space="preserve"> prevalence</w:t>
      </w:r>
      <w:r>
        <w:t xml:space="preserve">. </w:t>
      </w:r>
      <w:r w:rsidR="00D11E2E">
        <w:t xml:space="preserve">Solid lines indicate </w:t>
      </w:r>
      <w:r w:rsidR="007330F9">
        <w:t xml:space="preserve">modeled </w:t>
      </w:r>
      <w:r w:rsidR="007874A3">
        <w:t xml:space="preserve">base case estimates (presented in </w:t>
      </w:r>
      <w:r w:rsidR="00671E63">
        <w:t>F</w:t>
      </w:r>
      <w:r w:rsidR="007874A3">
        <w:t>igure 4</w:t>
      </w:r>
      <w:r w:rsidR="007330F9">
        <w:t>A</w:t>
      </w:r>
      <w:r w:rsidR="007874A3">
        <w:t xml:space="preserve">), while dashed lines indicate </w:t>
      </w:r>
      <w:r w:rsidR="007330F9">
        <w:t xml:space="preserve">modeled estimates at </w:t>
      </w:r>
      <w:r w:rsidR="007874A3">
        <w:t xml:space="preserve">upper and lower bounds of </w:t>
      </w:r>
      <w:r w:rsidR="007330F9">
        <w:t>sensitivity analysis.</w:t>
      </w:r>
      <w:r w:rsidR="007874A3">
        <w:t xml:space="preserve"> </w:t>
      </w:r>
      <w:r>
        <w:rPr>
          <w:rFonts w:cs="Arial"/>
          <w:bCs/>
        </w:rPr>
        <w:t xml:space="preserve">A) </w:t>
      </w:r>
      <w:r w:rsidR="00D11E2E">
        <w:rPr>
          <w:rFonts w:cs="Arial"/>
          <w:bCs/>
        </w:rPr>
        <w:t>Deterministic sensitivity analysis for deviation from pooled testing dilution effect (</w:t>
      </w:r>
      <w:r w:rsidR="00D11E2E" w:rsidRPr="00D11E2E">
        <w:rPr>
          <w:rFonts w:cs="Arial"/>
          <w:bCs/>
        </w:rPr>
        <w:t>±</w:t>
      </w:r>
      <w:r w:rsidR="00D11E2E">
        <w:rPr>
          <w:rFonts w:cs="Arial"/>
          <w:bCs/>
        </w:rPr>
        <w:t>1 C</w:t>
      </w:r>
      <w:r w:rsidR="00D11E2E" w:rsidRPr="00F5368C">
        <w:rPr>
          <w:rFonts w:cs="Arial"/>
          <w:bCs/>
          <w:vertAlign w:val="subscript"/>
        </w:rPr>
        <w:t xml:space="preserve">t </w:t>
      </w:r>
      <w:r w:rsidR="00D11E2E">
        <w:rPr>
          <w:rFonts w:cs="Arial"/>
          <w:bCs/>
        </w:rPr>
        <w:t>value). B) Deterministic sensitivity analysis for deviation from fitted probit regression (</w:t>
      </w:r>
      <w:r w:rsidR="00D11E2E" w:rsidRPr="00D11E2E">
        <w:rPr>
          <w:rFonts w:cs="Arial"/>
          <w:bCs/>
        </w:rPr>
        <w:t>±</w:t>
      </w:r>
      <w:r w:rsidR="00D11E2E">
        <w:rPr>
          <w:rFonts w:cs="Arial"/>
          <w:bCs/>
        </w:rPr>
        <w:t>2 standard deviations).</w:t>
      </w:r>
    </w:p>
    <w:p w14:paraId="4E056C72" w14:textId="77777777" w:rsidR="00D11E2E" w:rsidRDefault="00D11E2E" w:rsidP="00814D6B">
      <w:pPr>
        <w:spacing w:line="480" w:lineRule="auto"/>
        <w:rPr>
          <w:rFonts w:cs="Arial"/>
          <w:bCs/>
        </w:rPr>
      </w:pPr>
    </w:p>
    <w:p w14:paraId="7BFFD8FC" w14:textId="07EDFD82" w:rsidR="007330F9" w:rsidRDefault="00C86E06" w:rsidP="007330F9">
      <w:pPr>
        <w:spacing w:line="480" w:lineRule="auto"/>
        <w:rPr>
          <w:rFonts w:cs="Arial"/>
          <w:bCs/>
        </w:rPr>
      </w:pPr>
      <w:r w:rsidRPr="00DE700A">
        <w:rPr>
          <w:rFonts w:cs="Arial"/>
          <w:b/>
        </w:rPr>
        <w:lastRenderedPageBreak/>
        <w:t>Appendix Figure 8.</w:t>
      </w:r>
      <w:r>
        <w:rPr>
          <w:rFonts w:cs="Arial"/>
          <w:bCs/>
        </w:rPr>
        <w:t xml:space="preserve"> </w:t>
      </w:r>
      <w:r w:rsidR="007330F9">
        <w:rPr>
          <w:rFonts w:cs="Arial"/>
          <w:bCs/>
        </w:rPr>
        <w:t xml:space="preserve">One-way deterministic sensitivity analysis for </w:t>
      </w:r>
      <w:r w:rsidR="007330F9">
        <w:t xml:space="preserve">modeled estimates of tests per sample between pooled and individual testing at pool sizes from 1-20 for variable prevalence. Solid lines indicate modeled base case estimates (presented in </w:t>
      </w:r>
      <w:r w:rsidR="00671E63">
        <w:t>F</w:t>
      </w:r>
      <w:r w:rsidR="007330F9">
        <w:t xml:space="preserve">igure 4B), while dashed lines indicate modeled estimates at upper and lower bounds of sensitivity analysis. </w:t>
      </w:r>
      <w:r w:rsidR="007330F9">
        <w:rPr>
          <w:rFonts w:cs="Arial"/>
          <w:bCs/>
        </w:rPr>
        <w:t>A) Deterministic sensitivity analysis for deviation from pooled testing dilution effect (</w:t>
      </w:r>
      <w:r w:rsidR="007330F9" w:rsidRPr="00D11E2E">
        <w:rPr>
          <w:rFonts w:cs="Arial"/>
          <w:bCs/>
        </w:rPr>
        <w:t>±</w:t>
      </w:r>
      <w:r w:rsidR="007330F9">
        <w:rPr>
          <w:rFonts w:cs="Arial"/>
          <w:bCs/>
        </w:rPr>
        <w:t>1 C</w:t>
      </w:r>
      <w:r w:rsidR="007330F9" w:rsidRPr="00F5368C">
        <w:rPr>
          <w:rFonts w:cs="Arial"/>
          <w:bCs/>
          <w:vertAlign w:val="subscript"/>
        </w:rPr>
        <w:t>t</w:t>
      </w:r>
      <w:r w:rsidR="007330F9">
        <w:rPr>
          <w:rFonts w:cs="Arial"/>
          <w:bCs/>
        </w:rPr>
        <w:t xml:space="preserve"> value). B) Deterministic sensitivity analysis for deviation from fitted probit regression (</w:t>
      </w:r>
      <w:r w:rsidR="007330F9" w:rsidRPr="00D11E2E">
        <w:rPr>
          <w:rFonts w:cs="Arial"/>
          <w:bCs/>
        </w:rPr>
        <w:t>±</w:t>
      </w:r>
      <w:r w:rsidR="007330F9">
        <w:rPr>
          <w:rFonts w:cs="Arial"/>
          <w:bCs/>
        </w:rPr>
        <w:t>2 standard deviations).</w:t>
      </w:r>
    </w:p>
    <w:p w14:paraId="57E60394" w14:textId="7BF54A66" w:rsidR="00C86E06" w:rsidRPr="00687C15" w:rsidRDefault="00C86E06" w:rsidP="00814D6B">
      <w:pPr>
        <w:spacing w:line="480" w:lineRule="auto"/>
        <w:rPr>
          <w:rFonts w:cs="Arial"/>
          <w:bCs/>
        </w:rPr>
      </w:pPr>
    </w:p>
    <w:sectPr w:rsidR="00C86E06" w:rsidRPr="00687C15" w:rsidSect="00814D6B">
      <w:pgSz w:w="12240" w:h="15840"/>
      <w:pgMar w:top="1152" w:right="1152" w:bottom="1152" w:left="1152"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askia Lynn DeRook Comess" w:date="2020-10-12T16:13:00Z" w:initials="SLDC">
    <w:p w14:paraId="746AEE5E" w14:textId="4128CC60" w:rsidR="00F929FF" w:rsidRDefault="00F929FF">
      <w:pPr>
        <w:pStyle w:val="CommentText"/>
      </w:pPr>
      <w:r>
        <w:rPr>
          <w:rStyle w:val="CommentReference"/>
        </w:rPr>
        <w:annotationRef/>
      </w:r>
      <w:r>
        <w:t>objective</w:t>
      </w:r>
    </w:p>
  </w:comment>
  <w:comment w:id="1" w:author="Saskia Lynn DeRook Comess" w:date="2020-10-12T16:13:00Z" w:initials="SLDC">
    <w:p w14:paraId="7C61D307" w14:textId="2DC0D2E1" w:rsidR="00F929FF" w:rsidRDefault="00F929FF">
      <w:pPr>
        <w:pStyle w:val="CommentText"/>
      </w:pPr>
      <w:r>
        <w:rPr>
          <w:rStyle w:val="CommentReference"/>
        </w:rPr>
        <w:annotationRef/>
      </w:r>
      <w:r>
        <w:t>main results</w:t>
      </w:r>
    </w:p>
  </w:comment>
  <w:comment w:id="2" w:author="Saskia Lynn DeRook Comess" w:date="2020-10-12T16:13:00Z" w:initials="SLDC">
    <w:p w14:paraId="1555EE00" w14:textId="77CF83BB" w:rsidR="00F929FF" w:rsidRDefault="00F929FF">
      <w:pPr>
        <w:pStyle w:val="CommentText"/>
      </w:pPr>
      <w:r>
        <w:rPr>
          <w:rStyle w:val="CommentReference"/>
        </w:rPr>
        <w:annotationRef/>
      </w:r>
      <w:r>
        <w:t>model</w:t>
      </w:r>
    </w:p>
  </w:comment>
  <w:comment w:id="3" w:author="Saskia Lynn DeRook Comess" w:date="2020-10-12T16:21:00Z" w:initials="SLDC">
    <w:p w14:paraId="7FD747BD" w14:textId="61D53468" w:rsidR="00F929FF" w:rsidRDefault="00F929FF">
      <w:pPr>
        <w:pStyle w:val="CommentText"/>
      </w:pPr>
      <w:r>
        <w:rPr>
          <w:rStyle w:val="CommentReference"/>
        </w:rPr>
        <w:annotationRef/>
      </w:r>
      <w:r>
        <w:t>model details- need to read technical appendix</w:t>
      </w:r>
    </w:p>
  </w:comment>
  <w:comment w:id="4" w:author="Saskia Lynn DeRook Comess" w:date="2020-10-12T16:25:00Z" w:initials="SLDC">
    <w:p w14:paraId="709F6996" w14:textId="6C9215FF" w:rsidR="00F929FF" w:rsidRDefault="00F929FF">
      <w:pPr>
        <w:pStyle w:val="CommentText"/>
      </w:pPr>
      <w:r>
        <w:rPr>
          <w:rStyle w:val="CommentReference"/>
        </w:rPr>
        <w:annotationRef/>
      </w:r>
      <w:r>
        <w:t>this surprises me – I thought false positives almost never happened?? (false negatives common however)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46AEE5E" w15:done="0"/>
  <w15:commentEx w15:paraId="7C61D307" w15:done="0"/>
  <w15:commentEx w15:paraId="1555EE00" w15:done="0"/>
  <w15:commentEx w15:paraId="7FD747BD" w15:done="0"/>
  <w15:commentEx w15:paraId="709F699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2EFF13" w16cex:dateUtc="2020-10-12T20:13:00Z"/>
  <w16cex:commentExtensible w16cex:durableId="232EFF26" w16cex:dateUtc="2020-10-12T20:13:00Z"/>
  <w16cex:commentExtensible w16cex:durableId="232EFF2F" w16cex:dateUtc="2020-10-12T20:13:00Z"/>
  <w16cex:commentExtensible w16cex:durableId="232F0119" w16cex:dateUtc="2020-10-12T20:21:00Z"/>
  <w16cex:commentExtensible w16cex:durableId="232F01F6" w16cex:dateUtc="2020-10-12T20: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46AEE5E" w16cid:durableId="232EFF13"/>
  <w16cid:commentId w16cid:paraId="7C61D307" w16cid:durableId="232EFF26"/>
  <w16cid:commentId w16cid:paraId="1555EE00" w16cid:durableId="232EFF2F"/>
  <w16cid:commentId w16cid:paraId="7FD747BD" w16cid:durableId="232F0119"/>
  <w16cid:commentId w16cid:paraId="709F6996" w16cid:durableId="232F01F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80F879" w14:textId="77777777" w:rsidR="00740388" w:rsidRDefault="00740388" w:rsidP="001A4045">
      <w:r>
        <w:separator/>
      </w:r>
    </w:p>
  </w:endnote>
  <w:endnote w:type="continuationSeparator" w:id="0">
    <w:p w14:paraId="1284B9CA" w14:textId="77777777" w:rsidR="00740388" w:rsidRDefault="00740388" w:rsidP="001A40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532535" w14:textId="77777777" w:rsidR="00740388" w:rsidRDefault="00740388" w:rsidP="001A4045">
      <w:r>
        <w:separator/>
      </w:r>
    </w:p>
  </w:footnote>
  <w:footnote w:type="continuationSeparator" w:id="0">
    <w:p w14:paraId="50D57EDE" w14:textId="77777777" w:rsidR="00740388" w:rsidRDefault="00740388" w:rsidP="001A40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2E7ADD"/>
    <w:multiLevelType w:val="multilevel"/>
    <w:tmpl w:val="76447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C90415"/>
    <w:multiLevelType w:val="hybridMultilevel"/>
    <w:tmpl w:val="9C62F4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6F0ECA"/>
    <w:multiLevelType w:val="hybridMultilevel"/>
    <w:tmpl w:val="FE1E88B8"/>
    <w:lvl w:ilvl="0" w:tplc="8B3E6B24">
      <w:start w:val="1"/>
      <w:numFmt w:val="bullet"/>
      <w:lvlText w:val=""/>
      <w:lvlJc w:val="left"/>
      <w:pPr>
        <w:ind w:left="720" w:hanging="360"/>
      </w:pPr>
      <w:rPr>
        <w:rFonts w:ascii="Symbol" w:hAnsi="Symbol" w:hint="default"/>
      </w:rPr>
    </w:lvl>
    <w:lvl w:ilvl="1" w:tplc="AB4C2AA8">
      <w:start w:val="1"/>
      <w:numFmt w:val="bullet"/>
      <w:lvlText w:val="o"/>
      <w:lvlJc w:val="left"/>
      <w:pPr>
        <w:ind w:left="1440" w:hanging="360"/>
      </w:pPr>
      <w:rPr>
        <w:rFonts w:ascii="Courier New" w:hAnsi="Courier New" w:hint="default"/>
      </w:rPr>
    </w:lvl>
    <w:lvl w:ilvl="2" w:tplc="EF50607C">
      <w:start w:val="1"/>
      <w:numFmt w:val="bullet"/>
      <w:lvlText w:val=""/>
      <w:lvlJc w:val="left"/>
      <w:pPr>
        <w:ind w:left="2160" w:hanging="360"/>
      </w:pPr>
      <w:rPr>
        <w:rFonts w:ascii="Wingdings" w:hAnsi="Wingdings" w:hint="default"/>
      </w:rPr>
    </w:lvl>
    <w:lvl w:ilvl="3" w:tplc="0B762468">
      <w:start w:val="1"/>
      <w:numFmt w:val="bullet"/>
      <w:lvlText w:val=""/>
      <w:lvlJc w:val="left"/>
      <w:pPr>
        <w:ind w:left="2880" w:hanging="360"/>
      </w:pPr>
      <w:rPr>
        <w:rFonts w:ascii="Symbol" w:hAnsi="Symbol" w:hint="default"/>
      </w:rPr>
    </w:lvl>
    <w:lvl w:ilvl="4" w:tplc="0D608810">
      <w:start w:val="1"/>
      <w:numFmt w:val="bullet"/>
      <w:lvlText w:val="o"/>
      <w:lvlJc w:val="left"/>
      <w:pPr>
        <w:ind w:left="3600" w:hanging="360"/>
      </w:pPr>
      <w:rPr>
        <w:rFonts w:ascii="Courier New" w:hAnsi="Courier New" w:hint="default"/>
      </w:rPr>
    </w:lvl>
    <w:lvl w:ilvl="5" w:tplc="5E16C64C">
      <w:start w:val="1"/>
      <w:numFmt w:val="bullet"/>
      <w:lvlText w:val=""/>
      <w:lvlJc w:val="left"/>
      <w:pPr>
        <w:ind w:left="4320" w:hanging="360"/>
      </w:pPr>
      <w:rPr>
        <w:rFonts w:ascii="Wingdings" w:hAnsi="Wingdings" w:hint="default"/>
      </w:rPr>
    </w:lvl>
    <w:lvl w:ilvl="6" w:tplc="FA6CCDA6">
      <w:start w:val="1"/>
      <w:numFmt w:val="bullet"/>
      <w:lvlText w:val=""/>
      <w:lvlJc w:val="left"/>
      <w:pPr>
        <w:ind w:left="5040" w:hanging="360"/>
      </w:pPr>
      <w:rPr>
        <w:rFonts w:ascii="Symbol" w:hAnsi="Symbol" w:hint="default"/>
      </w:rPr>
    </w:lvl>
    <w:lvl w:ilvl="7" w:tplc="EADCB89E">
      <w:start w:val="1"/>
      <w:numFmt w:val="bullet"/>
      <w:lvlText w:val="o"/>
      <w:lvlJc w:val="left"/>
      <w:pPr>
        <w:ind w:left="5760" w:hanging="360"/>
      </w:pPr>
      <w:rPr>
        <w:rFonts w:ascii="Courier New" w:hAnsi="Courier New" w:hint="default"/>
      </w:rPr>
    </w:lvl>
    <w:lvl w:ilvl="8" w:tplc="318E8692">
      <w:start w:val="1"/>
      <w:numFmt w:val="bullet"/>
      <w:lvlText w:val=""/>
      <w:lvlJc w:val="left"/>
      <w:pPr>
        <w:ind w:left="6480" w:hanging="360"/>
      </w:pPr>
      <w:rPr>
        <w:rFonts w:ascii="Wingdings" w:hAnsi="Wingdings" w:hint="default"/>
      </w:rPr>
    </w:lvl>
  </w:abstractNum>
  <w:abstractNum w:abstractNumId="3" w15:restartNumberingAfterBreak="0">
    <w:nsid w:val="55B7155E"/>
    <w:multiLevelType w:val="hybridMultilevel"/>
    <w:tmpl w:val="7A4892AE"/>
    <w:lvl w:ilvl="0" w:tplc="C230504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8468B7"/>
    <w:multiLevelType w:val="hybridMultilevel"/>
    <w:tmpl w:val="5A40C8AE"/>
    <w:lvl w:ilvl="0" w:tplc="C230504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skia Lynn DeRook Comess">
    <w15:presenceInfo w15:providerId="AD" w15:userId="S::saskiaco@stanford.edu::3a8cb929-5eae-4938-acab-650c67d0e6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C60"/>
    <w:rsid w:val="000033FF"/>
    <w:rsid w:val="0000625A"/>
    <w:rsid w:val="00013324"/>
    <w:rsid w:val="00013DC4"/>
    <w:rsid w:val="00014075"/>
    <w:rsid w:val="00015C62"/>
    <w:rsid w:val="00017C9D"/>
    <w:rsid w:val="00021CB0"/>
    <w:rsid w:val="00025A14"/>
    <w:rsid w:val="00026BBB"/>
    <w:rsid w:val="000351EF"/>
    <w:rsid w:val="00037F13"/>
    <w:rsid w:val="0004286A"/>
    <w:rsid w:val="000460A6"/>
    <w:rsid w:val="00046139"/>
    <w:rsid w:val="00046FC6"/>
    <w:rsid w:val="0005248C"/>
    <w:rsid w:val="000573D4"/>
    <w:rsid w:val="00057D01"/>
    <w:rsid w:val="0006353F"/>
    <w:rsid w:val="0006506F"/>
    <w:rsid w:val="0006546B"/>
    <w:rsid w:val="00065F4D"/>
    <w:rsid w:val="000701DF"/>
    <w:rsid w:val="00070FB5"/>
    <w:rsid w:val="00071C38"/>
    <w:rsid w:val="00072B16"/>
    <w:rsid w:val="00074285"/>
    <w:rsid w:val="00074C87"/>
    <w:rsid w:val="000778F3"/>
    <w:rsid w:val="0008174F"/>
    <w:rsid w:val="000823E5"/>
    <w:rsid w:val="00082E4F"/>
    <w:rsid w:val="00083DAF"/>
    <w:rsid w:val="00084FA1"/>
    <w:rsid w:val="00085010"/>
    <w:rsid w:val="0009080E"/>
    <w:rsid w:val="00090BC7"/>
    <w:rsid w:val="0009441E"/>
    <w:rsid w:val="00095541"/>
    <w:rsid w:val="000A4363"/>
    <w:rsid w:val="000B1945"/>
    <w:rsid w:val="000B3275"/>
    <w:rsid w:val="000B5DC3"/>
    <w:rsid w:val="000B6758"/>
    <w:rsid w:val="000B6A23"/>
    <w:rsid w:val="000B7BAC"/>
    <w:rsid w:val="000C3100"/>
    <w:rsid w:val="000D1C78"/>
    <w:rsid w:val="000D1F6F"/>
    <w:rsid w:val="000D20BD"/>
    <w:rsid w:val="000D40D6"/>
    <w:rsid w:val="000D63F3"/>
    <w:rsid w:val="000D6F57"/>
    <w:rsid w:val="000D708D"/>
    <w:rsid w:val="000E0FC0"/>
    <w:rsid w:val="000E107C"/>
    <w:rsid w:val="000E210E"/>
    <w:rsid w:val="000E4350"/>
    <w:rsid w:val="000E50D5"/>
    <w:rsid w:val="000E50F0"/>
    <w:rsid w:val="000F0C36"/>
    <w:rsid w:val="000F104F"/>
    <w:rsid w:val="000F1716"/>
    <w:rsid w:val="000F76D1"/>
    <w:rsid w:val="001022A6"/>
    <w:rsid w:val="00103206"/>
    <w:rsid w:val="0010575A"/>
    <w:rsid w:val="00112F95"/>
    <w:rsid w:val="00115813"/>
    <w:rsid w:val="0011656B"/>
    <w:rsid w:val="001214DA"/>
    <w:rsid w:val="001249DA"/>
    <w:rsid w:val="001278AB"/>
    <w:rsid w:val="00130DEA"/>
    <w:rsid w:val="00130F96"/>
    <w:rsid w:val="00134629"/>
    <w:rsid w:val="00135A0F"/>
    <w:rsid w:val="001458D6"/>
    <w:rsid w:val="00146D03"/>
    <w:rsid w:val="001509C4"/>
    <w:rsid w:val="0015144C"/>
    <w:rsid w:val="00157008"/>
    <w:rsid w:val="001643FA"/>
    <w:rsid w:val="001650BE"/>
    <w:rsid w:val="00173BC2"/>
    <w:rsid w:val="001769EE"/>
    <w:rsid w:val="00177039"/>
    <w:rsid w:val="00181C18"/>
    <w:rsid w:val="00183E85"/>
    <w:rsid w:val="00185055"/>
    <w:rsid w:val="001857ED"/>
    <w:rsid w:val="00193D20"/>
    <w:rsid w:val="00194D13"/>
    <w:rsid w:val="001976EC"/>
    <w:rsid w:val="001A278C"/>
    <w:rsid w:val="001A365F"/>
    <w:rsid w:val="001A4045"/>
    <w:rsid w:val="001A5146"/>
    <w:rsid w:val="001A673C"/>
    <w:rsid w:val="001A6F76"/>
    <w:rsid w:val="001A7482"/>
    <w:rsid w:val="001B2106"/>
    <w:rsid w:val="001C04C7"/>
    <w:rsid w:val="001C1088"/>
    <w:rsid w:val="001C3113"/>
    <w:rsid w:val="001D037C"/>
    <w:rsid w:val="001D1C60"/>
    <w:rsid w:val="001D3371"/>
    <w:rsid w:val="001E6EA0"/>
    <w:rsid w:val="001E7B16"/>
    <w:rsid w:val="001F02E7"/>
    <w:rsid w:val="001F4B2C"/>
    <w:rsid w:val="00200B4D"/>
    <w:rsid w:val="00200BFB"/>
    <w:rsid w:val="00201B08"/>
    <w:rsid w:val="0020275E"/>
    <w:rsid w:val="002075E4"/>
    <w:rsid w:val="00207C5F"/>
    <w:rsid w:val="0021471E"/>
    <w:rsid w:val="00215413"/>
    <w:rsid w:val="0022464B"/>
    <w:rsid w:val="00224E1A"/>
    <w:rsid w:val="002254FF"/>
    <w:rsid w:val="002260B9"/>
    <w:rsid w:val="00226DB6"/>
    <w:rsid w:val="00237055"/>
    <w:rsid w:val="002372F4"/>
    <w:rsid w:val="00242C55"/>
    <w:rsid w:val="0024735C"/>
    <w:rsid w:val="00250024"/>
    <w:rsid w:val="0025422A"/>
    <w:rsid w:val="002549C6"/>
    <w:rsid w:val="0026079D"/>
    <w:rsid w:val="002607DA"/>
    <w:rsid w:val="002637B2"/>
    <w:rsid w:val="00263B4D"/>
    <w:rsid w:val="00263D80"/>
    <w:rsid w:val="00270A75"/>
    <w:rsid w:val="002729C1"/>
    <w:rsid w:val="00272BF5"/>
    <w:rsid w:val="00273DD2"/>
    <w:rsid w:val="00276D54"/>
    <w:rsid w:val="002776CC"/>
    <w:rsid w:val="00277EF0"/>
    <w:rsid w:val="00280DE9"/>
    <w:rsid w:val="002813E5"/>
    <w:rsid w:val="00281BC6"/>
    <w:rsid w:val="00285A93"/>
    <w:rsid w:val="0029207B"/>
    <w:rsid w:val="002925CB"/>
    <w:rsid w:val="002931C6"/>
    <w:rsid w:val="0029320C"/>
    <w:rsid w:val="00295882"/>
    <w:rsid w:val="00296758"/>
    <w:rsid w:val="002A48A1"/>
    <w:rsid w:val="002A6BD8"/>
    <w:rsid w:val="002B0CFA"/>
    <w:rsid w:val="002B2655"/>
    <w:rsid w:val="002B2D30"/>
    <w:rsid w:val="002B3F0F"/>
    <w:rsid w:val="002B5E35"/>
    <w:rsid w:val="002C14D1"/>
    <w:rsid w:val="002D0CE5"/>
    <w:rsid w:val="002D47D9"/>
    <w:rsid w:val="002E1F81"/>
    <w:rsid w:val="002E6991"/>
    <w:rsid w:val="002E7D13"/>
    <w:rsid w:val="002F122C"/>
    <w:rsid w:val="002F6B07"/>
    <w:rsid w:val="002F7B56"/>
    <w:rsid w:val="00301BFC"/>
    <w:rsid w:val="003024BE"/>
    <w:rsid w:val="00302D3E"/>
    <w:rsid w:val="003055BC"/>
    <w:rsid w:val="00306D05"/>
    <w:rsid w:val="00307121"/>
    <w:rsid w:val="00311193"/>
    <w:rsid w:val="00314DDA"/>
    <w:rsid w:val="003155AD"/>
    <w:rsid w:val="00322014"/>
    <w:rsid w:val="0032219F"/>
    <w:rsid w:val="00324FC2"/>
    <w:rsid w:val="0033036B"/>
    <w:rsid w:val="00331984"/>
    <w:rsid w:val="00331F61"/>
    <w:rsid w:val="00337F8A"/>
    <w:rsid w:val="00346454"/>
    <w:rsid w:val="003504ED"/>
    <w:rsid w:val="00352810"/>
    <w:rsid w:val="00352C32"/>
    <w:rsid w:val="00356849"/>
    <w:rsid w:val="003571C0"/>
    <w:rsid w:val="00357390"/>
    <w:rsid w:val="00360299"/>
    <w:rsid w:val="003607B5"/>
    <w:rsid w:val="00362152"/>
    <w:rsid w:val="0036245F"/>
    <w:rsid w:val="00363C87"/>
    <w:rsid w:val="003647AB"/>
    <w:rsid w:val="00365107"/>
    <w:rsid w:val="003665EA"/>
    <w:rsid w:val="00367038"/>
    <w:rsid w:val="00367573"/>
    <w:rsid w:val="00367995"/>
    <w:rsid w:val="0037089D"/>
    <w:rsid w:val="003736D3"/>
    <w:rsid w:val="003772D8"/>
    <w:rsid w:val="00380808"/>
    <w:rsid w:val="00385D82"/>
    <w:rsid w:val="003875B0"/>
    <w:rsid w:val="00392584"/>
    <w:rsid w:val="00394A6E"/>
    <w:rsid w:val="003A07EB"/>
    <w:rsid w:val="003B077C"/>
    <w:rsid w:val="003B1E32"/>
    <w:rsid w:val="003B4ED7"/>
    <w:rsid w:val="003B6842"/>
    <w:rsid w:val="003B7550"/>
    <w:rsid w:val="003C1E65"/>
    <w:rsid w:val="003C24DC"/>
    <w:rsid w:val="003C4FA2"/>
    <w:rsid w:val="003C6BE8"/>
    <w:rsid w:val="003D1122"/>
    <w:rsid w:val="003D25D3"/>
    <w:rsid w:val="003D2BB3"/>
    <w:rsid w:val="003D55F9"/>
    <w:rsid w:val="003E39BA"/>
    <w:rsid w:val="003F7799"/>
    <w:rsid w:val="004036BA"/>
    <w:rsid w:val="00404106"/>
    <w:rsid w:val="00404504"/>
    <w:rsid w:val="00405D76"/>
    <w:rsid w:val="00407DA1"/>
    <w:rsid w:val="004160EA"/>
    <w:rsid w:val="00420059"/>
    <w:rsid w:val="00420D68"/>
    <w:rsid w:val="00421667"/>
    <w:rsid w:val="004230DF"/>
    <w:rsid w:val="00430D61"/>
    <w:rsid w:val="00431A83"/>
    <w:rsid w:val="00433396"/>
    <w:rsid w:val="00435AB9"/>
    <w:rsid w:val="00436468"/>
    <w:rsid w:val="00436C36"/>
    <w:rsid w:val="004424A5"/>
    <w:rsid w:val="00454162"/>
    <w:rsid w:val="004550AC"/>
    <w:rsid w:val="004558D9"/>
    <w:rsid w:val="004564A3"/>
    <w:rsid w:val="00456751"/>
    <w:rsid w:val="004576C6"/>
    <w:rsid w:val="00457AD6"/>
    <w:rsid w:val="0046274C"/>
    <w:rsid w:val="00467C59"/>
    <w:rsid w:val="0047120E"/>
    <w:rsid w:val="00471F50"/>
    <w:rsid w:val="00473300"/>
    <w:rsid w:val="004733B7"/>
    <w:rsid w:val="00473B80"/>
    <w:rsid w:val="00473E44"/>
    <w:rsid w:val="004747C3"/>
    <w:rsid w:val="00475F7D"/>
    <w:rsid w:val="00476ABC"/>
    <w:rsid w:val="00477430"/>
    <w:rsid w:val="00480254"/>
    <w:rsid w:val="00480E6D"/>
    <w:rsid w:val="00481268"/>
    <w:rsid w:val="004870D5"/>
    <w:rsid w:val="004903BA"/>
    <w:rsid w:val="00492F59"/>
    <w:rsid w:val="00494979"/>
    <w:rsid w:val="004963C2"/>
    <w:rsid w:val="0049771E"/>
    <w:rsid w:val="004A0E44"/>
    <w:rsid w:val="004A1C8D"/>
    <w:rsid w:val="004B1489"/>
    <w:rsid w:val="004B1946"/>
    <w:rsid w:val="004B56E8"/>
    <w:rsid w:val="004C5900"/>
    <w:rsid w:val="004C6D1C"/>
    <w:rsid w:val="004D44DA"/>
    <w:rsid w:val="004D6AC1"/>
    <w:rsid w:val="004D73D5"/>
    <w:rsid w:val="004E3DBE"/>
    <w:rsid w:val="004E7A3C"/>
    <w:rsid w:val="004E7C8E"/>
    <w:rsid w:val="004F11F9"/>
    <w:rsid w:val="004F1D1E"/>
    <w:rsid w:val="004F4CED"/>
    <w:rsid w:val="004F59C6"/>
    <w:rsid w:val="004F5C12"/>
    <w:rsid w:val="00501700"/>
    <w:rsid w:val="0050286A"/>
    <w:rsid w:val="005033A6"/>
    <w:rsid w:val="00513237"/>
    <w:rsid w:val="00514F84"/>
    <w:rsid w:val="00520063"/>
    <w:rsid w:val="00522EE0"/>
    <w:rsid w:val="00534ADC"/>
    <w:rsid w:val="005407E1"/>
    <w:rsid w:val="0054234F"/>
    <w:rsid w:val="00547F9E"/>
    <w:rsid w:val="00560BE9"/>
    <w:rsid w:val="00561411"/>
    <w:rsid w:val="00565828"/>
    <w:rsid w:val="005659C9"/>
    <w:rsid w:val="00572D3B"/>
    <w:rsid w:val="00575410"/>
    <w:rsid w:val="005756A0"/>
    <w:rsid w:val="00575CB5"/>
    <w:rsid w:val="00576DE8"/>
    <w:rsid w:val="00580EAD"/>
    <w:rsid w:val="00586B47"/>
    <w:rsid w:val="005927E8"/>
    <w:rsid w:val="00592BB1"/>
    <w:rsid w:val="00595976"/>
    <w:rsid w:val="00597F3E"/>
    <w:rsid w:val="005A104F"/>
    <w:rsid w:val="005A2F33"/>
    <w:rsid w:val="005A4468"/>
    <w:rsid w:val="005A626B"/>
    <w:rsid w:val="005B0EB4"/>
    <w:rsid w:val="005B1480"/>
    <w:rsid w:val="005B158A"/>
    <w:rsid w:val="005B1E1C"/>
    <w:rsid w:val="005B38E2"/>
    <w:rsid w:val="005B3C59"/>
    <w:rsid w:val="005B3D56"/>
    <w:rsid w:val="005B5EA0"/>
    <w:rsid w:val="005B7B9C"/>
    <w:rsid w:val="005C086D"/>
    <w:rsid w:val="005C203E"/>
    <w:rsid w:val="005C75ED"/>
    <w:rsid w:val="005D00A0"/>
    <w:rsid w:val="005D0988"/>
    <w:rsid w:val="005D1F56"/>
    <w:rsid w:val="005D5FEE"/>
    <w:rsid w:val="005D638E"/>
    <w:rsid w:val="005F0814"/>
    <w:rsid w:val="005F0F19"/>
    <w:rsid w:val="005F38EC"/>
    <w:rsid w:val="005F3DC0"/>
    <w:rsid w:val="005F486F"/>
    <w:rsid w:val="005F694F"/>
    <w:rsid w:val="00603087"/>
    <w:rsid w:val="0060558E"/>
    <w:rsid w:val="00606154"/>
    <w:rsid w:val="006127EE"/>
    <w:rsid w:val="006134E4"/>
    <w:rsid w:val="00614FEA"/>
    <w:rsid w:val="006210D7"/>
    <w:rsid w:val="0062189A"/>
    <w:rsid w:val="00622145"/>
    <w:rsid w:val="00624A91"/>
    <w:rsid w:val="00626B95"/>
    <w:rsid w:val="00626E65"/>
    <w:rsid w:val="0062700E"/>
    <w:rsid w:val="00627A0A"/>
    <w:rsid w:val="00630547"/>
    <w:rsid w:val="006332B7"/>
    <w:rsid w:val="0063556E"/>
    <w:rsid w:val="00643027"/>
    <w:rsid w:val="00660E2C"/>
    <w:rsid w:val="00661C1A"/>
    <w:rsid w:val="00662BF8"/>
    <w:rsid w:val="006674D7"/>
    <w:rsid w:val="00667A33"/>
    <w:rsid w:val="00670AAB"/>
    <w:rsid w:val="0067130F"/>
    <w:rsid w:val="00671E63"/>
    <w:rsid w:val="00672021"/>
    <w:rsid w:val="00672060"/>
    <w:rsid w:val="0067435E"/>
    <w:rsid w:val="00675D58"/>
    <w:rsid w:val="006760E7"/>
    <w:rsid w:val="00676AC6"/>
    <w:rsid w:val="006826EE"/>
    <w:rsid w:val="00687C15"/>
    <w:rsid w:val="00690235"/>
    <w:rsid w:val="006911F3"/>
    <w:rsid w:val="006920B9"/>
    <w:rsid w:val="00692D08"/>
    <w:rsid w:val="00692F9A"/>
    <w:rsid w:val="006936AA"/>
    <w:rsid w:val="00694562"/>
    <w:rsid w:val="006A46C4"/>
    <w:rsid w:val="006A6210"/>
    <w:rsid w:val="006C481B"/>
    <w:rsid w:val="006D0B14"/>
    <w:rsid w:val="006D5215"/>
    <w:rsid w:val="006D63FC"/>
    <w:rsid w:val="006D7153"/>
    <w:rsid w:val="006E11C0"/>
    <w:rsid w:val="006E4D90"/>
    <w:rsid w:val="006E5B5F"/>
    <w:rsid w:val="006E5FC6"/>
    <w:rsid w:val="006E7F30"/>
    <w:rsid w:val="006F1059"/>
    <w:rsid w:val="006F44F6"/>
    <w:rsid w:val="006F4D25"/>
    <w:rsid w:val="006F6179"/>
    <w:rsid w:val="006F6BA7"/>
    <w:rsid w:val="007005F8"/>
    <w:rsid w:val="007028D3"/>
    <w:rsid w:val="0070350F"/>
    <w:rsid w:val="0070476B"/>
    <w:rsid w:val="0070534C"/>
    <w:rsid w:val="007061E9"/>
    <w:rsid w:val="00707A3A"/>
    <w:rsid w:val="00716A4B"/>
    <w:rsid w:val="00716E38"/>
    <w:rsid w:val="00720B0E"/>
    <w:rsid w:val="007215FE"/>
    <w:rsid w:val="00721B5B"/>
    <w:rsid w:val="00723E55"/>
    <w:rsid w:val="007274C3"/>
    <w:rsid w:val="007303F8"/>
    <w:rsid w:val="007330F9"/>
    <w:rsid w:val="00736278"/>
    <w:rsid w:val="007401DE"/>
    <w:rsid w:val="00740388"/>
    <w:rsid w:val="00750B71"/>
    <w:rsid w:val="0076050C"/>
    <w:rsid w:val="007615F0"/>
    <w:rsid w:val="00762704"/>
    <w:rsid w:val="00767C5E"/>
    <w:rsid w:val="007711F1"/>
    <w:rsid w:val="007766FD"/>
    <w:rsid w:val="00776C09"/>
    <w:rsid w:val="00780683"/>
    <w:rsid w:val="007874A3"/>
    <w:rsid w:val="007904D7"/>
    <w:rsid w:val="00790C81"/>
    <w:rsid w:val="00792AFF"/>
    <w:rsid w:val="007A0DC5"/>
    <w:rsid w:val="007A487B"/>
    <w:rsid w:val="007A4A5B"/>
    <w:rsid w:val="007A4C77"/>
    <w:rsid w:val="007B3232"/>
    <w:rsid w:val="007B3FAE"/>
    <w:rsid w:val="007B62C4"/>
    <w:rsid w:val="007B6A6B"/>
    <w:rsid w:val="007C0567"/>
    <w:rsid w:val="007C46D3"/>
    <w:rsid w:val="007C5705"/>
    <w:rsid w:val="007D0AB6"/>
    <w:rsid w:val="007D53EE"/>
    <w:rsid w:val="007D666E"/>
    <w:rsid w:val="007D74C9"/>
    <w:rsid w:val="007D793A"/>
    <w:rsid w:val="007E0B63"/>
    <w:rsid w:val="007E0BC9"/>
    <w:rsid w:val="007E18A2"/>
    <w:rsid w:val="007E21FD"/>
    <w:rsid w:val="007E24CE"/>
    <w:rsid w:val="007E2793"/>
    <w:rsid w:val="007E4457"/>
    <w:rsid w:val="007E6B30"/>
    <w:rsid w:val="007F215F"/>
    <w:rsid w:val="007F2625"/>
    <w:rsid w:val="007F3E3D"/>
    <w:rsid w:val="007F3EE3"/>
    <w:rsid w:val="007F723D"/>
    <w:rsid w:val="008016E7"/>
    <w:rsid w:val="00806A89"/>
    <w:rsid w:val="0081022F"/>
    <w:rsid w:val="00813988"/>
    <w:rsid w:val="00814D6B"/>
    <w:rsid w:val="008159B3"/>
    <w:rsid w:val="00820E1A"/>
    <w:rsid w:val="00830AEC"/>
    <w:rsid w:val="0085481C"/>
    <w:rsid w:val="008570B4"/>
    <w:rsid w:val="00861E33"/>
    <w:rsid w:val="00861E87"/>
    <w:rsid w:val="00864AE9"/>
    <w:rsid w:val="00864CC6"/>
    <w:rsid w:val="008664BF"/>
    <w:rsid w:val="0087323D"/>
    <w:rsid w:val="0088033F"/>
    <w:rsid w:val="00880D7D"/>
    <w:rsid w:val="00883D85"/>
    <w:rsid w:val="00885AC9"/>
    <w:rsid w:val="00886DB7"/>
    <w:rsid w:val="008907AC"/>
    <w:rsid w:val="0089148A"/>
    <w:rsid w:val="008923C7"/>
    <w:rsid w:val="00892BAA"/>
    <w:rsid w:val="008942E3"/>
    <w:rsid w:val="00894605"/>
    <w:rsid w:val="00895FDB"/>
    <w:rsid w:val="00897CF7"/>
    <w:rsid w:val="008A3C5B"/>
    <w:rsid w:val="008A4BD0"/>
    <w:rsid w:val="008A68DC"/>
    <w:rsid w:val="008B14DE"/>
    <w:rsid w:val="008B3468"/>
    <w:rsid w:val="008B6F2D"/>
    <w:rsid w:val="008C5FDA"/>
    <w:rsid w:val="008D1E44"/>
    <w:rsid w:val="008D23D2"/>
    <w:rsid w:val="008D4B18"/>
    <w:rsid w:val="008D7D30"/>
    <w:rsid w:val="008F028E"/>
    <w:rsid w:val="008F1F13"/>
    <w:rsid w:val="008F2D69"/>
    <w:rsid w:val="008F4D34"/>
    <w:rsid w:val="008F5CE3"/>
    <w:rsid w:val="008F74BA"/>
    <w:rsid w:val="00900D82"/>
    <w:rsid w:val="00903096"/>
    <w:rsid w:val="0090592A"/>
    <w:rsid w:val="009071EB"/>
    <w:rsid w:val="0091105B"/>
    <w:rsid w:val="00913FD2"/>
    <w:rsid w:val="00916AC5"/>
    <w:rsid w:val="0092143F"/>
    <w:rsid w:val="00922DC9"/>
    <w:rsid w:val="0092476D"/>
    <w:rsid w:val="00927245"/>
    <w:rsid w:val="009325BA"/>
    <w:rsid w:val="00932801"/>
    <w:rsid w:val="00933CC4"/>
    <w:rsid w:val="00934D34"/>
    <w:rsid w:val="00935060"/>
    <w:rsid w:val="009372E8"/>
    <w:rsid w:val="00941523"/>
    <w:rsid w:val="00943ED9"/>
    <w:rsid w:val="0094600C"/>
    <w:rsid w:val="00950760"/>
    <w:rsid w:val="009521FC"/>
    <w:rsid w:val="009567C4"/>
    <w:rsid w:val="00966988"/>
    <w:rsid w:val="00967309"/>
    <w:rsid w:val="00972701"/>
    <w:rsid w:val="00977F3B"/>
    <w:rsid w:val="00984F9D"/>
    <w:rsid w:val="009855E8"/>
    <w:rsid w:val="00985734"/>
    <w:rsid w:val="00986683"/>
    <w:rsid w:val="00990E7D"/>
    <w:rsid w:val="00993CE3"/>
    <w:rsid w:val="0099541A"/>
    <w:rsid w:val="009968F2"/>
    <w:rsid w:val="009A0B94"/>
    <w:rsid w:val="009A194E"/>
    <w:rsid w:val="009A1CED"/>
    <w:rsid w:val="009A4680"/>
    <w:rsid w:val="009A5508"/>
    <w:rsid w:val="009A6AC3"/>
    <w:rsid w:val="009B02CA"/>
    <w:rsid w:val="009B36F3"/>
    <w:rsid w:val="009B50B1"/>
    <w:rsid w:val="009B521C"/>
    <w:rsid w:val="009B704E"/>
    <w:rsid w:val="009B7AF4"/>
    <w:rsid w:val="009C08B7"/>
    <w:rsid w:val="009C198C"/>
    <w:rsid w:val="009D167C"/>
    <w:rsid w:val="009D1FB8"/>
    <w:rsid w:val="009D41AA"/>
    <w:rsid w:val="009E1520"/>
    <w:rsid w:val="009E15F0"/>
    <w:rsid w:val="009E6A4A"/>
    <w:rsid w:val="009F06D7"/>
    <w:rsid w:val="009F2DAA"/>
    <w:rsid w:val="009F50B1"/>
    <w:rsid w:val="009F6B9E"/>
    <w:rsid w:val="009F7AFD"/>
    <w:rsid w:val="00A009C7"/>
    <w:rsid w:val="00A05692"/>
    <w:rsid w:val="00A07A9D"/>
    <w:rsid w:val="00A108C9"/>
    <w:rsid w:val="00A13197"/>
    <w:rsid w:val="00A16518"/>
    <w:rsid w:val="00A17E36"/>
    <w:rsid w:val="00A21F3C"/>
    <w:rsid w:val="00A2679D"/>
    <w:rsid w:val="00A32EE0"/>
    <w:rsid w:val="00A33452"/>
    <w:rsid w:val="00A35252"/>
    <w:rsid w:val="00A407AA"/>
    <w:rsid w:val="00A4084B"/>
    <w:rsid w:val="00A44FDB"/>
    <w:rsid w:val="00A463D7"/>
    <w:rsid w:val="00A475FC"/>
    <w:rsid w:val="00A54268"/>
    <w:rsid w:val="00A54EF9"/>
    <w:rsid w:val="00A6476A"/>
    <w:rsid w:val="00A70749"/>
    <w:rsid w:val="00A70C4E"/>
    <w:rsid w:val="00A71EF6"/>
    <w:rsid w:val="00A72A9C"/>
    <w:rsid w:val="00A74920"/>
    <w:rsid w:val="00A74FB8"/>
    <w:rsid w:val="00A7546B"/>
    <w:rsid w:val="00A76304"/>
    <w:rsid w:val="00A76852"/>
    <w:rsid w:val="00A8050A"/>
    <w:rsid w:val="00A830D0"/>
    <w:rsid w:val="00A90F56"/>
    <w:rsid w:val="00A95716"/>
    <w:rsid w:val="00A962B8"/>
    <w:rsid w:val="00A9734F"/>
    <w:rsid w:val="00AA19E6"/>
    <w:rsid w:val="00AA2EE9"/>
    <w:rsid w:val="00AA3300"/>
    <w:rsid w:val="00AA3A5B"/>
    <w:rsid w:val="00AA6876"/>
    <w:rsid w:val="00AB46AD"/>
    <w:rsid w:val="00AB4AC6"/>
    <w:rsid w:val="00AB5C42"/>
    <w:rsid w:val="00AC07A7"/>
    <w:rsid w:val="00AC135C"/>
    <w:rsid w:val="00AC29D1"/>
    <w:rsid w:val="00AC4712"/>
    <w:rsid w:val="00AC72B5"/>
    <w:rsid w:val="00AD0B5B"/>
    <w:rsid w:val="00AD2F04"/>
    <w:rsid w:val="00AD609B"/>
    <w:rsid w:val="00AE58FD"/>
    <w:rsid w:val="00AF0EE3"/>
    <w:rsid w:val="00AF1EBE"/>
    <w:rsid w:val="00AF25D7"/>
    <w:rsid w:val="00AF33F9"/>
    <w:rsid w:val="00AF5EB1"/>
    <w:rsid w:val="00B02706"/>
    <w:rsid w:val="00B115BF"/>
    <w:rsid w:val="00B122DC"/>
    <w:rsid w:val="00B14D71"/>
    <w:rsid w:val="00B17537"/>
    <w:rsid w:val="00B1770D"/>
    <w:rsid w:val="00B2043D"/>
    <w:rsid w:val="00B23FD0"/>
    <w:rsid w:val="00B25D95"/>
    <w:rsid w:val="00B32030"/>
    <w:rsid w:val="00B32E64"/>
    <w:rsid w:val="00B45586"/>
    <w:rsid w:val="00B47640"/>
    <w:rsid w:val="00B476F7"/>
    <w:rsid w:val="00B47A81"/>
    <w:rsid w:val="00B53FDF"/>
    <w:rsid w:val="00B6587A"/>
    <w:rsid w:val="00B71F26"/>
    <w:rsid w:val="00B720CC"/>
    <w:rsid w:val="00B72EFF"/>
    <w:rsid w:val="00B736FC"/>
    <w:rsid w:val="00B75C89"/>
    <w:rsid w:val="00B75E60"/>
    <w:rsid w:val="00B76678"/>
    <w:rsid w:val="00B76E27"/>
    <w:rsid w:val="00B828DE"/>
    <w:rsid w:val="00B918BA"/>
    <w:rsid w:val="00B91E1B"/>
    <w:rsid w:val="00B941C5"/>
    <w:rsid w:val="00B96833"/>
    <w:rsid w:val="00BA2821"/>
    <w:rsid w:val="00BA65D6"/>
    <w:rsid w:val="00BB09E9"/>
    <w:rsid w:val="00BB1658"/>
    <w:rsid w:val="00BB3F1E"/>
    <w:rsid w:val="00BB5B87"/>
    <w:rsid w:val="00BB6224"/>
    <w:rsid w:val="00BC02A5"/>
    <w:rsid w:val="00BC0410"/>
    <w:rsid w:val="00BC1B51"/>
    <w:rsid w:val="00BC381A"/>
    <w:rsid w:val="00BD0580"/>
    <w:rsid w:val="00BD05EF"/>
    <w:rsid w:val="00BD2970"/>
    <w:rsid w:val="00BE223E"/>
    <w:rsid w:val="00BE2820"/>
    <w:rsid w:val="00BE36B9"/>
    <w:rsid w:val="00BE535D"/>
    <w:rsid w:val="00BE5EC8"/>
    <w:rsid w:val="00BE722A"/>
    <w:rsid w:val="00BF50B1"/>
    <w:rsid w:val="00C0311C"/>
    <w:rsid w:val="00C04B63"/>
    <w:rsid w:val="00C0594A"/>
    <w:rsid w:val="00C1278A"/>
    <w:rsid w:val="00C14A24"/>
    <w:rsid w:val="00C14F98"/>
    <w:rsid w:val="00C16D0E"/>
    <w:rsid w:val="00C1719A"/>
    <w:rsid w:val="00C2108F"/>
    <w:rsid w:val="00C2244F"/>
    <w:rsid w:val="00C26C1A"/>
    <w:rsid w:val="00C329D0"/>
    <w:rsid w:val="00C34C93"/>
    <w:rsid w:val="00C353B4"/>
    <w:rsid w:val="00C36BCC"/>
    <w:rsid w:val="00C4317F"/>
    <w:rsid w:val="00C43C79"/>
    <w:rsid w:val="00C461DD"/>
    <w:rsid w:val="00C47EF1"/>
    <w:rsid w:val="00C52830"/>
    <w:rsid w:val="00C55F63"/>
    <w:rsid w:val="00C6158A"/>
    <w:rsid w:val="00C61C5D"/>
    <w:rsid w:val="00C6257E"/>
    <w:rsid w:val="00C7104A"/>
    <w:rsid w:val="00C71AAF"/>
    <w:rsid w:val="00C71BF3"/>
    <w:rsid w:val="00C80444"/>
    <w:rsid w:val="00C80494"/>
    <w:rsid w:val="00C83E71"/>
    <w:rsid w:val="00C851EB"/>
    <w:rsid w:val="00C86E06"/>
    <w:rsid w:val="00C94CD4"/>
    <w:rsid w:val="00C977D8"/>
    <w:rsid w:val="00CA0330"/>
    <w:rsid w:val="00CA1BD4"/>
    <w:rsid w:val="00CA4660"/>
    <w:rsid w:val="00CA771C"/>
    <w:rsid w:val="00CB2098"/>
    <w:rsid w:val="00CB337B"/>
    <w:rsid w:val="00CB6FFC"/>
    <w:rsid w:val="00CC00DA"/>
    <w:rsid w:val="00CC0CEC"/>
    <w:rsid w:val="00CC1209"/>
    <w:rsid w:val="00CC2D10"/>
    <w:rsid w:val="00CC3A8B"/>
    <w:rsid w:val="00CC6041"/>
    <w:rsid w:val="00CD094C"/>
    <w:rsid w:val="00CD1B6A"/>
    <w:rsid w:val="00CD510E"/>
    <w:rsid w:val="00CD55F8"/>
    <w:rsid w:val="00CD6578"/>
    <w:rsid w:val="00CE3A17"/>
    <w:rsid w:val="00CE47C8"/>
    <w:rsid w:val="00CE7018"/>
    <w:rsid w:val="00CF0A85"/>
    <w:rsid w:val="00CF2159"/>
    <w:rsid w:val="00D005ED"/>
    <w:rsid w:val="00D019D9"/>
    <w:rsid w:val="00D021A0"/>
    <w:rsid w:val="00D02AF8"/>
    <w:rsid w:val="00D0572C"/>
    <w:rsid w:val="00D05C92"/>
    <w:rsid w:val="00D0624C"/>
    <w:rsid w:val="00D1113D"/>
    <w:rsid w:val="00D11E2E"/>
    <w:rsid w:val="00D12161"/>
    <w:rsid w:val="00D140DC"/>
    <w:rsid w:val="00D162C1"/>
    <w:rsid w:val="00D16FE1"/>
    <w:rsid w:val="00D2435D"/>
    <w:rsid w:val="00D24DCB"/>
    <w:rsid w:val="00D3036A"/>
    <w:rsid w:val="00D30FE3"/>
    <w:rsid w:val="00D3521D"/>
    <w:rsid w:val="00D41357"/>
    <w:rsid w:val="00D450C7"/>
    <w:rsid w:val="00D45642"/>
    <w:rsid w:val="00D524DD"/>
    <w:rsid w:val="00D563ED"/>
    <w:rsid w:val="00D65927"/>
    <w:rsid w:val="00D67350"/>
    <w:rsid w:val="00D7128B"/>
    <w:rsid w:val="00D72461"/>
    <w:rsid w:val="00D733CE"/>
    <w:rsid w:val="00D8379A"/>
    <w:rsid w:val="00D94B94"/>
    <w:rsid w:val="00DA25DC"/>
    <w:rsid w:val="00DA2BFF"/>
    <w:rsid w:val="00DA6BD2"/>
    <w:rsid w:val="00DA7461"/>
    <w:rsid w:val="00DB11A1"/>
    <w:rsid w:val="00DB1421"/>
    <w:rsid w:val="00DB1C57"/>
    <w:rsid w:val="00DB2EB2"/>
    <w:rsid w:val="00DB3288"/>
    <w:rsid w:val="00DB6131"/>
    <w:rsid w:val="00DB7137"/>
    <w:rsid w:val="00DC15FD"/>
    <w:rsid w:val="00DC48CE"/>
    <w:rsid w:val="00DC4CA7"/>
    <w:rsid w:val="00DC554E"/>
    <w:rsid w:val="00DC60B1"/>
    <w:rsid w:val="00DC661D"/>
    <w:rsid w:val="00DD1054"/>
    <w:rsid w:val="00DD171D"/>
    <w:rsid w:val="00DD2D3F"/>
    <w:rsid w:val="00DD419D"/>
    <w:rsid w:val="00DD6040"/>
    <w:rsid w:val="00DE700A"/>
    <w:rsid w:val="00DE7440"/>
    <w:rsid w:val="00DF0907"/>
    <w:rsid w:val="00DF1539"/>
    <w:rsid w:val="00DF24D1"/>
    <w:rsid w:val="00DF4098"/>
    <w:rsid w:val="00DF6F6F"/>
    <w:rsid w:val="00E00F9C"/>
    <w:rsid w:val="00E04616"/>
    <w:rsid w:val="00E079A6"/>
    <w:rsid w:val="00E17427"/>
    <w:rsid w:val="00E178F2"/>
    <w:rsid w:val="00E21D0E"/>
    <w:rsid w:val="00E21FCE"/>
    <w:rsid w:val="00E249AC"/>
    <w:rsid w:val="00E26D21"/>
    <w:rsid w:val="00E30C16"/>
    <w:rsid w:val="00E32768"/>
    <w:rsid w:val="00E33066"/>
    <w:rsid w:val="00E40732"/>
    <w:rsid w:val="00E40C86"/>
    <w:rsid w:val="00E43BD6"/>
    <w:rsid w:val="00E47865"/>
    <w:rsid w:val="00E503E0"/>
    <w:rsid w:val="00E60F93"/>
    <w:rsid w:val="00E6407D"/>
    <w:rsid w:val="00E674C6"/>
    <w:rsid w:val="00E7062D"/>
    <w:rsid w:val="00E749CE"/>
    <w:rsid w:val="00E80F7D"/>
    <w:rsid w:val="00E81D00"/>
    <w:rsid w:val="00E8308D"/>
    <w:rsid w:val="00E84B10"/>
    <w:rsid w:val="00E85F79"/>
    <w:rsid w:val="00E87C78"/>
    <w:rsid w:val="00E90813"/>
    <w:rsid w:val="00E94E09"/>
    <w:rsid w:val="00E95199"/>
    <w:rsid w:val="00E95D59"/>
    <w:rsid w:val="00EA0C02"/>
    <w:rsid w:val="00EA2D7C"/>
    <w:rsid w:val="00EA3C05"/>
    <w:rsid w:val="00EA5440"/>
    <w:rsid w:val="00EB30AA"/>
    <w:rsid w:val="00EB4145"/>
    <w:rsid w:val="00EB6385"/>
    <w:rsid w:val="00EB6B54"/>
    <w:rsid w:val="00EC0E34"/>
    <w:rsid w:val="00EC29DF"/>
    <w:rsid w:val="00EC3F37"/>
    <w:rsid w:val="00EC4652"/>
    <w:rsid w:val="00EC46A2"/>
    <w:rsid w:val="00ED05DF"/>
    <w:rsid w:val="00ED0FF3"/>
    <w:rsid w:val="00EE44F6"/>
    <w:rsid w:val="00EE5D9F"/>
    <w:rsid w:val="00EF1604"/>
    <w:rsid w:val="00EF5AD6"/>
    <w:rsid w:val="00F00EC8"/>
    <w:rsid w:val="00F018D5"/>
    <w:rsid w:val="00F059D8"/>
    <w:rsid w:val="00F06DA3"/>
    <w:rsid w:val="00F079F2"/>
    <w:rsid w:val="00F1159C"/>
    <w:rsid w:val="00F11666"/>
    <w:rsid w:val="00F125BD"/>
    <w:rsid w:val="00F140F3"/>
    <w:rsid w:val="00F20B0F"/>
    <w:rsid w:val="00F22A9F"/>
    <w:rsid w:val="00F24C8A"/>
    <w:rsid w:val="00F36067"/>
    <w:rsid w:val="00F3722F"/>
    <w:rsid w:val="00F41D13"/>
    <w:rsid w:val="00F4276C"/>
    <w:rsid w:val="00F44ED8"/>
    <w:rsid w:val="00F478C8"/>
    <w:rsid w:val="00F50635"/>
    <w:rsid w:val="00F5368C"/>
    <w:rsid w:val="00F6637D"/>
    <w:rsid w:val="00F6646E"/>
    <w:rsid w:val="00F719AE"/>
    <w:rsid w:val="00F72C8F"/>
    <w:rsid w:val="00F7475E"/>
    <w:rsid w:val="00F765D1"/>
    <w:rsid w:val="00F82FAE"/>
    <w:rsid w:val="00F862D2"/>
    <w:rsid w:val="00F90294"/>
    <w:rsid w:val="00F9089A"/>
    <w:rsid w:val="00F929FF"/>
    <w:rsid w:val="00F95362"/>
    <w:rsid w:val="00F97C59"/>
    <w:rsid w:val="00FA1B8C"/>
    <w:rsid w:val="00FA3A6F"/>
    <w:rsid w:val="00FA4C4F"/>
    <w:rsid w:val="00FB05E1"/>
    <w:rsid w:val="00FB1A5D"/>
    <w:rsid w:val="00FB1F88"/>
    <w:rsid w:val="00FC28CB"/>
    <w:rsid w:val="00FC6607"/>
    <w:rsid w:val="00FD5935"/>
    <w:rsid w:val="00FE26B8"/>
    <w:rsid w:val="00FE272C"/>
    <w:rsid w:val="00FE4132"/>
    <w:rsid w:val="00FF0539"/>
    <w:rsid w:val="00FF22FD"/>
    <w:rsid w:val="00FF54D0"/>
    <w:rsid w:val="00FF791B"/>
    <w:rsid w:val="00FF7BDC"/>
    <w:rsid w:val="29E81229"/>
    <w:rsid w:val="5885873D"/>
    <w:rsid w:val="6412F46A"/>
    <w:rsid w:val="7897BC07"/>
    <w:rsid w:val="7970C8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D494B2E"/>
  <w15:docId w15:val="{05A45E71-385B-4041-94A7-57B747CB1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700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B4E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1">
    <w:name w:val="Plain Table 21"/>
    <w:basedOn w:val="TableNormal"/>
    <w:uiPriority w:val="42"/>
    <w:rsid w:val="0009080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7711F1"/>
    <w:pPr>
      <w:ind w:left="720"/>
      <w:contextualSpacing/>
    </w:pPr>
  </w:style>
  <w:style w:type="paragraph" w:styleId="Header">
    <w:name w:val="header"/>
    <w:basedOn w:val="Normal"/>
    <w:link w:val="HeaderChar"/>
    <w:uiPriority w:val="99"/>
    <w:unhideWhenUsed/>
    <w:rsid w:val="001A4045"/>
    <w:pPr>
      <w:tabs>
        <w:tab w:val="center" w:pos="4320"/>
        <w:tab w:val="right" w:pos="8640"/>
      </w:tabs>
    </w:pPr>
  </w:style>
  <w:style w:type="character" w:customStyle="1" w:styleId="HeaderChar">
    <w:name w:val="Header Char"/>
    <w:basedOn w:val="DefaultParagraphFont"/>
    <w:link w:val="Header"/>
    <w:uiPriority w:val="99"/>
    <w:rsid w:val="001A4045"/>
    <w:rPr>
      <w:rFonts w:ascii="Times New Roman" w:eastAsia="Times New Roman" w:hAnsi="Times New Roman" w:cs="Times New Roman"/>
    </w:rPr>
  </w:style>
  <w:style w:type="paragraph" w:styleId="Footer">
    <w:name w:val="footer"/>
    <w:basedOn w:val="Normal"/>
    <w:link w:val="FooterChar"/>
    <w:uiPriority w:val="99"/>
    <w:unhideWhenUsed/>
    <w:rsid w:val="001A4045"/>
    <w:pPr>
      <w:tabs>
        <w:tab w:val="center" w:pos="4320"/>
        <w:tab w:val="right" w:pos="8640"/>
      </w:tabs>
    </w:pPr>
  </w:style>
  <w:style w:type="character" w:customStyle="1" w:styleId="FooterChar">
    <w:name w:val="Footer Char"/>
    <w:basedOn w:val="DefaultParagraphFont"/>
    <w:link w:val="Footer"/>
    <w:uiPriority w:val="99"/>
    <w:rsid w:val="001A4045"/>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BA2821"/>
    <w:rPr>
      <w:sz w:val="18"/>
      <w:szCs w:val="18"/>
    </w:rPr>
  </w:style>
  <w:style w:type="paragraph" w:styleId="CommentText">
    <w:name w:val="annotation text"/>
    <w:basedOn w:val="Normal"/>
    <w:link w:val="CommentTextChar"/>
    <w:uiPriority w:val="99"/>
    <w:semiHidden/>
    <w:unhideWhenUsed/>
    <w:rsid w:val="00BA2821"/>
  </w:style>
  <w:style w:type="character" w:customStyle="1" w:styleId="CommentTextChar">
    <w:name w:val="Comment Text Char"/>
    <w:basedOn w:val="DefaultParagraphFont"/>
    <w:link w:val="CommentText"/>
    <w:uiPriority w:val="99"/>
    <w:semiHidden/>
    <w:rsid w:val="00BA2821"/>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sid w:val="00BA2821"/>
    <w:rPr>
      <w:b/>
      <w:bCs/>
      <w:sz w:val="20"/>
      <w:szCs w:val="20"/>
    </w:rPr>
  </w:style>
  <w:style w:type="character" w:customStyle="1" w:styleId="CommentSubjectChar">
    <w:name w:val="Comment Subject Char"/>
    <w:basedOn w:val="CommentTextChar"/>
    <w:link w:val="CommentSubject"/>
    <w:uiPriority w:val="99"/>
    <w:semiHidden/>
    <w:rsid w:val="00BA2821"/>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BA28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A2821"/>
    <w:rPr>
      <w:rFonts w:ascii="Lucida Grande" w:eastAsia="Times New Roman" w:hAnsi="Lucida Grande" w:cs="Lucida Grande"/>
      <w:sz w:val="18"/>
      <w:szCs w:val="18"/>
    </w:rPr>
  </w:style>
  <w:style w:type="character" w:styleId="Emphasis">
    <w:name w:val="Emphasis"/>
    <w:basedOn w:val="DefaultParagraphFont"/>
    <w:uiPriority w:val="20"/>
    <w:qFormat/>
    <w:rsid w:val="00E079A6"/>
    <w:rPr>
      <w:i/>
      <w:iCs/>
    </w:rPr>
  </w:style>
  <w:style w:type="character" w:styleId="LineNumber">
    <w:name w:val="line number"/>
    <w:basedOn w:val="DefaultParagraphFont"/>
    <w:uiPriority w:val="99"/>
    <w:semiHidden/>
    <w:unhideWhenUsed/>
    <w:rsid w:val="001D037C"/>
  </w:style>
  <w:style w:type="character" w:styleId="Hyperlink">
    <w:name w:val="Hyperlink"/>
    <w:basedOn w:val="DefaultParagraphFont"/>
    <w:uiPriority w:val="99"/>
    <w:unhideWhenUsed/>
    <w:rsid w:val="007E2793"/>
    <w:rPr>
      <w:color w:val="0563C1" w:themeColor="hyperlink"/>
      <w:u w:val="single"/>
    </w:rPr>
  </w:style>
  <w:style w:type="table" w:styleId="LightShading">
    <w:name w:val="Light Shading"/>
    <w:basedOn w:val="TableNormal"/>
    <w:uiPriority w:val="60"/>
    <w:rsid w:val="004A0E4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Revision">
    <w:name w:val="Revision"/>
    <w:hidden/>
    <w:uiPriority w:val="99"/>
    <w:semiHidden/>
    <w:rsid w:val="006E7F30"/>
    <w:rPr>
      <w:rFonts w:ascii="Times New Roman" w:eastAsia="Times New Roman" w:hAnsi="Times New Roman" w:cs="Times New Roman"/>
    </w:rPr>
  </w:style>
  <w:style w:type="table" w:customStyle="1" w:styleId="PlainTable211">
    <w:name w:val="Plain Table 211"/>
    <w:basedOn w:val="TableNormal"/>
    <w:uiPriority w:val="42"/>
    <w:rsid w:val="009372E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68008">
      <w:bodyDiv w:val="1"/>
      <w:marLeft w:val="0"/>
      <w:marRight w:val="0"/>
      <w:marTop w:val="0"/>
      <w:marBottom w:val="0"/>
      <w:divBdr>
        <w:top w:val="none" w:sz="0" w:space="0" w:color="auto"/>
        <w:left w:val="none" w:sz="0" w:space="0" w:color="auto"/>
        <w:bottom w:val="none" w:sz="0" w:space="0" w:color="auto"/>
        <w:right w:val="none" w:sz="0" w:space="0" w:color="auto"/>
      </w:divBdr>
    </w:div>
    <w:div w:id="67920276">
      <w:bodyDiv w:val="1"/>
      <w:marLeft w:val="0"/>
      <w:marRight w:val="0"/>
      <w:marTop w:val="0"/>
      <w:marBottom w:val="0"/>
      <w:divBdr>
        <w:top w:val="none" w:sz="0" w:space="0" w:color="auto"/>
        <w:left w:val="none" w:sz="0" w:space="0" w:color="auto"/>
        <w:bottom w:val="none" w:sz="0" w:space="0" w:color="auto"/>
        <w:right w:val="none" w:sz="0" w:space="0" w:color="auto"/>
      </w:divBdr>
    </w:div>
    <w:div w:id="95714038">
      <w:bodyDiv w:val="1"/>
      <w:marLeft w:val="0"/>
      <w:marRight w:val="0"/>
      <w:marTop w:val="0"/>
      <w:marBottom w:val="0"/>
      <w:divBdr>
        <w:top w:val="none" w:sz="0" w:space="0" w:color="auto"/>
        <w:left w:val="none" w:sz="0" w:space="0" w:color="auto"/>
        <w:bottom w:val="none" w:sz="0" w:space="0" w:color="auto"/>
        <w:right w:val="none" w:sz="0" w:space="0" w:color="auto"/>
      </w:divBdr>
    </w:div>
    <w:div w:id="221327333">
      <w:bodyDiv w:val="1"/>
      <w:marLeft w:val="0"/>
      <w:marRight w:val="0"/>
      <w:marTop w:val="0"/>
      <w:marBottom w:val="0"/>
      <w:divBdr>
        <w:top w:val="none" w:sz="0" w:space="0" w:color="auto"/>
        <w:left w:val="none" w:sz="0" w:space="0" w:color="auto"/>
        <w:bottom w:val="none" w:sz="0" w:space="0" w:color="auto"/>
        <w:right w:val="none" w:sz="0" w:space="0" w:color="auto"/>
      </w:divBdr>
    </w:div>
    <w:div w:id="258178629">
      <w:bodyDiv w:val="1"/>
      <w:marLeft w:val="0"/>
      <w:marRight w:val="0"/>
      <w:marTop w:val="0"/>
      <w:marBottom w:val="0"/>
      <w:divBdr>
        <w:top w:val="none" w:sz="0" w:space="0" w:color="auto"/>
        <w:left w:val="none" w:sz="0" w:space="0" w:color="auto"/>
        <w:bottom w:val="none" w:sz="0" w:space="0" w:color="auto"/>
        <w:right w:val="none" w:sz="0" w:space="0" w:color="auto"/>
      </w:divBdr>
    </w:div>
    <w:div w:id="274338100">
      <w:bodyDiv w:val="1"/>
      <w:marLeft w:val="0"/>
      <w:marRight w:val="0"/>
      <w:marTop w:val="0"/>
      <w:marBottom w:val="0"/>
      <w:divBdr>
        <w:top w:val="none" w:sz="0" w:space="0" w:color="auto"/>
        <w:left w:val="none" w:sz="0" w:space="0" w:color="auto"/>
        <w:bottom w:val="none" w:sz="0" w:space="0" w:color="auto"/>
        <w:right w:val="none" w:sz="0" w:space="0" w:color="auto"/>
      </w:divBdr>
      <w:divsChild>
        <w:div w:id="121122726">
          <w:marLeft w:val="446"/>
          <w:marRight w:val="0"/>
          <w:marTop w:val="0"/>
          <w:marBottom w:val="0"/>
          <w:divBdr>
            <w:top w:val="none" w:sz="0" w:space="0" w:color="auto"/>
            <w:left w:val="none" w:sz="0" w:space="0" w:color="auto"/>
            <w:bottom w:val="none" w:sz="0" w:space="0" w:color="auto"/>
            <w:right w:val="none" w:sz="0" w:space="0" w:color="auto"/>
          </w:divBdr>
        </w:div>
        <w:div w:id="626399644">
          <w:marLeft w:val="446"/>
          <w:marRight w:val="0"/>
          <w:marTop w:val="0"/>
          <w:marBottom w:val="0"/>
          <w:divBdr>
            <w:top w:val="none" w:sz="0" w:space="0" w:color="auto"/>
            <w:left w:val="none" w:sz="0" w:space="0" w:color="auto"/>
            <w:bottom w:val="none" w:sz="0" w:space="0" w:color="auto"/>
            <w:right w:val="none" w:sz="0" w:space="0" w:color="auto"/>
          </w:divBdr>
        </w:div>
        <w:div w:id="944920078">
          <w:marLeft w:val="446"/>
          <w:marRight w:val="0"/>
          <w:marTop w:val="0"/>
          <w:marBottom w:val="0"/>
          <w:divBdr>
            <w:top w:val="none" w:sz="0" w:space="0" w:color="auto"/>
            <w:left w:val="none" w:sz="0" w:space="0" w:color="auto"/>
            <w:bottom w:val="none" w:sz="0" w:space="0" w:color="auto"/>
            <w:right w:val="none" w:sz="0" w:space="0" w:color="auto"/>
          </w:divBdr>
        </w:div>
        <w:div w:id="970940958">
          <w:marLeft w:val="446"/>
          <w:marRight w:val="0"/>
          <w:marTop w:val="0"/>
          <w:marBottom w:val="0"/>
          <w:divBdr>
            <w:top w:val="none" w:sz="0" w:space="0" w:color="auto"/>
            <w:left w:val="none" w:sz="0" w:space="0" w:color="auto"/>
            <w:bottom w:val="none" w:sz="0" w:space="0" w:color="auto"/>
            <w:right w:val="none" w:sz="0" w:space="0" w:color="auto"/>
          </w:divBdr>
        </w:div>
      </w:divsChild>
    </w:div>
    <w:div w:id="303586209">
      <w:bodyDiv w:val="1"/>
      <w:marLeft w:val="0"/>
      <w:marRight w:val="0"/>
      <w:marTop w:val="0"/>
      <w:marBottom w:val="0"/>
      <w:divBdr>
        <w:top w:val="none" w:sz="0" w:space="0" w:color="auto"/>
        <w:left w:val="none" w:sz="0" w:space="0" w:color="auto"/>
        <w:bottom w:val="none" w:sz="0" w:space="0" w:color="auto"/>
        <w:right w:val="none" w:sz="0" w:space="0" w:color="auto"/>
      </w:divBdr>
      <w:divsChild>
        <w:div w:id="908884910">
          <w:marLeft w:val="0"/>
          <w:marRight w:val="0"/>
          <w:marTop w:val="0"/>
          <w:marBottom w:val="0"/>
          <w:divBdr>
            <w:top w:val="none" w:sz="0" w:space="0" w:color="auto"/>
            <w:left w:val="none" w:sz="0" w:space="0" w:color="auto"/>
            <w:bottom w:val="none" w:sz="0" w:space="0" w:color="auto"/>
            <w:right w:val="none" w:sz="0" w:space="0" w:color="auto"/>
          </w:divBdr>
        </w:div>
      </w:divsChild>
    </w:div>
    <w:div w:id="373236145">
      <w:bodyDiv w:val="1"/>
      <w:marLeft w:val="0"/>
      <w:marRight w:val="0"/>
      <w:marTop w:val="0"/>
      <w:marBottom w:val="0"/>
      <w:divBdr>
        <w:top w:val="none" w:sz="0" w:space="0" w:color="auto"/>
        <w:left w:val="none" w:sz="0" w:space="0" w:color="auto"/>
        <w:bottom w:val="none" w:sz="0" w:space="0" w:color="auto"/>
        <w:right w:val="none" w:sz="0" w:space="0" w:color="auto"/>
      </w:divBdr>
    </w:div>
    <w:div w:id="490364527">
      <w:bodyDiv w:val="1"/>
      <w:marLeft w:val="0"/>
      <w:marRight w:val="0"/>
      <w:marTop w:val="0"/>
      <w:marBottom w:val="0"/>
      <w:divBdr>
        <w:top w:val="none" w:sz="0" w:space="0" w:color="auto"/>
        <w:left w:val="none" w:sz="0" w:space="0" w:color="auto"/>
        <w:bottom w:val="none" w:sz="0" w:space="0" w:color="auto"/>
        <w:right w:val="none" w:sz="0" w:space="0" w:color="auto"/>
      </w:divBdr>
    </w:div>
    <w:div w:id="507718561">
      <w:bodyDiv w:val="1"/>
      <w:marLeft w:val="0"/>
      <w:marRight w:val="0"/>
      <w:marTop w:val="0"/>
      <w:marBottom w:val="0"/>
      <w:divBdr>
        <w:top w:val="none" w:sz="0" w:space="0" w:color="auto"/>
        <w:left w:val="none" w:sz="0" w:space="0" w:color="auto"/>
        <w:bottom w:val="none" w:sz="0" w:space="0" w:color="auto"/>
        <w:right w:val="none" w:sz="0" w:space="0" w:color="auto"/>
      </w:divBdr>
    </w:div>
    <w:div w:id="558637306">
      <w:bodyDiv w:val="1"/>
      <w:marLeft w:val="0"/>
      <w:marRight w:val="0"/>
      <w:marTop w:val="0"/>
      <w:marBottom w:val="0"/>
      <w:divBdr>
        <w:top w:val="none" w:sz="0" w:space="0" w:color="auto"/>
        <w:left w:val="none" w:sz="0" w:space="0" w:color="auto"/>
        <w:bottom w:val="none" w:sz="0" w:space="0" w:color="auto"/>
        <w:right w:val="none" w:sz="0" w:space="0" w:color="auto"/>
      </w:divBdr>
    </w:div>
    <w:div w:id="614017435">
      <w:bodyDiv w:val="1"/>
      <w:marLeft w:val="0"/>
      <w:marRight w:val="0"/>
      <w:marTop w:val="0"/>
      <w:marBottom w:val="0"/>
      <w:divBdr>
        <w:top w:val="none" w:sz="0" w:space="0" w:color="auto"/>
        <w:left w:val="none" w:sz="0" w:space="0" w:color="auto"/>
        <w:bottom w:val="none" w:sz="0" w:space="0" w:color="auto"/>
        <w:right w:val="none" w:sz="0" w:space="0" w:color="auto"/>
      </w:divBdr>
    </w:div>
    <w:div w:id="630207637">
      <w:bodyDiv w:val="1"/>
      <w:marLeft w:val="0"/>
      <w:marRight w:val="0"/>
      <w:marTop w:val="0"/>
      <w:marBottom w:val="0"/>
      <w:divBdr>
        <w:top w:val="none" w:sz="0" w:space="0" w:color="auto"/>
        <w:left w:val="none" w:sz="0" w:space="0" w:color="auto"/>
        <w:bottom w:val="none" w:sz="0" w:space="0" w:color="auto"/>
        <w:right w:val="none" w:sz="0" w:space="0" w:color="auto"/>
      </w:divBdr>
    </w:div>
    <w:div w:id="687487632">
      <w:bodyDiv w:val="1"/>
      <w:marLeft w:val="0"/>
      <w:marRight w:val="0"/>
      <w:marTop w:val="0"/>
      <w:marBottom w:val="0"/>
      <w:divBdr>
        <w:top w:val="none" w:sz="0" w:space="0" w:color="auto"/>
        <w:left w:val="none" w:sz="0" w:space="0" w:color="auto"/>
        <w:bottom w:val="none" w:sz="0" w:space="0" w:color="auto"/>
        <w:right w:val="none" w:sz="0" w:space="0" w:color="auto"/>
      </w:divBdr>
      <w:divsChild>
        <w:div w:id="51198704">
          <w:marLeft w:val="0"/>
          <w:marRight w:val="0"/>
          <w:marTop w:val="0"/>
          <w:marBottom w:val="0"/>
          <w:divBdr>
            <w:top w:val="none" w:sz="0" w:space="0" w:color="auto"/>
            <w:left w:val="none" w:sz="0" w:space="0" w:color="auto"/>
            <w:bottom w:val="none" w:sz="0" w:space="0" w:color="auto"/>
            <w:right w:val="none" w:sz="0" w:space="0" w:color="auto"/>
          </w:divBdr>
          <w:divsChild>
            <w:div w:id="1596935710">
              <w:marLeft w:val="0"/>
              <w:marRight w:val="0"/>
              <w:marTop w:val="0"/>
              <w:marBottom w:val="0"/>
              <w:divBdr>
                <w:top w:val="none" w:sz="0" w:space="0" w:color="auto"/>
                <w:left w:val="none" w:sz="0" w:space="0" w:color="auto"/>
                <w:bottom w:val="none" w:sz="0" w:space="0" w:color="auto"/>
                <w:right w:val="none" w:sz="0" w:space="0" w:color="auto"/>
              </w:divBdr>
              <w:divsChild>
                <w:div w:id="125439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437788">
      <w:bodyDiv w:val="1"/>
      <w:marLeft w:val="0"/>
      <w:marRight w:val="0"/>
      <w:marTop w:val="0"/>
      <w:marBottom w:val="0"/>
      <w:divBdr>
        <w:top w:val="none" w:sz="0" w:space="0" w:color="auto"/>
        <w:left w:val="none" w:sz="0" w:space="0" w:color="auto"/>
        <w:bottom w:val="none" w:sz="0" w:space="0" w:color="auto"/>
        <w:right w:val="none" w:sz="0" w:space="0" w:color="auto"/>
      </w:divBdr>
    </w:div>
    <w:div w:id="726297884">
      <w:bodyDiv w:val="1"/>
      <w:marLeft w:val="0"/>
      <w:marRight w:val="0"/>
      <w:marTop w:val="0"/>
      <w:marBottom w:val="0"/>
      <w:divBdr>
        <w:top w:val="none" w:sz="0" w:space="0" w:color="auto"/>
        <w:left w:val="none" w:sz="0" w:space="0" w:color="auto"/>
        <w:bottom w:val="none" w:sz="0" w:space="0" w:color="auto"/>
        <w:right w:val="none" w:sz="0" w:space="0" w:color="auto"/>
      </w:divBdr>
    </w:div>
    <w:div w:id="766658468">
      <w:bodyDiv w:val="1"/>
      <w:marLeft w:val="0"/>
      <w:marRight w:val="0"/>
      <w:marTop w:val="0"/>
      <w:marBottom w:val="0"/>
      <w:divBdr>
        <w:top w:val="none" w:sz="0" w:space="0" w:color="auto"/>
        <w:left w:val="none" w:sz="0" w:space="0" w:color="auto"/>
        <w:bottom w:val="none" w:sz="0" w:space="0" w:color="auto"/>
        <w:right w:val="none" w:sz="0" w:space="0" w:color="auto"/>
      </w:divBdr>
    </w:div>
    <w:div w:id="806049520">
      <w:bodyDiv w:val="1"/>
      <w:marLeft w:val="0"/>
      <w:marRight w:val="0"/>
      <w:marTop w:val="0"/>
      <w:marBottom w:val="0"/>
      <w:divBdr>
        <w:top w:val="none" w:sz="0" w:space="0" w:color="auto"/>
        <w:left w:val="none" w:sz="0" w:space="0" w:color="auto"/>
        <w:bottom w:val="none" w:sz="0" w:space="0" w:color="auto"/>
        <w:right w:val="none" w:sz="0" w:space="0" w:color="auto"/>
      </w:divBdr>
    </w:div>
    <w:div w:id="853154232">
      <w:bodyDiv w:val="1"/>
      <w:marLeft w:val="0"/>
      <w:marRight w:val="0"/>
      <w:marTop w:val="0"/>
      <w:marBottom w:val="0"/>
      <w:divBdr>
        <w:top w:val="none" w:sz="0" w:space="0" w:color="auto"/>
        <w:left w:val="none" w:sz="0" w:space="0" w:color="auto"/>
        <w:bottom w:val="none" w:sz="0" w:space="0" w:color="auto"/>
        <w:right w:val="none" w:sz="0" w:space="0" w:color="auto"/>
      </w:divBdr>
    </w:div>
    <w:div w:id="901519624">
      <w:bodyDiv w:val="1"/>
      <w:marLeft w:val="0"/>
      <w:marRight w:val="0"/>
      <w:marTop w:val="0"/>
      <w:marBottom w:val="0"/>
      <w:divBdr>
        <w:top w:val="none" w:sz="0" w:space="0" w:color="auto"/>
        <w:left w:val="none" w:sz="0" w:space="0" w:color="auto"/>
        <w:bottom w:val="none" w:sz="0" w:space="0" w:color="auto"/>
        <w:right w:val="none" w:sz="0" w:space="0" w:color="auto"/>
      </w:divBdr>
    </w:div>
    <w:div w:id="919409717">
      <w:bodyDiv w:val="1"/>
      <w:marLeft w:val="0"/>
      <w:marRight w:val="0"/>
      <w:marTop w:val="0"/>
      <w:marBottom w:val="0"/>
      <w:divBdr>
        <w:top w:val="none" w:sz="0" w:space="0" w:color="auto"/>
        <w:left w:val="none" w:sz="0" w:space="0" w:color="auto"/>
        <w:bottom w:val="none" w:sz="0" w:space="0" w:color="auto"/>
        <w:right w:val="none" w:sz="0" w:space="0" w:color="auto"/>
      </w:divBdr>
    </w:div>
    <w:div w:id="923953935">
      <w:bodyDiv w:val="1"/>
      <w:marLeft w:val="0"/>
      <w:marRight w:val="0"/>
      <w:marTop w:val="0"/>
      <w:marBottom w:val="0"/>
      <w:divBdr>
        <w:top w:val="none" w:sz="0" w:space="0" w:color="auto"/>
        <w:left w:val="none" w:sz="0" w:space="0" w:color="auto"/>
        <w:bottom w:val="none" w:sz="0" w:space="0" w:color="auto"/>
        <w:right w:val="none" w:sz="0" w:space="0" w:color="auto"/>
      </w:divBdr>
    </w:div>
    <w:div w:id="1023022128">
      <w:bodyDiv w:val="1"/>
      <w:marLeft w:val="0"/>
      <w:marRight w:val="0"/>
      <w:marTop w:val="0"/>
      <w:marBottom w:val="0"/>
      <w:divBdr>
        <w:top w:val="none" w:sz="0" w:space="0" w:color="auto"/>
        <w:left w:val="none" w:sz="0" w:space="0" w:color="auto"/>
        <w:bottom w:val="none" w:sz="0" w:space="0" w:color="auto"/>
        <w:right w:val="none" w:sz="0" w:space="0" w:color="auto"/>
      </w:divBdr>
    </w:div>
    <w:div w:id="1054506376">
      <w:bodyDiv w:val="1"/>
      <w:marLeft w:val="0"/>
      <w:marRight w:val="0"/>
      <w:marTop w:val="0"/>
      <w:marBottom w:val="0"/>
      <w:divBdr>
        <w:top w:val="none" w:sz="0" w:space="0" w:color="auto"/>
        <w:left w:val="none" w:sz="0" w:space="0" w:color="auto"/>
        <w:bottom w:val="none" w:sz="0" w:space="0" w:color="auto"/>
        <w:right w:val="none" w:sz="0" w:space="0" w:color="auto"/>
      </w:divBdr>
    </w:div>
    <w:div w:id="1169902930">
      <w:bodyDiv w:val="1"/>
      <w:marLeft w:val="0"/>
      <w:marRight w:val="0"/>
      <w:marTop w:val="0"/>
      <w:marBottom w:val="0"/>
      <w:divBdr>
        <w:top w:val="none" w:sz="0" w:space="0" w:color="auto"/>
        <w:left w:val="none" w:sz="0" w:space="0" w:color="auto"/>
        <w:bottom w:val="none" w:sz="0" w:space="0" w:color="auto"/>
        <w:right w:val="none" w:sz="0" w:space="0" w:color="auto"/>
      </w:divBdr>
    </w:div>
    <w:div w:id="1172523162">
      <w:bodyDiv w:val="1"/>
      <w:marLeft w:val="0"/>
      <w:marRight w:val="0"/>
      <w:marTop w:val="0"/>
      <w:marBottom w:val="0"/>
      <w:divBdr>
        <w:top w:val="none" w:sz="0" w:space="0" w:color="auto"/>
        <w:left w:val="none" w:sz="0" w:space="0" w:color="auto"/>
        <w:bottom w:val="none" w:sz="0" w:space="0" w:color="auto"/>
        <w:right w:val="none" w:sz="0" w:space="0" w:color="auto"/>
      </w:divBdr>
    </w:div>
    <w:div w:id="1196120677">
      <w:bodyDiv w:val="1"/>
      <w:marLeft w:val="0"/>
      <w:marRight w:val="0"/>
      <w:marTop w:val="0"/>
      <w:marBottom w:val="0"/>
      <w:divBdr>
        <w:top w:val="none" w:sz="0" w:space="0" w:color="auto"/>
        <w:left w:val="none" w:sz="0" w:space="0" w:color="auto"/>
        <w:bottom w:val="none" w:sz="0" w:space="0" w:color="auto"/>
        <w:right w:val="none" w:sz="0" w:space="0" w:color="auto"/>
      </w:divBdr>
    </w:div>
    <w:div w:id="1309437713">
      <w:bodyDiv w:val="1"/>
      <w:marLeft w:val="0"/>
      <w:marRight w:val="0"/>
      <w:marTop w:val="0"/>
      <w:marBottom w:val="0"/>
      <w:divBdr>
        <w:top w:val="none" w:sz="0" w:space="0" w:color="auto"/>
        <w:left w:val="none" w:sz="0" w:space="0" w:color="auto"/>
        <w:bottom w:val="none" w:sz="0" w:space="0" w:color="auto"/>
        <w:right w:val="none" w:sz="0" w:space="0" w:color="auto"/>
      </w:divBdr>
      <w:divsChild>
        <w:div w:id="1208950595">
          <w:marLeft w:val="0"/>
          <w:marRight w:val="0"/>
          <w:marTop w:val="0"/>
          <w:marBottom w:val="0"/>
          <w:divBdr>
            <w:top w:val="none" w:sz="0" w:space="0" w:color="auto"/>
            <w:left w:val="none" w:sz="0" w:space="0" w:color="auto"/>
            <w:bottom w:val="none" w:sz="0" w:space="0" w:color="auto"/>
            <w:right w:val="none" w:sz="0" w:space="0" w:color="auto"/>
          </w:divBdr>
          <w:divsChild>
            <w:div w:id="1455641137">
              <w:marLeft w:val="0"/>
              <w:marRight w:val="0"/>
              <w:marTop w:val="0"/>
              <w:marBottom w:val="0"/>
              <w:divBdr>
                <w:top w:val="none" w:sz="0" w:space="0" w:color="auto"/>
                <w:left w:val="none" w:sz="0" w:space="0" w:color="auto"/>
                <w:bottom w:val="none" w:sz="0" w:space="0" w:color="auto"/>
                <w:right w:val="none" w:sz="0" w:space="0" w:color="auto"/>
              </w:divBdr>
              <w:divsChild>
                <w:div w:id="176502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64981">
      <w:bodyDiv w:val="1"/>
      <w:marLeft w:val="0"/>
      <w:marRight w:val="0"/>
      <w:marTop w:val="0"/>
      <w:marBottom w:val="0"/>
      <w:divBdr>
        <w:top w:val="none" w:sz="0" w:space="0" w:color="auto"/>
        <w:left w:val="none" w:sz="0" w:space="0" w:color="auto"/>
        <w:bottom w:val="none" w:sz="0" w:space="0" w:color="auto"/>
        <w:right w:val="none" w:sz="0" w:space="0" w:color="auto"/>
      </w:divBdr>
    </w:div>
    <w:div w:id="1385326002">
      <w:bodyDiv w:val="1"/>
      <w:marLeft w:val="0"/>
      <w:marRight w:val="0"/>
      <w:marTop w:val="0"/>
      <w:marBottom w:val="0"/>
      <w:divBdr>
        <w:top w:val="none" w:sz="0" w:space="0" w:color="auto"/>
        <w:left w:val="none" w:sz="0" w:space="0" w:color="auto"/>
        <w:bottom w:val="none" w:sz="0" w:space="0" w:color="auto"/>
        <w:right w:val="none" w:sz="0" w:space="0" w:color="auto"/>
      </w:divBdr>
    </w:div>
    <w:div w:id="1396851411">
      <w:bodyDiv w:val="1"/>
      <w:marLeft w:val="0"/>
      <w:marRight w:val="0"/>
      <w:marTop w:val="0"/>
      <w:marBottom w:val="0"/>
      <w:divBdr>
        <w:top w:val="none" w:sz="0" w:space="0" w:color="auto"/>
        <w:left w:val="none" w:sz="0" w:space="0" w:color="auto"/>
        <w:bottom w:val="none" w:sz="0" w:space="0" w:color="auto"/>
        <w:right w:val="none" w:sz="0" w:space="0" w:color="auto"/>
      </w:divBdr>
    </w:div>
    <w:div w:id="1419593831">
      <w:bodyDiv w:val="1"/>
      <w:marLeft w:val="0"/>
      <w:marRight w:val="0"/>
      <w:marTop w:val="0"/>
      <w:marBottom w:val="0"/>
      <w:divBdr>
        <w:top w:val="none" w:sz="0" w:space="0" w:color="auto"/>
        <w:left w:val="none" w:sz="0" w:space="0" w:color="auto"/>
        <w:bottom w:val="none" w:sz="0" w:space="0" w:color="auto"/>
        <w:right w:val="none" w:sz="0" w:space="0" w:color="auto"/>
      </w:divBdr>
    </w:div>
    <w:div w:id="1454862148">
      <w:bodyDiv w:val="1"/>
      <w:marLeft w:val="0"/>
      <w:marRight w:val="0"/>
      <w:marTop w:val="0"/>
      <w:marBottom w:val="0"/>
      <w:divBdr>
        <w:top w:val="none" w:sz="0" w:space="0" w:color="auto"/>
        <w:left w:val="none" w:sz="0" w:space="0" w:color="auto"/>
        <w:bottom w:val="none" w:sz="0" w:space="0" w:color="auto"/>
        <w:right w:val="none" w:sz="0" w:space="0" w:color="auto"/>
      </w:divBdr>
    </w:div>
    <w:div w:id="1498498987">
      <w:bodyDiv w:val="1"/>
      <w:marLeft w:val="0"/>
      <w:marRight w:val="0"/>
      <w:marTop w:val="0"/>
      <w:marBottom w:val="0"/>
      <w:divBdr>
        <w:top w:val="none" w:sz="0" w:space="0" w:color="auto"/>
        <w:left w:val="none" w:sz="0" w:space="0" w:color="auto"/>
        <w:bottom w:val="none" w:sz="0" w:space="0" w:color="auto"/>
        <w:right w:val="none" w:sz="0" w:space="0" w:color="auto"/>
      </w:divBdr>
    </w:div>
    <w:div w:id="1551648891">
      <w:bodyDiv w:val="1"/>
      <w:marLeft w:val="0"/>
      <w:marRight w:val="0"/>
      <w:marTop w:val="0"/>
      <w:marBottom w:val="0"/>
      <w:divBdr>
        <w:top w:val="none" w:sz="0" w:space="0" w:color="auto"/>
        <w:left w:val="none" w:sz="0" w:space="0" w:color="auto"/>
        <w:bottom w:val="none" w:sz="0" w:space="0" w:color="auto"/>
        <w:right w:val="none" w:sz="0" w:space="0" w:color="auto"/>
      </w:divBdr>
    </w:div>
    <w:div w:id="1597058799">
      <w:bodyDiv w:val="1"/>
      <w:marLeft w:val="0"/>
      <w:marRight w:val="0"/>
      <w:marTop w:val="0"/>
      <w:marBottom w:val="0"/>
      <w:divBdr>
        <w:top w:val="none" w:sz="0" w:space="0" w:color="auto"/>
        <w:left w:val="none" w:sz="0" w:space="0" w:color="auto"/>
        <w:bottom w:val="none" w:sz="0" w:space="0" w:color="auto"/>
        <w:right w:val="none" w:sz="0" w:space="0" w:color="auto"/>
      </w:divBdr>
    </w:div>
    <w:div w:id="1609317567">
      <w:bodyDiv w:val="1"/>
      <w:marLeft w:val="0"/>
      <w:marRight w:val="0"/>
      <w:marTop w:val="0"/>
      <w:marBottom w:val="0"/>
      <w:divBdr>
        <w:top w:val="none" w:sz="0" w:space="0" w:color="auto"/>
        <w:left w:val="none" w:sz="0" w:space="0" w:color="auto"/>
        <w:bottom w:val="none" w:sz="0" w:space="0" w:color="auto"/>
        <w:right w:val="none" w:sz="0" w:space="0" w:color="auto"/>
      </w:divBdr>
      <w:divsChild>
        <w:div w:id="457992635">
          <w:marLeft w:val="0"/>
          <w:marRight w:val="0"/>
          <w:marTop w:val="0"/>
          <w:marBottom w:val="0"/>
          <w:divBdr>
            <w:top w:val="none" w:sz="0" w:space="0" w:color="auto"/>
            <w:left w:val="none" w:sz="0" w:space="0" w:color="auto"/>
            <w:bottom w:val="none" w:sz="0" w:space="0" w:color="auto"/>
            <w:right w:val="none" w:sz="0" w:space="0" w:color="auto"/>
          </w:divBdr>
          <w:divsChild>
            <w:div w:id="743843219">
              <w:marLeft w:val="0"/>
              <w:marRight w:val="0"/>
              <w:marTop w:val="0"/>
              <w:marBottom w:val="0"/>
              <w:divBdr>
                <w:top w:val="none" w:sz="0" w:space="0" w:color="auto"/>
                <w:left w:val="none" w:sz="0" w:space="0" w:color="auto"/>
                <w:bottom w:val="none" w:sz="0" w:space="0" w:color="auto"/>
                <w:right w:val="none" w:sz="0" w:space="0" w:color="auto"/>
              </w:divBdr>
              <w:divsChild>
                <w:div w:id="168986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447801">
      <w:bodyDiv w:val="1"/>
      <w:marLeft w:val="0"/>
      <w:marRight w:val="0"/>
      <w:marTop w:val="0"/>
      <w:marBottom w:val="0"/>
      <w:divBdr>
        <w:top w:val="none" w:sz="0" w:space="0" w:color="auto"/>
        <w:left w:val="none" w:sz="0" w:space="0" w:color="auto"/>
        <w:bottom w:val="none" w:sz="0" w:space="0" w:color="auto"/>
        <w:right w:val="none" w:sz="0" w:space="0" w:color="auto"/>
      </w:divBdr>
      <w:divsChild>
        <w:div w:id="433401518">
          <w:marLeft w:val="0"/>
          <w:marRight w:val="0"/>
          <w:marTop w:val="0"/>
          <w:marBottom w:val="0"/>
          <w:divBdr>
            <w:top w:val="none" w:sz="0" w:space="0" w:color="auto"/>
            <w:left w:val="none" w:sz="0" w:space="0" w:color="auto"/>
            <w:bottom w:val="none" w:sz="0" w:space="0" w:color="auto"/>
            <w:right w:val="none" w:sz="0" w:space="0" w:color="auto"/>
          </w:divBdr>
          <w:divsChild>
            <w:div w:id="1714379703">
              <w:marLeft w:val="0"/>
              <w:marRight w:val="0"/>
              <w:marTop w:val="0"/>
              <w:marBottom w:val="0"/>
              <w:divBdr>
                <w:top w:val="none" w:sz="0" w:space="0" w:color="auto"/>
                <w:left w:val="none" w:sz="0" w:space="0" w:color="auto"/>
                <w:bottom w:val="none" w:sz="0" w:space="0" w:color="auto"/>
                <w:right w:val="none" w:sz="0" w:space="0" w:color="auto"/>
              </w:divBdr>
              <w:divsChild>
                <w:div w:id="66050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506986">
      <w:bodyDiv w:val="1"/>
      <w:marLeft w:val="0"/>
      <w:marRight w:val="0"/>
      <w:marTop w:val="0"/>
      <w:marBottom w:val="0"/>
      <w:divBdr>
        <w:top w:val="none" w:sz="0" w:space="0" w:color="auto"/>
        <w:left w:val="none" w:sz="0" w:space="0" w:color="auto"/>
        <w:bottom w:val="none" w:sz="0" w:space="0" w:color="auto"/>
        <w:right w:val="none" w:sz="0" w:space="0" w:color="auto"/>
      </w:divBdr>
    </w:div>
    <w:div w:id="1693650565">
      <w:bodyDiv w:val="1"/>
      <w:marLeft w:val="0"/>
      <w:marRight w:val="0"/>
      <w:marTop w:val="0"/>
      <w:marBottom w:val="0"/>
      <w:divBdr>
        <w:top w:val="none" w:sz="0" w:space="0" w:color="auto"/>
        <w:left w:val="none" w:sz="0" w:space="0" w:color="auto"/>
        <w:bottom w:val="none" w:sz="0" w:space="0" w:color="auto"/>
        <w:right w:val="none" w:sz="0" w:space="0" w:color="auto"/>
      </w:divBdr>
    </w:div>
    <w:div w:id="1793090214">
      <w:bodyDiv w:val="1"/>
      <w:marLeft w:val="0"/>
      <w:marRight w:val="0"/>
      <w:marTop w:val="0"/>
      <w:marBottom w:val="0"/>
      <w:divBdr>
        <w:top w:val="none" w:sz="0" w:space="0" w:color="auto"/>
        <w:left w:val="none" w:sz="0" w:space="0" w:color="auto"/>
        <w:bottom w:val="none" w:sz="0" w:space="0" w:color="auto"/>
        <w:right w:val="none" w:sz="0" w:space="0" w:color="auto"/>
      </w:divBdr>
    </w:div>
    <w:div w:id="1862281474">
      <w:bodyDiv w:val="1"/>
      <w:marLeft w:val="0"/>
      <w:marRight w:val="0"/>
      <w:marTop w:val="0"/>
      <w:marBottom w:val="0"/>
      <w:divBdr>
        <w:top w:val="none" w:sz="0" w:space="0" w:color="auto"/>
        <w:left w:val="none" w:sz="0" w:space="0" w:color="auto"/>
        <w:bottom w:val="none" w:sz="0" w:space="0" w:color="auto"/>
        <w:right w:val="none" w:sz="0" w:space="0" w:color="auto"/>
      </w:divBdr>
    </w:div>
    <w:div w:id="1887061194">
      <w:bodyDiv w:val="1"/>
      <w:marLeft w:val="0"/>
      <w:marRight w:val="0"/>
      <w:marTop w:val="0"/>
      <w:marBottom w:val="0"/>
      <w:divBdr>
        <w:top w:val="none" w:sz="0" w:space="0" w:color="auto"/>
        <w:left w:val="none" w:sz="0" w:space="0" w:color="auto"/>
        <w:bottom w:val="none" w:sz="0" w:space="0" w:color="auto"/>
        <w:right w:val="none" w:sz="0" w:space="0" w:color="auto"/>
      </w:divBdr>
      <w:divsChild>
        <w:div w:id="1849326371">
          <w:marLeft w:val="0"/>
          <w:marRight w:val="0"/>
          <w:marTop w:val="0"/>
          <w:marBottom w:val="0"/>
          <w:divBdr>
            <w:top w:val="none" w:sz="0" w:space="0" w:color="auto"/>
            <w:left w:val="none" w:sz="0" w:space="0" w:color="auto"/>
            <w:bottom w:val="none" w:sz="0" w:space="0" w:color="auto"/>
            <w:right w:val="none" w:sz="0" w:space="0" w:color="auto"/>
          </w:divBdr>
        </w:div>
      </w:divsChild>
    </w:div>
    <w:div w:id="1940330505">
      <w:bodyDiv w:val="1"/>
      <w:marLeft w:val="0"/>
      <w:marRight w:val="0"/>
      <w:marTop w:val="0"/>
      <w:marBottom w:val="0"/>
      <w:divBdr>
        <w:top w:val="none" w:sz="0" w:space="0" w:color="auto"/>
        <w:left w:val="none" w:sz="0" w:space="0" w:color="auto"/>
        <w:bottom w:val="none" w:sz="0" w:space="0" w:color="auto"/>
        <w:right w:val="none" w:sz="0" w:space="0" w:color="auto"/>
      </w:divBdr>
    </w:div>
    <w:div w:id="1968657637">
      <w:bodyDiv w:val="1"/>
      <w:marLeft w:val="0"/>
      <w:marRight w:val="0"/>
      <w:marTop w:val="0"/>
      <w:marBottom w:val="0"/>
      <w:divBdr>
        <w:top w:val="none" w:sz="0" w:space="0" w:color="auto"/>
        <w:left w:val="none" w:sz="0" w:space="0" w:color="auto"/>
        <w:bottom w:val="none" w:sz="0" w:space="0" w:color="auto"/>
        <w:right w:val="none" w:sz="0" w:space="0" w:color="auto"/>
      </w:divBdr>
    </w:div>
    <w:div w:id="1996639836">
      <w:bodyDiv w:val="1"/>
      <w:marLeft w:val="0"/>
      <w:marRight w:val="0"/>
      <w:marTop w:val="0"/>
      <w:marBottom w:val="0"/>
      <w:divBdr>
        <w:top w:val="none" w:sz="0" w:space="0" w:color="auto"/>
        <w:left w:val="none" w:sz="0" w:space="0" w:color="auto"/>
        <w:bottom w:val="none" w:sz="0" w:space="0" w:color="auto"/>
        <w:right w:val="none" w:sz="0" w:space="0" w:color="auto"/>
      </w:divBdr>
    </w:div>
    <w:div w:id="2020308151">
      <w:bodyDiv w:val="1"/>
      <w:marLeft w:val="0"/>
      <w:marRight w:val="0"/>
      <w:marTop w:val="0"/>
      <w:marBottom w:val="0"/>
      <w:divBdr>
        <w:top w:val="none" w:sz="0" w:space="0" w:color="auto"/>
        <w:left w:val="none" w:sz="0" w:space="0" w:color="auto"/>
        <w:bottom w:val="none" w:sz="0" w:space="0" w:color="auto"/>
        <w:right w:val="none" w:sz="0" w:space="0" w:color="auto"/>
      </w:divBdr>
    </w:div>
    <w:div w:id="2070037239">
      <w:bodyDiv w:val="1"/>
      <w:marLeft w:val="0"/>
      <w:marRight w:val="0"/>
      <w:marTop w:val="0"/>
      <w:marBottom w:val="0"/>
      <w:divBdr>
        <w:top w:val="none" w:sz="0" w:space="0" w:color="auto"/>
        <w:left w:val="none" w:sz="0" w:space="0" w:color="auto"/>
        <w:bottom w:val="none" w:sz="0" w:space="0" w:color="auto"/>
        <w:right w:val="none" w:sz="0" w:space="0" w:color="auto"/>
      </w:divBdr>
    </w:div>
    <w:div w:id="2101871194">
      <w:bodyDiv w:val="1"/>
      <w:marLeft w:val="0"/>
      <w:marRight w:val="0"/>
      <w:marTop w:val="0"/>
      <w:marBottom w:val="0"/>
      <w:divBdr>
        <w:top w:val="none" w:sz="0" w:space="0" w:color="auto"/>
        <w:left w:val="none" w:sz="0" w:space="0" w:color="auto"/>
        <w:bottom w:val="none" w:sz="0" w:space="0" w:color="auto"/>
        <w:right w:val="none" w:sz="0" w:space="0" w:color="auto"/>
      </w:divBdr>
    </w:div>
    <w:div w:id="2122261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pinsky@stanford.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DF0C9806-93D4-B448-BAF3-DF8DE39C84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35</Pages>
  <Words>25338</Words>
  <Characters>144429</Characters>
  <Application>Microsoft Office Word</Application>
  <DocSecurity>0</DocSecurity>
  <Lines>1203</Lines>
  <Paragraphs>338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Wang</dc:creator>
  <cp:keywords/>
  <dc:description/>
  <cp:lastModifiedBy>Saskia Lynn DeRook Comess</cp:lastModifiedBy>
  <cp:revision>8</cp:revision>
  <dcterms:created xsi:type="dcterms:W3CDTF">2020-09-20T23:31:00Z</dcterms:created>
  <dcterms:modified xsi:type="dcterms:W3CDTF">2020-10-12T20:47:00Z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http://www.zotero.org/styles/apa</vt:lpwstr>
  </property>
  <property fmtid="{D5CDD505-2E9C-101B-9397-08002B2CF9AE}" pid="4" name="Mendeley Recent Style Name 0_1">
    <vt:lpwstr>American Psychological Association 6th edition</vt:lpwstr>
  </property>
  <property fmtid="{D5CDD505-2E9C-101B-9397-08002B2CF9AE}" pid="5" name="Mendeley Recent Style Id 1_1">
    <vt:lpwstr>http://www.zotero.org/styles/biomed-central</vt:lpwstr>
  </property>
  <property fmtid="{D5CDD505-2E9C-101B-9397-08002B2CF9AE}" pid="6" name="Mendeley Recent Style Name 1_1">
    <vt:lpwstr>BioMed Central</vt:lpwstr>
  </property>
  <property fmtid="{D5CDD505-2E9C-101B-9397-08002B2CF9AE}" pid="7" name="Mendeley Recent Style Id 2_1">
    <vt:lpwstr>http://www.zotero.org/styles/chicago-author-date</vt:lpwstr>
  </property>
  <property fmtid="{D5CDD505-2E9C-101B-9397-08002B2CF9AE}" pid="8" name="Mendeley Recent Style Name 2_1">
    <vt:lpwstr>Chicago Manual of Style 17th edition (author-date)</vt:lpwstr>
  </property>
  <property fmtid="{D5CDD505-2E9C-101B-9397-08002B2CF9AE}" pid="9" name="Mendeley Recent Style Id 3_1">
    <vt:lpwstr>http://www.zotero.org/styles/chicago-note-bibliography</vt:lpwstr>
  </property>
  <property fmtid="{D5CDD505-2E9C-101B-9397-08002B2CF9AE}" pid="10" name="Mendeley Recent Style Name 3_1">
    <vt:lpwstr>Chicago Manual of Style 17th edition (note)</vt:lpwstr>
  </property>
  <property fmtid="{D5CDD505-2E9C-101B-9397-08002B2CF9AE}" pid="11" name="Mendeley Recent Style Id 4_1">
    <vt:lpwstr>http://www.zotero.org/styles/harvard1</vt:lpwstr>
  </property>
  <property fmtid="{D5CDD505-2E9C-101B-9397-08002B2CF9AE}" pid="12" name="Mendeley Recent Style Name 4_1">
    <vt:lpwstr>Harvard reference format 1 (deprecated)</vt:lpwstr>
  </property>
  <property fmtid="{D5CDD505-2E9C-101B-9397-08002B2CF9AE}" pid="13" name="Mendeley Recent Style Id 5_1">
    <vt:lpwstr>http://www.zotero.org/styles/ieee</vt:lpwstr>
  </property>
  <property fmtid="{D5CDD505-2E9C-101B-9397-08002B2CF9AE}" pid="14" name="Mendeley Recent Style Name 5_1">
    <vt:lpwstr>IEEE</vt:lpwstr>
  </property>
  <property fmtid="{D5CDD505-2E9C-101B-9397-08002B2CF9AE}" pid="15" name="Mendeley Recent Style Id 6_1">
    <vt:lpwstr>http://www.zotero.org/styles/journal-of-clinical-microbiology</vt:lpwstr>
  </property>
  <property fmtid="{D5CDD505-2E9C-101B-9397-08002B2CF9AE}" pid="16" name="Mendeley Recent Style Name 6_1">
    <vt:lpwstr>Journal of Clinical Microbiology</vt:lpwstr>
  </property>
  <property fmtid="{D5CDD505-2E9C-101B-9397-08002B2CF9AE}" pid="17" name="Mendeley Recent Style Id 7_1">
    <vt:lpwstr>http://www.zotero.org/styles/microbiome</vt:lpwstr>
  </property>
  <property fmtid="{D5CDD505-2E9C-101B-9397-08002B2CF9AE}" pid="18" name="Mendeley Recent Style Name 7_1">
    <vt:lpwstr>Microbiome</vt:lpwstr>
  </property>
  <property fmtid="{D5CDD505-2E9C-101B-9397-08002B2CF9AE}" pid="19" name="Mendeley Recent Style Id 8_1">
    <vt:lpwstr>http://www.zotero.org/styles/modern-humanities-research-association</vt:lpwstr>
  </property>
  <property fmtid="{D5CDD505-2E9C-101B-9397-08002B2CF9AE}" pid="20" name="Mendeley Recent Style Name 8_1">
    <vt:lpwstr>Modern Humanities Research Association 3rd edition (note with bibliography)</vt:lpwstr>
  </property>
  <property fmtid="{D5CDD505-2E9C-101B-9397-08002B2CF9AE}" pid="21" name="Mendeley Recent Style Id 9_1">
    <vt:lpwstr>https://csl.mendeley.com/styles/229594371/vancouver-hwang</vt:lpwstr>
  </property>
  <property fmtid="{D5CDD505-2E9C-101B-9397-08002B2CF9AE}" pid="22" name="Mendeley Recent Style Name 9_1">
    <vt:lpwstr>Vancouver - Hannah Wang</vt:lpwstr>
  </property>
  <property fmtid="{D5CDD505-2E9C-101B-9397-08002B2CF9AE}" pid="23" name="Mendeley Citation Style_1">
    <vt:lpwstr>https://csl.mendeley.com/styles/229594371/vancouver-hwang</vt:lpwstr>
  </property>
  <property fmtid="{D5CDD505-2E9C-101B-9397-08002B2CF9AE}" pid="24" name="Mendeley Unique User Id_1">
    <vt:lpwstr>8af13941-4aa8-3bcf-bc21-1f26fe4fc8ea</vt:lpwstr>
  </property>
</Properties>
</file>