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E0B1A" w14:textId="39ABC4F4" w:rsidR="008078EE" w:rsidRDefault="008078EE" w:rsidP="00AF7949">
      <w:pPr>
        <w:spacing w:line="240" w:lineRule="auto"/>
        <w:jc w:val="center"/>
      </w:pPr>
      <w:r w:rsidRPr="00476AAE">
        <w:rPr>
          <w:b/>
          <w:bCs/>
        </w:rPr>
        <w:t>Research Question:</w:t>
      </w:r>
      <w:r>
        <w:t xml:space="preserve"> </w:t>
      </w:r>
      <w:r w:rsidRPr="002657CA">
        <w:t xml:space="preserve">Does </w:t>
      </w:r>
      <w:r w:rsidRPr="002657CA">
        <w:rPr>
          <w:i/>
          <w:iCs/>
        </w:rPr>
        <w:t>social connectedness</w:t>
      </w:r>
      <w:r w:rsidRPr="002657CA">
        <w:t xml:space="preserve"> increase contiguous participation in flood buyout programs? If so, what are the economic consequences of increased participation?</w:t>
      </w:r>
    </w:p>
    <w:p w14:paraId="264B5BC1" w14:textId="77777777" w:rsidR="00DC0EFF" w:rsidRDefault="00DC0EFF" w:rsidP="00DC0EFF">
      <w:pPr>
        <w:spacing w:line="240" w:lineRule="auto"/>
      </w:pPr>
    </w:p>
    <w:p w14:paraId="2B97F91D" w14:textId="2AF87D63" w:rsidR="008078EE" w:rsidRPr="00476AAE" w:rsidRDefault="008078EE" w:rsidP="00AF7949">
      <w:pPr>
        <w:jc w:val="center"/>
        <w:rPr>
          <w:b/>
          <w:bCs/>
        </w:rPr>
      </w:pPr>
      <w:r w:rsidRPr="00476AAE">
        <w:rPr>
          <w:b/>
          <w:bCs/>
        </w:rPr>
        <w:t>Literature:</w:t>
      </w:r>
    </w:p>
    <w:p w14:paraId="03FE110A" w14:textId="723A488C" w:rsidR="008078EE" w:rsidRDefault="008078EE" w:rsidP="008078EE">
      <w:pPr>
        <w:spacing w:line="240" w:lineRule="auto"/>
      </w:pPr>
      <w:r w:rsidRPr="008078EE">
        <w:rPr>
          <w:b/>
          <w:bCs/>
        </w:rPr>
        <w:t>Source:</w:t>
      </w:r>
      <w:r>
        <w:t xml:space="preserve"> </w:t>
      </w:r>
      <w:r w:rsidRPr="00FB2AEB">
        <w:t xml:space="preserve">Hu, Z. (2022). Social interactions and households’ flood insurance decisions. Journal of Financial Economics, 144(2), 414-432. </w:t>
      </w:r>
      <w:hyperlink r:id="rId10" w:history="1">
        <w:r w:rsidRPr="00824A8B">
          <w:rPr>
            <w:rStyle w:val="Hyperlink"/>
          </w:rPr>
          <w:t>https://doi.org/10.1016/j.jfineco.2022.02.004</w:t>
        </w:r>
      </w:hyperlink>
    </w:p>
    <w:p w14:paraId="6E4C68BC" w14:textId="77777777" w:rsidR="008078EE" w:rsidRDefault="008078EE" w:rsidP="008078EE">
      <w:pPr>
        <w:spacing w:line="240" w:lineRule="auto"/>
      </w:pPr>
    </w:p>
    <w:p w14:paraId="035856DE" w14:textId="01B7CDE2" w:rsidR="008078EE" w:rsidRDefault="008078EE" w:rsidP="008078EE">
      <w:pPr>
        <w:spacing w:line="240" w:lineRule="auto"/>
      </w:pPr>
      <w:r>
        <w:rPr>
          <w:b/>
          <w:bCs/>
        </w:rPr>
        <w:t>Summary</w:t>
      </w:r>
      <w:r w:rsidRPr="008078EE">
        <w:rPr>
          <w:b/>
          <w:bCs/>
        </w:rPr>
        <w:t>:</w:t>
      </w:r>
      <w:r>
        <w:t xml:space="preserve"> </w:t>
      </w:r>
      <w:r>
        <w:t xml:space="preserve">Hu (2022) </w:t>
      </w:r>
      <w:proofErr w:type="gramStart"/>
      <w:r>
        <w:t>find</w:t>
      </w:r>
      <w:proofErr w:type="gramEnd"/>
      <w:r>
        <w:t xml:space="preserve"> that flood insurance purchases increase by 1-5% when geographically distant friends are exposed to flood events or to campaigns for flood insurance. They measure peer effects through the Social Connectedness Index, which is a network of Facebook connections. </w:t>
      </w:r>
    </w:p>
    <w:p w14:paraId="62FD6448" w14:textId="77777777" w:rsidR="008078EE" w:rsidRDefault="008078EE" w:rsidP="008078EE">
      <w:pPr>
        <w:spacing w:line="240" w:lineRule="auto"/>
      </w:pPr>
    </w:p>
    <w:p w14:paraId="32729B95" w14:textId="77777777" w:rsidR="008078EE" w:rsidRPr="008078EE" w:rsidRDefault="008078EE" w:rsidP="008078EE">
      <w:pPr>
        <w:spacing w:line="240" w:lineRule="auto"/>
      </w:pPr>
      <w:r w:rsidRPr="008078EE">
        <w:rPr>
          <w:b/>
          <w:bCs/>
        </w:rPr>
        <w:t>Source</w:t>
      </w:r>
      <w:r>
        <w:rPr>
          <w:b/>
          <w:bCs/>
        </w:rPr>
        <w:t xml:space="preserve">: </w:t>
      </w:r>
      <w:r w:rsidRPr="008078EE">
        <w:t xml:space="preserve">Paul, L. A., McGranaghan, C., Siders, A. R., </w:t>
      </w:r>
      <w:proofErr w:type="spellStart"/>
      <w:r w:rsidRPr="008078EE">
        <w:t>Dineva</w:t>
      </w:r>
      <w:proofErr w:type="spellEnd"/>
      <w:r w:rsidRPr="008078EE">
        <w:t xml:space="preserve">, P. K., Palm-Forster, L. H., &amp; Messer, K. D. (2024). Addressing coordination problems in residential buyouts: Experimental evidence for managed retreat in the face of climate change-related threats. Journal of Economic Behavior and Organization. </w:t>
      </w:r>
      <w:hyperlink r:id="rId11" w:history="1">
        <w:r w:rsidRPr="008078EE">
          <w:rPr>
            <w:rStyle w:val="Hyperlink"/>
          </w:rPr>
          <w:t>https://doi.org/10.1016/j.jebo.2025.01.004</w:t>
        </w:r>
      </w:hyperlink>
    </w:p>
    <w:p w14:paraId="24228A2E" w14:textId="71C76E5B" w:rsidR="008078EE" w:rsidRPr="008078EE" w:rsidRDefault="008078EE" w:rsidP="008078EE">
      <w:pPr>
        <w:spacing w:line="240" w:lineRule="auto"/>
      </w:pPr>
    </w:p>
    <w:p w14:paraId="06A19113" w14:textId="19A12D6C" w:rsidR="008078EE" w:rsidRDefault="008078EE" w:rsidP="008078EE">
      <w:pPr>
        <w:spacing w:line="240" w:lineRule="auto"/>
      </w:pPr>
      <w:r>
        <w:rPr>
          <w:b/>
          <w:bCs/>
        </w:rPr>
        <w:t>Summary</w:t>
      </w:r>
      <w:r w:rsidRPr="008078EE">
        <w:rPr>
          <w:b/>
          <w:bCs/>
        </w:rPr>
        <w:t>:</w:t>
      </w:r>
      <w:r>
        <w:rPr>
          <w:b/>
          <w:bCs/>
        </w:rPr>
        <w:t xml:space="preserve"> </w:t>
      </w:r>
      <w:r w:rsidRPr="00274A4D">
        <w:t>Paul et al. (2024) use a</w:t>
      </w:r>
      <w:r>
        <w:t xml:space="preserve"> lab </w:t>
      </w:r>
      <w:r w:rsidRPr="00274A4D">
        <w:t>experiment and find evidence that agglomeration bonuses</w:t>
      </w:r>
      <w:r>
        <w:rPr>
          <w:rStyle w:val="FootnoteReference"/>
        </w:rPr>
        <w:footnoteReference w:id="1"/>
      </w:r>
      <w:r>
        <w:t xml:space="preserve"> </w:t>
      </w:r>
      <w:r w:rsidRPr="00274A4D">
        <w:t>and target constraints</w:t>
      </w:r>
      <w:r>
        <w:rPr>
          <w:rStyle w:val="FootnoteReference"/>
        </w:rPr>
        <w:footnoteReference w:id="2"/>
      </w:r>
      <w:r w:rsidRPr="00274A4D">
        <w:t xml:space="preserve"> combined with cheap talk</w:t>
      </w:r>
      <w:r>
        <w:rPr>
          <w:rStyle w:val="FootnoteReference"/>
        </w:rPr>
        <w:footnoteReference w:id="3"/>
      </w:r>
      <w:r w:rsidRPr="00274A4D">
        <w:t xml:space="preserve"> increase</w:t>
      </w:r>
      <w:r>
        <w:t xml:space="preserve">s the </w:t>
      </w:r>
      <w:r w:rsidRPr="00274A4D">
        <w:t xml:space="preserve">contiguity of </w:t>
      </w:r>
      <w:r>
        <w:t xml:space="preserve">flood </w:t>
      </w:r>
      <w:r w:rsidRPr="00274A4D">
        <w:t>buyouts</w:t>
      </w:r>
    </w:p>
    <w:p w14:paraId="06B87427" w14:textId="77777777" w:rsidR="007224EB" w:rsidRDefault="007224EB" w:rsidP="008078EE">
      <w:pPr>
        <w:spacing w:line="240" w:lineRule="auto"/>
      </w:pPr>
    </w:p>
    <w:p w14:paraId="4F00A263" w14:textId="1F10C7BE" w:rsidR="004F1323" w:rsidRDefault="004A155A" w:rsidP="008078EE">
      <w:pPr>
        <w:spacing w:line="240" w:lineRule="auto"/>
      </w:pPr>
      <w:r w:rsidRPr="008078EE">
        <w:rPr>
          <w:b/>
          <w:bCs/>
        </w:rPr>
        <w:t>Source</w:t>
      </w:r>
      <w:r>
        <w:rPr>
          <w:b/>
          <w:bCs/>
        </w:rPr>
        <w:t xml:space="preserve">: </w:t>
      </w:r>
      <w:r w:rsidRPr="004A155A">
        <w:t xml:space="preserve">Ando, A. W., &amp; Reeser, C. (2022). </w:t>
      </w:r>
      <w:proofErr w:type="gramStart"/>
      <w:r w:rsidRPr="004A155A">
        <w:t>Homeowner</w:t>
      </w:r>
      <w:proofErr w:type="gramEnd"/>
      <w:r w:rsidRPr="004A155A">
        <w:t xml:space="preserve"> willingness to pay for a pre-flood agreement for a post-flood buyout. Land Economics, 98(4), 560-578. </w:t>
      </w:r>
      <w:hyperlink r:id="rId12" w:history="1">
        <w:r w:rsidRPr="00AD74B5">
          <w:rPr>
            <w:rStyle w:val="Hyperlink"/>
          </w:rPr>
          <w:t>https://doi.org/10.3368/le.98.4.052721-0056</w:t>
        </w:r>
      </w:hyperlink>
    </w:p>
    <w:p w14:paraId="417FE509" w14:textId="77777777" w:rsidR="004A155A" w:rsidRDefault="004A155A" w:rsidP="008078EE">
      <w:pPr>
        <w:spacing w:line="240" w:lineRule="auto"/>
      </w:pPr>
    </w:p>
    <w:p w14:paraId="1A0FA5A1" w14:textId="77777777" w:rsidR="00BC23D9" w:rsidRDefault="004A155A" w:rsidP="008078EE">
      <w:pPr>
        <w:spacing w:line="240" w:lineRule="auto"/>
      </w:pPr>
      <w:r>
        <w:rPr>
          <w:b/>
          <w:bCs/>
        </w:rPr>
        <w:t>Summary</w:t>
      </w:r>
      <w:r w:rsidRPr="008078EE">
        <w:rPr>
          <w:b/>
          <w:bCs/>
        </w:rPr>
        <w:t>:</w:t>
      </w:r>
      <w:r>
        <w:rPr>
          <w:b/>
          <w:bCs/>
        </w:rPr>
        <w:t xml:space="preserve"> </w:t>
      </w:r>
      <w:r w:rsidR="00546BEA" w:rsidRPr="002E2E31">
        <w:t>Ando &amp; Reeser (2022) estimate homeowner willingness to pay (WTP)</w:t>
      </w:r>
      <w:r w:rsidR="00546BEA">
        <w:rPr>
          <w:rStyle w:val="FootnoteReference"/>
        </w:rPr>
        <w:footnoteReference w:id="4"/>
      </w:r>
      <w:r w:rsidR="00546BEA" w:rsidRPr="002E2E31">
        <w:t xml:space="preserve"> for a hypothetical </w:t>
      </w:r>
    </w:p>
    <w:p w14:paraId="34344502" w14:textId="530C4DC0" w:rsidR="007224EB" w:rsidRDefault="00546BEA" w:rsidP="008078EE">
      <w:pPr>
        <w:spacing w:line="240" w:lineRule="auto"/>
      </w:pPr>
      <w:r w:rsidRPr="002E2E31">
        <w:t>agreement to pre-commit to relocate if a flood</w:t>
      </w:r>
      <w:r w:rsidR="004A155A">
        <w:t xml:space="preserve"> using CVM</w:t>
      </w:r>
      <w:r w:rsidR="004F1323">
        <w:t>.</w:t>
      </w:r>
    </w:p>
    <w:p w14:paraId="0F3FCF69" w14:textId="77777777" w:rsidR="00BC23D9" w:rsidRDefault="00BC23D9" w:rsidP="008078EE">
      <w:pPr>
        <w:spacing w:line="240" w:lineRule="auto"/>
      </w:pPr>
    </w:p>
    <w:p w14:paraId="3527052E" w14:textId="2B8DEA4B" w:rsidR="00BC23D9" w:rsidRDefault="00BC23D9" w:rsidP="008078EE">
      <w:pPr>
        <w:spacing w:line="240" w:lineRule="auto"/>
      </w:pPr>
      <w:r w:rsidRPr="008078EE">
        <w:rPr>
          <w:b/>
          <w:bCs/>
        </w:rPr>
        <w:t>Sourc</w:t>
      </w:r>
      <w:r w:rsidRPr="00DD22AC">
        <w:rPr>
          <w:b/>
          <w:bCs/>
        </w:rPr>
        <w:t>e:</w:t>
      </w:r>
      <w:r w:rsidR="00DD22AC" w:rsidRPr="00DD22AC">
        <w:t xml:space="preserve"> S</w:t>
      </w:r>
      <w:r w:rsidR="00DD22AC" w:rsidRPr="00DD22AC">
        <w:t>ong, J., &amp; Peng, B. (2017). Should we leave? Attitudes towards relocation in response to sea level rise. Faculty of Architecture and Urban Planning, Key Laboratory of New Technology for Construction of Cities in Mountain Area, Chongqing University.</w:t>
      </w:r>
    </w:p>
    <w:p w14:paraId="3AF26E2A" w14:textId="77777777" w:rsidR="00DD22AC" w:rsidRDefault="00DD22AC" w:rsidP="008078EE">
      <w:pPr>
        <w:spacing w:line="240" w:lineRule="auto"/>
      </w:pPr>
    </w:p>
    <w:p w14:paraId="66128F9C" w14:textId="77777777" w:rsidR="002101CF" w:rsidRDefault="00DD22AC" w:rsidP="008078EE">
      <w:pPr>
        <w:spacing w:line="240" w:lineRule="auto"/>
      </w:pPr>
      <w:r>
        <w:rPr>
          <w:b/>
          <w:bCs/>
        </w:rPr>
        <w:t>Summary</w:t>
      </w:r>
      <w:r w:rsidRPr="008078EE">
        <w:rPr>
          <w:b/>
          <w:bCs/>
        </w:rPr>
        <w:t>:</w:t>
      </w:r>
      <w:r>
        <w:rPr>
          <w:b/>
          <w:bCs/>
        </w:rPr>
        <w:t xml:space="preserve"> </w:t>
      </w:r>
      <w:r w:rsidR="00DA6A3E">
        <w:t xml:space="preserve">Song &amp; Peng (2017) survey individuals about factors that influence the decision of whether to relocate from areas at risk of flooding. </w:t>
      </w:r>
      <w:r w:rsidR="00EE4ADE">
        <w:t xml:space="preserve">They find that </w:t>
      </w:r>
      <w:r w:rsidR="00EA505B">
        <w:t xml:space="preserve">social ties and social activities in the new community </w:t>
      </w:r>
      <w:r w:rsidR="008C2291">
        <w:t>have lower rankings than most other factors</w:t>
      </w:r>
      <w:r w:rsidR="00DA6A3E">
        <w:t xml:space="preserve"> </w:t>
      </w:r>
      <w:r w:rsidR="008C2291">
        <w:t>when ranked on a Likert Scale</w:t>
      </w:r>
      <w:r w:rsidR="00F34694">
        <w:rPr>
          <w:rStyle w:val="FootnoteReference"/>
        </w:rPr>
        <w:footnoteReference w:id="5"/>
      </w:r>
      <w:r w:rsidR="00F34694">
        <w:t>.</w:t>
      </w:r>
      <w:r w:rsidR="004010DD">
        <w:t xml:space="preserve"> 104 of</w:t>
      </w:r>
      <w:r w:rsidR="00CE2E32">
        <w:t xml:space="preserve"> 226 respondents</w:t>
      </w:r>
      <w:r w:rsidR="00517D71">
        <w:t xml:space="preserve"> said that family/social ties make them </w:t>
      </w:r>
      <w:proofErr w:type="gramStart"/>
      <w:r w:rsidR="00517D71">
        <w:t>unwilling</w:t>
      </w:r>
      <w:proofErr w:type="gramEnd"/>
      <w:r w:rsidR="00517D71">
        <w:t xml:space="preserve"> to relocate.</w:t>
      </w:r>
      <w:r w:rsidR="00980158">
        <w:t xml:space="preserve"> 63 of 226 respondents said that they would consider moving if their relative or neighbors decided to move.</w:t>
      </w:r>
    </w:p>
    <w:p w14:paraId="657D190C" w14:textId="77777777" w:rsidR="002101CF" w:rsidRDefault="002101CF" w:rsidP="008078EE">
      <w:pPr>
        <w:spacing w:line="240" w:lineRule="auto"/>
      </w:pPr>
    </w:p>
    <w:p w14:paraId="1EBAF820" w14:textId="76396137" w:rsidR="00DD22AC" w:rsidRDefault="002101CF" w:rsidP="008078EE">
      <w:pPr>
        <w:spacing w:line="240" w:lineRule="auto"/>
      </w:pPr>
      <w:r w:rsidRPr="002E4EC8">
        <w:rPr>
          <w:b/>
          <w:bCs/>
        </w:rPr>
        <w:t>Source:</w:t>
      </w:r>
      <w:r w:rsidR="00980158">
        <w:t xml:space="preserve"> </w:t>
      </w:r>
      <w:r w:rsidRPr="002101CF">
        <w:t>Robinson, C. S., Davidson, R. A., Trainor, J. E., Kruse, J. L., &amp; Nozick, L. K. (2018). Homeowner acceptance of voluntary property acquisition offers. Natural Hazards</w:t>
      </w:r>
    </w:p>
    <w:p w14:paraId="6C06AE14" w14:textId="77777777" w:rsidR="006F6692" w:rsidRDefault="006F6692" w:rsidP="008078EE">
      <w:pPr>
        <w:spacing w:line="240" w:lineRule="auto"/>
      </w:pPr>
    </w:p>
    <w:p w14:paraId="6A62FBF2" w14:textId="322F69B7" w:rsidR="009D0A63" w:rsidRDefault="006F6692" w:rsidP="003C62A8">
      <w:pPr>
        <w:spacing w:line="240" w:lineRule="auto"/>
      </w:pPr>
      <w:r>
        <w:rPr>
          <w:b/>
          <w:bCs/>
        </w:rPr>
        <w:lastRenderedPageBreak/>
        <w:t>Summary</w:t>
      </w:r>
      <w:r w:rsidRPr="003C62A8">
        <w:t>:</w:t>
      </w:r>
      <w:r w:rsidRPr="003C62A8">
        <w:t xml:space="preserve"> </w:t>
      </w:r>
      <w:r w:rsidR="009151BF" w:rsidRPr="003C62A8">
        <w:t>Robin</w:t>
      </w:r>
      <w:r w:rsidR="003C62A8" w:rsidRPr="003C62A8">
        <w:t>son et al. (2018)</w:t>
      </w:r>
      <w:r w:rsidR="009151BF" w:rsidRPr="003C62A8">
        <w:t xml:space="preserve"> </w:t>
      </w:r>
      <w:r w:rsidR="003C62A8">
        <w:t xml:space="preserve">use regression analysis of stated </w:t>
      </w:r>
      <w:r w:rsidR="009151BF" w:rsidRPr="003C62A8">
        <w:t>preference</w:t>
      </w:r>
      <w:r w:rsidR="003C62A8">
        <w:t xml:space="preserve"> survey</w:t>
      </w:r>
      <w:r w:rsidR="009151BF" w:rsidRPr="003C62A8">
        <w:t xml:space="preserve"> data </w:t>
      </w:r>
      <w:r w:rsidR="003C62A8">
        <w:t>to examine the relationship between buyout program attributes and participation.</w:t>
      </w:r>
      <w:r w:rsidR="00300A4B">
        <w:t xml:space="preserve"> They find that location, shorter </w:t>
      </w:r>
      <w:proofErr w:type="gramStart"/>
      <w:r w:rsidR="00300A4B">
        <w:t>expectation</w:t>
      </w:r>
      <w:proofErr w:type="gramEnd"/>
      <w:r w:rsidR="00300A4B">
        <w:t xml:space="preserve"> of living there in the future, past flood experience, </w:t>
      </w:r>
      <w:r w:rsidR="00300A4B" w:rsidRPr="00300A4B">
        <w:t>less feeling of control, and being White</w:t>
      </w:r>
      <w:r w:rsidR="00846E86">
        <w:t xml:space="preserve"> are associated with higher participation rates.</w:t>
      </w:r>
    </w:p>
    <w:p w14:paraId="28B6BE5F" w14:textId="77777777" w:rsidR="009D0A63" w:rsidRDefault="009D0A63" w:rsidP="003C62A8">
      <w:pPr>
        <w:spacing w:line="240" w:lineRule="auto"/>
      </w:pPr>
    </w:p>
    <w:p w14:paraId="353F6357" w14:textId="321B9793" w:rsidR="00300A4B" w:rsidRDefault="009D0A63" w:rsidP="003C62A8">
      <w:pPr>
        <w:spacing w:line="240" w:lineRule="auto"/>
      </w:pPr>
      <w:r w:rsidRPr="002E4EC8">
        <w:rPr>
          <w:b/>
          <w:bCs/>
        </w:rPr>
        <w:t>Source:</w:t>
      </w:r>
      <w:r>
        <w:t xml:space="preserve"> </w:t>
      </w:r>
      <w:r w:rsidRPr="009D0A63">
        <w:t xml:space="preserve">Ali-Rind, A., Boubaker, S., &amp; Lajili </w:t>
      </w:r>
      <w:proofErr w:type="spellStart"/>
      <w:r w:rsidRPr="009D0A63">
        <w:t>Jarjir</w:t>
      </w:r>
      <w:proofErr w:type="spellEnd"/>
      <w:r w:rsidRPr="009D0A63">
        <w:t xml:space="preserve">, S. (2022). Peer effects </w:t>
      </w:r>
      <w:proofErr w:type="gramStart"/>
      <w:r w:rsidRPr="009D0A63">
        <w:t>in</w:t>
      </w:r>
      <w:proofErr w:type="gramEnd"/>
      <w:r w:rsidRPr="009D0A63">
        <w:t xml:space="preserve"> financial economics: A literature survey. Research in International Business and Finance, 62, 101873. https://doi.org/10.1016/j.ribaf.2022.101873</w:t>
      </w:r>
    </w:p>
    <w:p w14:paraId="425B215D" w14:textId="7526D5B4" w:rsidR="00300A4B" w:rsidRDefault="00300A4B" w:rsidP="003C62A8">
      <w:pPr>
        <w:spacing w:line="240" w:lineRule="auto"/>
      </w:pPr>
    </w:p>
    <w:p w14:paraId="298E83AB" w14:textId="4CC31C38" w:rsidR="009D0A63" w:rsidRDefault="009D0A63" w:rsidP="003C62A8">
      <w:pPr>
        <w:spacing w:line="240" w:lineRule="auto"/>
      </w:pPr>
      <w:r>
        <w:rPr>
          <w:b/>
          <w:bCs/>
        </w:rPr>
        <w:t>Summary</w:t>
      </w:r>
      <w:r w:rsidRPr="003C62A8">
        <w:t>:</w:t>
      </w:r>
      <w:r w:rsidR="00DE4E0E">
        <w:t xml:space="preserve"> </w:t>
      </w:r>
      <w:r w:rsidR="00DE4E0E" w:rsidRPr="009D0A63">
        <w:t>Ali-Rind</w:t>
      </w:r>
      <w:r w:rsidR="00DE4E0E">
        <w:t xml:space="preserve"> et al. (2022) review literature on the identification strategies used in studies on peer effects.</w:t>
      </w:r>
    </w:p>
    <w:p w14:paraId="28FA4BAB" w14:textId="77777777" w:rsidR="00510868" w:rsidRDefault="00510868" w:rsidP="003C62A8">
      <w:pPr>
        <w:spacing w:line="240" w:lineRule="auto"/>
      </w:pPr>
    </w:p>
    <w:p w14:paraId="186D2DE5" w14:textId="1093B190" w:rsidR="00510868" w:rsidRPr="00BA360E" w:rsidRDefault="00510868" w:rsidP="003C62A8">
      <w:pPr>
        <w:spacing w:line="240" w:lineRule="auto"/>
      </w:pPr>
      <w:r w:rsidRPr="002E4EC8">
        <w:rPr>
          <w:b/>
          <w:bCs/>
        </w:rPr>
        <w:t>Source:</w:t>
      </w:r>
      <w:r>
        <w:rPr>
          <w:b/>
          <w:bCs/>
        </w:rPr>
        <w:t xml:space="preserve"> </w:t>
      </w:r>
      <w:r w:rsidR="00BA360E" w:rsidRPr="00BA360E">
        <w:t>Di Falco, S., Doku, A., &amp; Mahajan, A. (2019). Peer effects and the choice of adaptation strategies. Agricultural Economics, 50(6), 761–773. https://doi.org/10.1111/agec.12538</w:t>
      </w:r>
    </w:p>
    <w:p w14:paraId="66965B17" w14:textId="77777777" w:rsidR="00510868" w:rsidRPr="00BA360E" w:rsidRDefault="00510868" w:rsidP="003C62A8">
      <w:pPr>
        <w:spacing w:line="240" w:lineRule="auto"/>
      </w:pPr>
    </w:p>
    <w:p w14:paraId="522D76A9" w14:textId="60866F28" w:rsidR="00510868" w:rsidRDefault="00510868" w:rsidP="003C62A8">
      <w:pPr>
        <w:spacing w:line="240" w:lineRule="auto"/>
      </w:pPr>
      <w:r>
        <w:rPr>
          <w:b/>
          <w:bCs/>
        </w:rPr>
        <w:t>Summary</w:t>
      </w:r>
      <w:r w:rsidRPr="003C62A8">
        <w:t>:</w:t>
      </w:r>
      <w:r>
        <w:t xml:space="preserve"> This study estimates the impact of peer choices on climate change adaptation strategies. They address concerns of endogeneity and simultaneity with two IV strategies. The dependent variable in their regression is an </w:t>
      </w:r>
      <w:r w:rsidR="00386762">
        <w:t>individual’s</w:t>
      </w:r>
      <w:r>
        <w:t xml:space="preserve"> adaptation strategy (which could be a dummy variable or continuous depending on the situation). This is a problem in peer effects studies because if an individual is influenced by their neighbor to </w:t>
      </w:r>
      <w:proofErr w:type="gramStart"/>
      <w:r>
        <w:t>make a decision</w:t>
      </w:r>
      <w:proofErr w:type="gramEnd"/>
      <w:r>
        <w:t xml:space="preserve">, that neighbor may also be influenced by the individual which creates a simultaneity problem. The first IV strategy they implement is the peer-of-peer approach. </w:t>
      </w:r>
      <w:r>
        <w:t>They identify a peer</w:t>
      </w:r>
      <w:r>
        <w:t xml:space="preserve">, </w:t>
      </w:r>
      <w:r w:rsidRPr="00510868">
        <w:rPr>
          <w:i/>
          <w:iCs/>
        </w:rPr>
        <w:t>j</w:t>
      </w:r>
      <w:r>
        <w:t>, of an individual,</w:t>
      </w:r>
      <w:r w:rsidRPr="00510868">
        <w:rPr>
          <w:i/>
          <w:iCs/>
        </w:rPr>
        <w:t xml:space="preserve"> </w:t>
      </w:r>
      <w:proofErr w:type="spellStart"/>
      <w:r w:rsidRPr="00510868">
        <w:rPr>
          <w:i/>
          <w:iCs/>
        </w:rPr>
        <w:t>i</w:t>
      </w:r>
      <w:proofErr w:type="spellEnd"/>
      <w:r>
        <w:t xml:space="preserve">, as someone who lives within a certain proximity to the individual. Then they identify the peer-of-peer, </w:t>
      </w:r>
      <w:r w:rsidRPr="00510868">
        <w:rPr>
          <w:i/>
          <w:iCs/>
        </w:rPr>
        <w:t>k</w:t>
      </w:r>
      <w:r>
        <w:t xml:space="preserve">, as someone who is a peer of </w:t>
      </w:r>
      <w:r w:rsidRPr="00510868">
        <w:rPr>
          <w:i/>
          <w:iCs/>
        </w:rPr>
        <w:t>j</w:t>
      </w:r>
      <w:r>
        <w:t xml:space="preserve">, but not a peer of </w:t>
      </w:r>
      <w:proofErr w:type="spellStart"/>
      <w:r w:rsidRPr="00510868">
        <w:rPr>
          <w:i/>
          <w:iCs/>
        </w:rPr>
        <w:t>i</w:t>
      </w:r>
      <w:proofErr w:type="spellEnd"/>
      <w:r>
        <w:t xml:space="preserve">. Then they use the adaptation strategy of the </w:t>
      </w:r>
      <w:r w:rsidR="00EB4115">
        <w:t xml:space="preserve">peer </w:t>
      </w:r>
      <w:r w:rsidR="00EB4115" w:rsidRPr="00EB4115">
        <w:rPr>
          <w:i/>
          <w:iCs/>
        </w:rPr>
        <w:t>j</w:t>
      </w:r>
      <w:r w:rsidR="00EB4115">
        <w:t xml:space="preserve"> </w:t>
      </w:r>
      <w:r w:rsidR="00EB4115">
        <w:t>as an independent variable in the regression</w:t>
      </w:r>
      <w:r w:rsidR="00EB4115">
        <w:t xml:space="preserve">, instrumented by the adaptation strategy of the </w:t>
      </w:r>
      <w:r>
        <w:t>peer-of-peer</w:t>
      </w:r>
      <w:r w:rsidR="00EB4115">
        <w:t xml:space="preserve"> </w:t>
      </w:r>
      <w:r w:rsidR="00EB4115" w:rsidRPr="00EB4115">
        <w:rPr>
          <w:i/>
          <w:iCs/>
        </w:rPr>
        <w:t>k</w:t>
      </w:r>
      <w:r>
        <w:t xml:space="preserve">. </w:t>
      </w:r>
      <w:r w:rsidR="00EB4115">
        <w:t xml:space="preserve">The second IV strategy that they use is the same as the first, but they use the information sources (e.g. TV, news, etc.) available to the peer-of-peer rather than their adaptation strategies. </w:t>
      </w:r>
    </w:p>
    <w:p w14:paraId="4C398B5C" w14:textId="77777777" w:rsidR="00386762" w:rsidRDefault="00386762" w:rsidP="003C62A8">
      <w:pPr>
        <w:spacing w:line="240" w:lineRule="auto"/>
      </w:pPr>
    </w:p>
    <w:p w14:paraId="20632959" w14:textId="77777777" w:rsidR="00386762" w:rsidRDefault="00386762" w:rsidP="00386762">
      <w:pPr>
        <w:spacing w:line="240" w:lineRule="auto"/>
        <w:rPr>
          <w:b/>
          <w:bCs/>
        </w:rPr>
      </w:pPr>
      <w:r w:rsidRPr="002E4EC8">
        <w:rPr>
          <w:b/>
          <w:bCs/>
        </w:rPr>
        <w:t>Source:</w:t>
      </w:r>
      <w:r>
        <w:rPr>
          <w:b/>
          <w:bCs/>
        </w:rPr>
        <w:t xml:space="preserve"> </w:t>
      </w:r>
    </w:p>
    <w:p w14:paraId="173610AE" w14:textId="77777777" w:rsidR="00386762" w:rsidRDefault="00386762" w:rsidP="00386762">
      <w:pPr>
        <w:spacing w:line="240" w:lineRule="auto"/>
        <w:rPr>
          <w:b/>
          <w:bCs/>
        </w:rPr>
      </w:pPr>
    </w:p>
    <w:p w14:paraId="102A926B" w14:textId="4C3FD6FB" w:rsidR="00386762" w:rsidRPr="00DA6A3E" w:rsidRDefault="00386762" w:rsidP="00386762">
      <w:pPr>
        <w:spacing w:line="240" w:lineRule="auto"/>
      </w:pPr>
      <w:r>
        <w:rPr>
          <w:b/>
          <w:bCs/>
        </w:rPr>
        <w:t>Summary</w:t>
      </w:r>
      <w:r w:rsidRPr="003C62A8">
        <w:t>:</w:t>
      </w:r>
      <w:r>
        <w:t xml:space="preserve"> </w:t>
      </w:r>
    </w:p>
    <w:p w14:paraId="738C4172" w14:textId="77777777" w:rsidR="00386762" w:rsidRPr="00DA6A3E" w:rsidRDefault="00386762" w:rsidP="003C62A8">
      <w:pPr>
        <w:spacing w:line="240" w:lineRule="auto"/>
      </w:pPr>
    </w:p>
    <w:sectPr w:rsidR="00386762" w:rsidRPr="00DA6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7F3A2" w14:textId="77777777" w:rsidR="00632A2C" w:rsidRDefault="00632A2C" w:rsidP="008078EE">
      <w:pPr>
        <w:spacing w:line="240" w:lineRule="auto"/>
      </w:pPr>
      <w:r>
        <w:separator/>
      </w:r>
    </w:p>
  </w:endnote>
  <w:endnote w:type="continuationSeparator" w:id="0">
    <w:p w14:paraId="3A0FBDB0" w14:textId="77777777" w:rsidR="00632A2C" w:rsidRDefault="00632A2C" w:rsidP="00807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6F297" w14:textId="77777777" w:rsidR="00632A2C" w:rsidRDefault="00632A2C" w:rsidP="008078EE">
      <w:pPr>
        <w:spacing w:line="240" w:lineRule="auto"/>
      </w:pPr>
      <w:r>
        <w:separator/>
      </w:r>
    </w:p>
  </w:footnote>
  <w:footnote w:type="continuationSeparator" w:id="0">
    <w:p w14:paraId="5F943099" w14:textId="77777777" w:rsidR="00632A2C" w:rsidRDefault="00632A2C" w:rsidP="008078EE">
      <w:pPr>
        <w:spacing w:line="240" w:lineRule="auto"/>
      </w:pPr>
      <w:r>
        <w:continuationSeparator/>
      </w:r>
    </w:p>
  </w:footnote>
  <w:footnote w:id="1">
    <w:p w14:paraId="5C359147" w14:textId="77777777" w:rsidR="008078EE" w:rsidRDefault="008078EE" w:rsidP="008078EE">
      <w:pPr>
        <w:pStyle w:val="FootnoteText"/>
      </w:pPr>
      <w:r>
        <w:rPr>
          <w:rStyle w:val="FootnoteReference"/>
        </w:rPr>
        <w:footnoteRef/>
      </w:r>
      <w:r>
        <w:t xml:space="preserve"> Agglomeration bonuses are </w:t>
      </w:r>
      <w:r w:rsidRPr="00B62437">
        <w:t>additional bonus</w:t>
      </w:r>
      <w:r>
        <w:t>es</w:t>
      </w:r>
      <w:r w:rsidRPr="00B62437">
        <w:t xml:space="preserve"> if</w:t>
      </w:r>
      <w:r>
        <w:t xml:space="preserve"> residents</w:t>
      </w:r>
      <w:r w:rsidRPr="00B62437">
        <w:t xml:space="preserve"> move in group with</w:t>
      </w:r>
      <w:r>
        <w:t xml:space="preserve"> their</w:t>
      </w:r>
      <w:r w:rsidRPr="00B62437">
        <w:t xml:space="preserve"> neighbors</w:t>
      </w:r>
      <w:r>
        <w:t>.</w:t>
      </w:r>
    </w:p>
  </w:footnote>
  <w:footnote w:id="2">
    <w:p w14:paraId="0E132A56" w14:textId="77777777" w:rsidR="008078EE" w:rsidRDefault="008078EE" w:rsidP="008078EE">
      <w:pPr>
        <w:pStyle w:val="FootnoteText"/>
      </w:pPr>
      <w:r>
        <w:rPr>
          <w:rStyle w:val="FootnoteReference"/>
        </w:rPr>
        <w:footnoteRef/>
      </w:r>
      <w:r>
        <w:t xml:space="preserve"> A target constraint is when the government </w:t>
      </w:r>
      <w:r w:rsidRPr="00FF0552">
        <w:t>impose</w:t>
      </w:r>
      <w:r>
        <w:t xml:space="preserve">s a </w:t>
      </w:r>
      <w:r w:rsidRPr="00FF0552">
        <w:t>minimum level of participation for buyout to go through</w:t>
      </w:r>
      <w:r>
        <w:t>.</w:t>
      </w:r>
    </w:p>
  </w:footnote>
  <w:footnote w:id="3">
    <w:p w14:paraId="104BDB0B" w14:textId="77777777" w:rsidR="008078EE" w:rsidRDefault="008078EE" w:rsidP="008078EE">
      <w:pPr>
        <w:pStyle w:val="FootnoteText"/>
      </w:pPr>
      <w:r>
        <w:rPr>
          <w:rStyle w:val="FootnoteReference"/>
        </w:rPr>
        <w:footnoteRef/>
      </w:r>
      <w:r>
        <w:t xml:space="preserve"> Cheap talk is communication with neighbors.</w:t>
      </w:r>
    </w:p>
  </w:footnote>
  <w:footnote w:id="4">
    <w:p w14:paraId="52EFECA2" w14:textId="77777777" w:rsidR="00546BEA" w:rsidRDefault="00546BEA" w:rsidP="00546BEA">
      <w:pPr>
        <w:pStyle w:val="FootnoteText"/>
      </w:pPr>
      <w:r>
        <w:rPr>
          <w:rStyle w:val="FootnoteReference"/>
        </w:rPr>
        <w:footnoteRef/>
      </w:r>
      <w:r>
        <w:t xml:space="preserve"> </w:t>
      </w:r>
      <w:r w:rsidRPr="006542E2">
        <w:t>They estimate average WTP of about $600.</w:t>
      </w:r>
    </w:p>
  </w:footnote>
  <w:footnote w:id="5">
    <w:p w14:paraId="0FFB3CA2" w14:textId="0A6FF94F" w:rsidR="00F34694" w:rsidRDefault="00F34694">
      <w:pPr>
        <w:pStyle w:val="FootnoteText"/>
      </w:pPr>
      <w:r>
        <w:rPr>
          <w:rStyle w:val="FootnoteReference"/>
        </w:rPr>
        <w:footnoteRef/>
      </w:r>
      <w:r>
        <w:t xml:space="preserve"> Social activities </w:t>
      </w:r>
      <w:proofErr w:type="gramStart"/>
      <w:r>
        <w:t>is</w:t>
      </w:r>
      <w:proofErr w:type="gramEnd"/>
      <w:r>
        <w:t xml:space="preserve"> 3.64 while social ties Is 3.7 out of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40A"/>
    <w:multiLevelType w:val="hybridMultilevel"/>
    <w:tmpl w:val="E9A0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18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E"/>
    <w:rsid w:val="00026525"/>
    <w:rsid w:val="00210190"/>
    <w:rsid w:val="002101CF"/>
    <w:rsid w:val="002E4EC8"/>
    <w:rsid w:val="00300A4B"/>
    <w:rsid w:val="00386762"/>
    <w:rsid w:val="003C62A8"/>
    <w:rsid w:val="004010DD"/>
    <w:rsid w:val="00476AAE"/>
    <w:rsid w:val="004A155A"/>
    <w:rsid w:val="004F1323"/>
    <w:rsid w:val="00510868"/>
    <w:rsid w:val="00517D71"/>
    <w:rsid w:val="00546BEA"/>
    <w:rsid w:val="005A5C35"/>
    <w:rsid w:val="00632A2C"/>
    <w:rsid w:val="006F6692"/>
    <w:rsid w:val="007224EB"/>
    <w:rsid w:val="008078EE"/>
    <w:rsid w:val="00844806"/>
    <w:rsid w:val="00846E86"/>
    <w:rsid w:val="008C2291"/>
    <w:rsid w:val="009151BF"/>
    <w:rsid w:val="00980158"/>
    <w:rsid w:val="009D0A63"/>
    <w:rsid w:val="00A40DF7"/>
    <w:rsid w:val="00AE3149"/>
    <w:rsid w:val="00AF7949"/>
    <w:rsid w:val="00BA360E"/>
    <w:rsid w:val="00BC23D9"/>
    <w:rsid w:val="00CE2E32"/>
    <w:rsid w:val="00DA6A3E"/>
    <w:rsid w:val="00DC0EFF"/>
    <w:rsid w:val="00DD22AC"/>
    <w:rsid w:val="00DE4E0E"/>
    <w:rsid w:val="00EA505B"/>
    <w:rsid w:val="00EB4115"/>
    <w:rsid w:val="00EE4ADE"/>
    <w:rsid w:val="00F3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AF1"/>
  <w15:chartTrackingRefBased/>
  <w15:docId w15:val="{877E1DD3-1C6D-463C-BF4F-26B53C92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EE"/>
    <w:pPr>
      <w:spacing w:after="0" w:line="480" w:lineRule="auto"/>
    </w:pPr>
    <w:rPr>
      <w:kern w:val="0"/>
      <w:sz w:val="22"/>
      <w:szCs w:val="22"/>
      <w14:ligatures w14:val="none"/>
    </w:rPr>
  </w:style>
  <w:style w:type="paragraph" w:styleId="Heading1">
    <w:name w:val="heading 1"/>
    <w:basedOn w:val="Normal"/>
    <w:next w:val="Normal"/>
    <w:link w:val="Heading1Char"/>
    <w:uiPriority w:val="9"/>
    <w:qFormat/>
    <w:rsid w:val="00807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EE"/>
    <w:rPr>
      <w:rFonts w:eastAsiaTheme="majorEastAsia" w:cstheme="majorBidi"/>
      <w:color w:val="272727" w:themeColor="text1" w:themeTint="D8"/>
    </w:rPr>
  </w:style>
  <w:style w:type="paragraph" w:styleId="Title">
    <w:name w:val="Title"/>
    <w:basedOn w:val="Normal"/>
    <w:next w:val="Normal"/>
    <w:link w:val="TitleChar"/>
    <w:uiPriority w:val="10"/>
    <w:qFormat/>
    <w:rsid w:val="0080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8EE"/>
    <w:pPr>
      <w:spacing w:before="160"/>
      <w:jc w:val="center"/>
    </w:pPr>
    <w:rPr>
      <w:i/>
      <w:iCs/>
      <w:color w:val="404040" w:themeColor="text1" w:themeTint="BF"/>
    </w:rPr>
  </w:style>
  <w:style w:type="character" w:customStyle="1" w:styleId="QuoteChar">
    <w:name w:val="Quote Char"/>
    <w:basedOn w:val="DefaultParagraphFont"/>
    <w:link w:val="Quote"/>
    <w:uiPriority w:val="29"/>
    <w:rsid w:val="008078EE"/>
    <w:rPr>
      <w:i/>
      <w:iCs/>
      <w:color w:val="404040" w:themeColor="text1" w:themeTint="BF"/>
    </w:rPr>
  </w:style>
  <w:style w:type="paragraph" w:styleId="ListParagraph">
    <w:name w:val="List Paragraph"/>
    <w:basedOn w:val="Normal"/>
    <w:uiPriority w:val="34"/>
    <w:qFormat/>
    <w:rsid w:val="008078EE"/>
    <w:pPr>
      <w:ind w:left="720"/>
      <w:contextualSpacing/>
    </w:pPr>
  </w:style>
  <w:style w:type="character" w:styleId="IntenseEmphasis">
    <w:name w:val="Intense Emphasis"/>
    <w:basedOn w:val="DefaultParagraphFont"/>
    <w:uiPriority w:val="21"/>
    <w:qFormat/>
    <w:rsid w:val="008078EE"/>
    <w:rPr>
      <w:i/>
      <w:iCs/>
      <w:color w:val="0F4761" w:themeColor="accent1" w:themeShade="BF"/>
    </w:rPr>
  </w:style>
  <w:style w:type="paragraph" w:styleId="IntenseQuote">
    <w:name w:val="Intense Quote"/>
    <w:basedOn w:val="Normal"/>
    <w:next w:val="Normal"/>
    <w:link w:val="IntenseQuoteChar"/>
    <w:uiPriority w:val="30"/>
    <w:qFormat/>
    <w:rsid w:val="00807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EE"/>
    <w:rPr>
      <w:i/>
      <w:iCs/>
      <w:color w:val="0F4761" w:themeColor="accent1" w:themeShade="BF"/>
    </w:rPr>
  </w:style>
  <w:style w:type="character" w:styleId="IntenseReference">
    <w:name w:val="Intense Reference"/>
    <w:basedOn w:val="DefaultParagraphFont"/>
    <w:uiPriority w:val="32"/>
    <w:qFormat/>
    <w:rsid w:val="008078EE"/>
    <w:rPr>
      <w:b/>
      <w:bCs/>
      <w:smallCaps/>
      <w:color w:val="0F4761" w:themeColor="accent1" w:themeShade="BF"/>
      <w:spacing w:val="5"/>
    </w:rPr>
  </w:style>
  <w:style w:type="table" w:styleId="TableGrid">
    <w:name w:val="Table Grid"/>
    <w:basedOn w:val="TableNormal"/>
    <w:uiPriority w:val="39"/>
    <w:rsid w:val="008078E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8EE"/>
    <w:rPr>
      <w:color w:val="467886" w:themeColor="hyperlink"/>
      <w:u w:val="single"/>
    </w:rPr>
  </w:style>
  <w:style w:type="paragraph" w:styleId="FootnoteText">
    <w:name w:val="footnote text"/>
    <w:basedOn w:val="Normal"/>
    <w:link w:val="FootnoteTextChar"/>
    <w:uiPriority w:val="99"/>
    <w:semiHidden/>
    <w:unhideWhenUsed/>
    <w:rsid w:val="008078EE"/>
    <w:pPr>
      <w:spacing w:line="240" w:lineRule="auto"/>
    </w:pPr>
    <w:rPr>
      <w:sz w:val="20"/>
      <w:szCs w:val="20"/>
    </w:rPr>
  </w:style>
  <w:style w:type="character" w:customStyle="1" w:styleId="FootnoteTextChar">
    <w:name w:val="Footnote Text Char"/>
    <w:basedOn w:val="DefaultParagraphFont"/>
    <w:link w:val="FootnoteText"/>
    <w:uiPriority w:val="99"/>
    <w:semiHidden/>
    <w:rsid w:val="008078EE"/>
    <w:rPr>
      <w:kern w:val="0"/>
      <w:sz w:val="20"/>
      <w:szCs w:val="20"/>
      <w14:ligatures w14:val="none"/>
    </w:rPr>
  </w:style>
  <w:style w:type="character" w:styleId="FootnoteReference">
    <w:name w:val="footnote reference"/>
    <w:basedOn w:val="DefaultParagraphFont"/>
    <w:uiPriority w:val="99"/>
    <w:semiHidden/>
    <w:unhideWhenUsed/>
    <w:rsid w:val="008078EE"/>
    <w:rPr>
      <w:vertAlign w:val="superscript"/>
    </w:rPr>
  </w:style>
  <w:style w:type="character" w:styleId="UnresolvedMention">
    <w:name w:val="Unresolved Mention"/>
    <w:basedOn w:val="DefaultParagraphFont"/>
    <w:uiPriority w:val="99"/>
    <w:semiHidden/>
    <w:unhideWhenUsed/>
    <w:rsid w:val="00807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3368/le.98.4.052721-00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jebo.2025.01.004" TargetMode="External"/><Relationship Id="rId5" Type="http://schemas.openxmlformats.org/officeDocument/2006/relationships/styles" Target="styles.xml"/><Relationship Id="rId10" Type="http://schemas.openxmlformats.org/officeDocument/2006/relationships/hyperlink" Target="https://doi.org/10.1016/j.jfineco.2022.02.0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6" ma:contentTypeDescription="Create a new document." ma:contentTypeScope="" ma:versionID="0329eb1172e3e2bb210cc0d14101b948">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742184678c46a89a3d824c3c7a548713"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Props1.xml><?xml version="1.0" encoding="utf-8"?>
<ds:datastoreItem xmlns:ds="http://schemas.openxmlformats.org/officeDocument/2006/customXml" ds:itemID="{CDB75FE8-F19A-4720-A849-AE2E95B8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748DF2-4C7E-4FAC-9159-DD39B71797A1}">
  <ds:schemaRefs>
    <ds:schemaRef ds:uri="http://schemas.microsoft.com/sharepoint/v3/contenttype/forms"/>
  </ds:schemaRefs>
</ds:datastoreItem>
</file>

<file path=customXml/itemProps3.xml><?xml version="1.0" encoding="utf-8"?>
<ds:datastoreItem xmlns:ds="http://schemas.openxmlformats.org/officeDocument/2006/customXml" ds:itemID="{C112EA18-0A44-4D0D-8CE4-006BF224B62A}">
  <ds:schemaRefs>
    <ds:schemaRef ds:uri="http://schemas.microsoft.com/office/2006/metadata/properties"/>
    <ds:schemaRef ds:uri="http://schemas.microsoft.com/office/infopath/2007/PartnerControls"/>
    <ds:schemaRef ds:uri="81c8d946-e74e-4658-82bc-01095f10b832"/>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7</cp:revision>
  <dcterms:created xsi:type="dcterms:W3CDTF">2025-01-21T16:41:00Z</dcterms:created>
  <dcterms:modified xsi:type="dcterms:W3CDTF">2025-01-21T23:13:00Z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2025-01-20T18:37:07Z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a14fe232-bff3-444d-9e00-ad8baba798f3</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