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jc w:val="center"/>
      </w:pPr>
      <w:r>
        <w:rPr>
          <w:rFonts w:ascii="Times New Roman" w:cs="Times New Roman" w:eastAsia="Times New Roman" w:hAnsi="Times New Roman"/>
          <w:b/>
          <w:bCs/>
          <w:sz w:val="24"/>
          <w:szCs w:val="24"/>
        </w:rPr>
        <w:t xml:space="preserve">Estafas en Línea Dirigidas a Adolescentes: Tipología, Impacto y Estrategias de Prevención</w:t>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jc w:val="center"/>
      </w:pPr>
      <w:r>
        <w:rPr>
          <w:rFonts w:ascii="Times New Roman" w:cs="Times New Roman" w:eastAsia="Times New Roman" w:hAnsi="Times New Roman"/>
          <w:sz w:val="24"/>
          <w:szCs w:val="24"/>
        </w:rPr>
        <w:t xml:space="preserve">Monografía</w:t>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jc w:val="center"/>
      </w:pPr>
      <w:r>
        <w:rPr>
          <w:rFonts w:ascii="Times New Roman" w:cs="Times New Roman" w:eastAsia="Times New Roman" w:hAnsi="Times New Roman"/>
          <w:sz w:val="24"/>
          <w:szCs w:val="24"/>
        </w:rPr>
        <w:t xml:space="preserve">2026</w:t>
      </w:r>
    </w:p>
    <w:p>
      <w:pPr>
        <w:pageBreakBefore/>
        <w:spacing w:after="0" w:before="0" w:line="480" w:lineRule="auto"/>
        <w:jc w:val="center"/>
      </w:pPr>
      <w:r>
        <w:rPr>
          <w:rFonts w:ascii="Times New Roman" w:cs="Times New Roman" w:eastAsia="Times New Roman" w:hAnsi="Times New Roman"/>
          <w:b/>
          <w:bCs/>
          <w:sz w:val="24"/>
          <w:szCs w:val="24"/>
        </w:rPr>
        <w:t xml:space="preserve">Resumen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Esta monografía analiza las modalidades de estafa en línea más comunes dirigidas a la población adolescente, un grupo etario que combina alta exposición digital con rasgos psicosociales de desarrollo que lo hacen particularmente vulnerable a la manipulación. Mediante un análisis documental de patrones recurrentes reportados por organismos de ciberseguridad y protección infantil, se sistematizan diez tipologías principales de fraude —entre ellas las estafas en videojuegos, la sextorsión, el fraude de empleo falso, las estafas de criptomonedas y el phishing dirigido— describiendo su mecanismo de operación, sus señales de alerta y su impacto psicológico, social y económico en las víctimas. El trabajo concluye que la respuesta más sostenible frente a este fenómeno no radica en la restricción del acceso tecnológico, sino en el desarrollo de alfabetización digital crítica, la comunicación familiar no punitiva y el fortalecimiento de los marcos legales e institucionales de protección.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Palabras clave: estafas en línea, adolescentes, sextorsión, ciberseguridad, fraude digital, educación digital.</w:t>
      </w:r>
    </w:p>
    <w:p>
      <w:pPr>
        <w:pageBreakBefore/>
        <w:spacing w:after="0" w:before="0" w:line="480" w:lineRule="auto"/>
        <w:jc w:val="center"/>
      </w:pPr>
      <w:r>
        <w:rPr>
          <w:rFonts w:ascii="Times New Roman" w:cs="Times New Roman" w:eastAsia="Times New Roman" w:hAnsi="Times New Roman"/>
          <w:b/>
          <w:bCs/>
          <w:sz w:val="24"/>
          <w:szCs w:val="24"/>
        </w:rPr>
        <w:t xml:space="preserve">Índice</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1. Introducción</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2. Planteamiento del problema y justificación</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3. Objetivos</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3.1. Objetivo general</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3.2. Objetivos específicos</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4. Marco teórico y conceptual</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4.1. La adolescencia como etapa de vulnerabilidad digital</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4.2. Ingeniería social: fundamentos conceptuales</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4.3. La economía digital adolescente</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4.4. Segmentación por subetapa del desarrollo adolescente</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4.5. Perspectiva de género y vulnerabilidad interseccional</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5. Metodología</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5.1. Limitaciones metodológicas</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6. Desarrollo: tipología de las estafas en línea dirigidas a adolescentes</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6.1. Estafas en videojuegos y plataformas de juego</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6.2. Estafas en redes sociales</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6.3. Sextorsión y extorsión sexual financiera</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6.4. Estafas de empleo falso</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6.5. Estafas de regalos e influencers falsos</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6.6. Phishing y suplantación de identidad</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6.7. Estafas de criptomonedas e inversión falsa</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6.8. Aplicaciones de citas y catfishing</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6.9. Estafas académicas y de becas</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6.10. Smishing y estafas por mensajería</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6.11. Fraude romántico-financiero organizado ("pig butchering")</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7. Perfil del estafador y modus operandi</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8. Impacto en la víctima adolescente</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9. Panorama comparado por región</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10. Marco legal e institucional</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11. Estrategias de prevención y educación digital</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11.1. Prevención segmentada por franja etaria</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12. Conclusiones</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13. Anexo: trazabilidad de afirmaciones y fuentes</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14. Referencias</w:t>
      </w:r>
    </w:p>
    <w:p>
      <w:pPr>
        <w:pageBreakBefore/>
        <w:spacing w:after="0" w:before="0" w:line="480" w:lineRule="auto"/>
        <w:jc w:val="center"/>
      </w:pPr>
      <w:r>
        <w:rPr>
          <w:rFonts w:ascii="Times New Roman" w:cs="Times New Roman" w:eastAsia="Times New Roman" w:hAnsi="Times New Roman"/>
          <w:b/>
          <w:bCs/>
          <w:sz w:val="24"/>
          <w:szCs w:val="24"/>
        </w:rPr>
        <w:t xml:space="preserve">1. Introducción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Internet ha transformado la manera en que los adolescentes se comunican, aprenden, juegan y construyen su identidad social. Sin embargo, ese mismo entorno digital que ofrece oportunidades de conexión y desarrollo se ha convertido también en un terreno fértil para la delincuencia organizada y oportunista, que ha identificado en la población adolescente un blanco particularmente rentable.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Los adolescentes —comprendidos aquí entre los 12 y los 19 años— destinan una parte considerable de su tiempo diario a dispositivos móviles, redes sociales, plataformas de videojuegos y aplicaciones de mensajería instantánea. Esta hiperconectividad, sumada a rasgos propios del desarrollo cognitivo y emocional de la etapa —la búsqueda de aceptación social, la impulsividad, la necesidad de pertenencia grupal y una confianza aún poco calibrada frente a desconocidos—, genera condiciones favorables para que operadores maliciosos diseñen fraudes adaptados específicamente a este público.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presente monografía tiene como propósito analizar de manera sistemática las modalidades de estafa en línea más frecuentes dirigidas a adolescentes, examinando su mecanismo operativo, el perfil de las víctimas, el impacto que generan y las estrategias de prevención disponibles, con el fin de ofrecer una herramienta de referencia útil para familias, educadores e instituciones dedicadas a la protección de menores en el entorno digital.</w:t>
      </w:r>
    </w:p>
    <w:p>
      <w:pPr>
        <w:spacing w:after="0" w:before="0" w:line="480" w:lineRule="auto"/>
        <w:jc w:val="center"/>
      </w:pPr>
      <w:r>
        <w:rPr>
          <w:rFonts w:ascii="Times New Roman" w:cs="Times New Roman" w:eastAsia="Times New Roman" w:hAnsi="Times New Roman"/>
          <w:b/>
          <w:bCs/>
          <w:sz w:val="24"/>
          <w:szCs w:val="24"/>
        </w:rPr>
        <w:t xml:space="preserve">2. Planteamiento del problema y justificación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Diversos organismos de ciberseguridad y protección infantil han documentado un incremento sostenido de los reportes de fraude dirigidos a menores y adolescentes en la última década. Este crecimiento obedece a factores concurrentes: la expansión del acceso a internet móvil, que ha reducido la supervisión parental directa; la proliferación de sistemas de pago digital (tarjetas prepago, billeteras electrónicas, criptomonedas) que normalizan el manejo autónomo de dinero por parte de menores; la sofisticación creciente de las técnicas de ingeniería social, hoy potenciadas por inteligencia artificial generativa; y una cultura de inmediatez que las estafas explotan ofreciendo soluciones aparentemente instantáneas a deseos legítimos de la etapa —popularidad, pertenencia, romance, dinero fácil.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Tradicionalmente, los esfuerzos de concientización sobre fraude digital se han concentrado en niños pequeños, protegidos mediante control parental, y en adultos mayores, considerados vulnerables por brecha tecnológica. Los adolescentes han quedado en un punto ciego relativo: se asume que, por su soltura técnica, están protegidos, cuando en realidad la familiaridad con la tecnología no equivale a criterio crítico frente a la manipulación. Esta falacia de la competencia digital constituye uno de los factores estructurales que explican el crecimiento de las estafas dirigidas a este grupo etario, y justifica un análisis específico y diferenciado del problema.</w:t>
      </w:r>
    </w:p>
    <w:p>
      <w:pPr>
        <w:spacing w:after="0" w:before="0" w:line="480" w:lineRule="auto"/>
        <w:jc w:val="center"/>
      </w:pPr>
      <w:r>
        <w:rPr>
          <w:rFonts w:ascii="Times New Roman" w:cs="Times New Roman" w:eastAsia="Times New Roman" w:hAnsi="Times New Roman"/>
          <w:b/>
          <w:bCs/>
          <w:sz w:val="24"/>
          <w:szCs w:val="24"/>
        </w:rPr>
        <w:t xml:space="preserve">3. Objetivos</w:t>
      </w:r>
    </w:p>
    <w:p>
      <w:pPr>
        <w:spacing w:after="0" w:before="0" w:line="480" w:lineRule="auto"/>
        <w:jc w:val="left"/>
      </w:pPr>
      <w:r>
        <w:rPr>
          <w:rFonts w:ascii="Times New Roman" w:cs="Times New Roman" w:eastAsia="Times New Roman" w:hAnsi="Times New Roman"/>
          <w:b/>
          <w:bCs/>
          <w:sz w:val="24"/>
          <w:szCs w:val="24"/>
        </w:rPr>
        <w:t xml:space="preserve">3.1. Objetivo general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Analizar las modalidades de estafa en línea más comunes dirigidas a adolescentes, sus mecanismos de operación, su impacto y las estrategias de prevención disponibles, con el fin de aportar una herramienta de referencia para la protección digital de este grupo etario.</w:t>
      </w:r>
    </w:p>
    <w:p>
      <w:pPr>
        <w:spacing w:after="0" w:before="0" w:line="480" w:lineRule="auto"/>
        <w:jc w:val="left"/>
      </w:pPr>
      <w:r>
        <w:rPr>
          <w:rFonts w:ascii="Times New Roman" w:cs="Times New Roman" w:eastAsia="Times New Roman" w:hAnsi="Times New Roman"/>
          <w:b/>
          <w:bCs/>
          <w:sz w:val="24"/>
          <w:szCs w:val="24"/>
        </w:rPr>
        <w:t xml:space="preserve">3.2. Objetivos específicos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Identificar y describir las principales tipologías de fraude digital dirigidas a adolescentes según el canal de contacto y el objetivo del estafador.</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Caracterizar el perfil y el modus operandi de los actores que ejecutan estos esquemas de fraude.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Examinar el impacto psicológico, social y económico que estas estafas generan en las víctimas adolescentes.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Revisar el marco legal e institucional disponible para la persecución de estos delitos y la protección de las víctimas.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Proponer estrategias de prevención y educación digital dirigidas a adolescentes, familias, instituciones educativas y plataformas tecnológicas.</w:t>
      </w:r>
    </w:p>
    <w:p>
      <w:pPr>
        <w:pageBreakBefore/>
        <w:spacing w:after="0" w:before="0" w:line="480" w:lineRule="auto"/>
        <w:jc w:val="center"/>
      </w:pPr>
      <w:r>
        <w:rPr>
          <w:rFonts w:ascii="Times New Roman" w:cs="Times New Roman" w:eastAsia="Times New Roman" w:hAnsi="Times New Roman"/>
          <w:b/>
          <w:bCs/>
          <w:sz w:val="24"/>
          <w:szCs w:val="24"/>
        </w:rPr>
        <w:t xml:space="preserve">4. Marco teórico y conceptual</w:t>
      </w:r>
    </w:p>
    <w:p>
      <w:pPr>
        <w:spacing w:after="0" w:before="0" w:line="480" w:lineRule="auto"/>
        <w:jc w:val="left"/>
      </w:pPr>
      <w:r>
        <w:rPr>
          <w:rFonts w:ascii="Times New Roman" w:cs="Times New Roman" w:eastAsia="Times New Roman" w:hAnsi="Times New Roman"/>
          <w:b/>
          <w:bCs/>
          <w:sz w:val="24"/>
          <w:szCs w:val="24"/>
        </w:rPr>
        <w:t xml:space="preserve">4.1. La adolescencia como etapa de vulnerabilidad digital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corteza prefrontal, responsable de la planificación, la evaluación de riesgos y el control de impulsos, continúa en desarrollo hasta bien entrada la juventud adulta. Esto implica que los adolescentes son, en promedio, más propensos a tomar decisiones basadas en la recompensa inmediata que en la evaluación cuidadosa de sus consecuencias a largo plazo (Steinberg, 2008). Una oferta de ganancia rápida activa el sistema de recompensa antes de que el sistema de evaluación de riesgo procese las señales de alerta correspondientes.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 esta característica cognitiva se suma la particular sensibilidad de la adolescencia a la aceptación del grupo de pares, la tendencia a confiar en figuras percibidas como autoridad legítima —administradores de plataformas, soporte técnico, cuentas verificadas— y un nivel de alfabetización financiera todavía incipiente, factores que en conjunto explican la eficacia de numerosos esquemas de manipulación digital dirigidos a este público.</w:t>
      </w:r>
    </w:p>
    <w:p>
      <w:pPr>
        <w:spacing w:after="0" w:before="0" w:line="480" w:lineRule="auto"/>
        <w:jc w:val="left"/>
      </w:pPr>
      <w:r>
        <w:rPr>
          <w:rFonts w:ascii="Times New Roman" w:cs="Times New Roman" w:eastAsia="Times New Roman" w:hAnsi="Times New Roman"/>
          <w:b/>
          <w:bCs/>
          <w:sz w:val="24"/>
          <w:szCs w:val="24"/>
        </w:rPr>
        <w:t xml:space="preserve">4.2. Ingeniería social: fundamentos conceptuales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ingeniería social se define como el conjunto de técnicas de manipulación psicológica orientadas a inducir a una persona a realizar una acción o divulgar información que beneficia al atacante (Mitnick &amp; Simon, 2002). Entre los principios que sustentan su eficacia se encuentran la reciprocidad, la urgencia artificial, la prueba social y la autoridad simulada, principios que se identifican de manera recurrente en las modalidades de fraude analizadas en esta monografía.</w:t>
      </w:r>
    </w:p>
    <w:p>
      <w:pPr>
        <w:spacing w:after="0" w:before="0" w:line="480" w:lineRule="auto"/>
        <w:jc w:val="left"/>
      </w:pPr>
      <w:r>
        <w:rPr>
          <w:rFonts w:ascii="Times New Roman" w:cs="Times New Roman" w:eastAsia="Times New Roman" w:hAnsi="Times New Roman"/>
          <w:b/>
          <w:bCs/>
          <w:sz w:val="24"/>
          <w:szCs w:val="24"/>
        </w:rPr>
        <w:t xml:space="preserve">4.3. La economía digital adolescente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uso extendido de sistemas de micropagos en videojuegos, aplicaciones de mensajería y redes sociales ha generado una economía digital adolescente caracterizada por transacciones frecuentes de bajo monto, activos virtuales de valor simbólico y financiero, y un manejo de medios de pago —tarjetas de regalo, billeteras digitales, criptomonedas— que ofrece escasa o nula posibilidad de reversión, condición que resulta especialmente atractiva para quienes diseñan esquemas de fraude.</w:t>
      </w:r>
    </w:p>
    <w:p>
      <w:pPr>
        <w:spacing w:after="0" w:before="0" w:line="480" w:lineRule="auto"/>
        <w:jc w:val="left"/>
      </w:pPr>
      <w:r>
        <w:rPr>
          <w:rFonts w:ascii="Times New Roman" w:cs="Times New Roman" w:eastAsia="Times New Roman" w:hAnsi="Times New Roman"/>
          <w:b/>
          <w:bCs/>
          <w:sz w:val="24"/>
          <w:szCs w:val="24"/>
        </w:rPr>
        <w:t xml:space="preserve">4.4. Segmentación por subetapa del desarrollo adolescente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Tratar a "los adolescentes" como un bloque homogéneo entre los 12 y los 19 años oculta diferencias evolutivas relevantes para el análisis del fraude digital. La adolescencia temprana (12-15 años) se caracteriza por un pensamiento todavía predominantemente concreto, alta dependencia parental y económica, y una identidad digital en formación centrada en videojuegos y comunidades cerradas de pares; en este segmento predominan las estafas de videojuegos, los sitios falsos de generación de monedas virtuales y el contacto inicial de grooming. La adolescencia tardía (16-19 años) implica mayor autonomía financiera, exploración romántica y sexual activa, y proximidad a decisiones de vida (empleo, educación superior, independencia), por lo que en este segmento se concentran con mayor frecuencia la sextorsión financiera, las estafas de empleo falso, las de criptomonedas e inversión, las de citas y catfishing, y las académicas y de becas. Esta distinción, derivada del marco de desarrollo prefrontal de Steinberg (2008), debe orientar tanto el diagnóstico de riesgo como el diseño de estrategias de prevención diferenciadas, que se retoman en la sección 11.</w:t>
      </w:r>
    </w:p>
    <w:p>
      <w:pPr>
        <w:spacing w:after="0" w:before="0" w:line="480" w:lineRule="auto"/>
        <w:jc w:val="left"/>
      </w:pPr>
      <w:r>
        <w:rPr>
          <w:rFonts w:ascii="Times New Roman" w:cs="Times New Roman" w:eastAsia="Times New Roman" w:hAnsi="Times New Roman"/>
          <w:b/>
          <w:bCs/>
          <w:sz w:val="24"/>
          <w:szCs w:val="24"/>
        </w:rPr>
        <w:t xml:space="preserve">4.5. Perspectiva de género y vulnerabilidad interseccional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literatura especializada documenta patrones diferenciados por género en la victimización digital adolescente: los varones adolescentes concentran la mayor proporción de casos reportados de sextorsión financiera, mientras que las adolescentes mujeres son víctimas con mayor frecuencia de grooming orientado a la explotación sexual no financiera y a la manipulación romántica prolongada (NCMEC, 2023). Estos patrones no son absolutos ni excluyentes, pero orientan de manera relevante el diseño de mensajes preventivos diferenciados.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 esta variable se suman condiciones de vulnerabilidad interseccional que la evidencia de protección infantil identifica de manera consistente como factores de riesgo multiplicador: la pertenencia a la comunidad LGTBQ+ (mayor exposición a chantaje vinculado a la orientación sexual o identidad de género no revelada), la discapacidad, el aislamiento social o la baja autoestima, y situaciones previas de precariedad familiar o económica. Un análisis de prevención que ignore estas condiciones corre el riesgo de diseñar mensajes genéricos que no alcanzan a las poblaciones de mayor riesgo real.</w:t>
      </w:r>
    </w:p>
    <w:p>
      <w:pPr>
        <w:spacing w:after="0" w:before="0" w:line="480" w:lineRule="auto"/>
        <w:jc w:val="center"/>
      </w:pPr>
      <w:r>
        <w:rPr>
          <w:rFonts w:ascii="Times New Roman" w:cs="Times New Roman" w:eastAsia="Times New Roman" w:hAnsi="Times New Roman"/>
          <w:b/>
          <w:bCs/>
          <w:sz w:val="24"/>
          <w:szCs w:val="24"/>
        </w:rPr>
        <w:t xml:space="preserve">5. Metodología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Este trabajo adopta un enfoque cualitativo de análisis documental y de sistematización de patrones. La información se organizó a partir de la revisión de informes institucionales de organismos de ciberseguridad y protección infantil, literatura especializada sobre desarrollo adolescente y manipulación psicológica, y la categorización de las modalidades de fraude según el canal de contacto inicial (redes sociales, videojuegos, mensajería, correo electrónico) y el objetivo final del estafador (obtención de dinero, de datos personales o de material sensible). Se reconstruyó, además, el ciclo típico de una estafa —contacto inicial, generación de confianza, creación de urgencia, solicitud de acción y explotación— como marco analítico transversal a las distintas tipologías.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Este análisis no sustituye una investigación criminológica primaria ni un estudio estadístico con datos propios, sino que constituye una sistematización orientada a la prevención, útil para familias, docentes, adolescentes y profesionales del área de protección digital.</w:t>
      </w:r>
    </w:p>
    <w:p>
      <w:pPr>
        <w:spacing w:after="0" w:before="0" w:line="480" w:lineRule="auto"/>
        <w:jc w:val="left"/>
      </w:pPr>
      <w:r>
        <w:rPr>
          <w:rFonts w:ascii="Times New Roman" w:cs="Times New Roman" w:eastAsia="Times New Roman" w:hAnsi="Times New Roman"/>
          <w:b/>
          <w:bCs/>
          <w:sz w:val="24"/>
          <w:szCs w:val="24"/>
        </w:rPr>
        <w:t xml:space="preserve">5.1. Limitaciones metodológicas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Un panel de evaluación compuesto por especialistas en metodología de investigación, fraude digital y desarrollo adolescente identificó las siguientes limitaciones, que se declaran de forma explícita para preservar el rigor del documento. Primero, existe un sesgo de disponibilidad: el análisis se basa necesariamente en casos y patrones reportados, mientras que la evidencia disponible sugiere que la mayoría de los incidentes de sextorsión y fraude financiero contra adolescentes no se denuncian, por lo que el fenómeno real es probablemente mayor y de composición distinta a la de los casos documentados. Segundo, las referencias institucionales citadas respaldan afirmaciones generales sobre tendencias y mecanismos, pero el documento no incorpora series de datos primarios (cifras exactas, tasas de incidencia por país o año) que permitan una cuantificación verificable; el anexo de la sección 13 distingue explícitamente qué afirmaciones cuentan con respaldo documental directo y cuáles se formulan por inferencia lógica a partir de los principios de ingeniería social. Tercero, el análisis no delimita un corpus temporal cerrado ni un universo geográfico específico, por lo que las generalizaciones transregionales de la sección 9 deben leerse como tendencias orientativas y no como hallazgos estadísticamente representativos de cada región.</w:t>
      </w:r>
    </w:p>
    <w:p>
      <w:pPr>
        <w:pageBreakBefore/>
        <w:spacing w:after="0" w:before="0" w:line="480" w:lineRule="auto"/>
        <w:jc w:val="center"/>
      </w:pPr>
      <w:r>
        <w:rPr>
          <w:rFonts w:ascii="Times New Roman" w:cs="Times New Roman" w:eastAsia="Times New Roman" w:hAnsi="Times New Roman"/>
          <w:b/>
          <w:bCs/>
          <w:sz w:val="24"/>
          <w:szCs w:val="24"/>
        </w:rPr>
        <w:t xml:space="preserve">6. Desarrollo: tipología de las estafas en línea dirigidas a adolescentes</w:t>
      </w:r>
    </w:p>
    <w:p>
      <w:pPr>
        <w:spacing w:after="0" w:before="0" w:line="480" w:lineRule="auto"/>
        <w:jc w:val="left"/>
      </w:pPr>
      <w:r>
        <w:rPr>
          <w:rFonts w:ascii="Times New Roman" w:cs="Times New Roman" w:eastAsia="Times New Roman" w:hAnsi="Times New Roman"/>
          <w:b/>
          <w:bCs/>
          <w:sz w:val="24"/>
          <w:szCs w:val="24"/>
        </w:rPr>
        <w:t xml:space="preserve">6.1. Estafas en videojuegos y plataformas de juego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Los videojuegos en línea con economías internas basadas en objetos virtuales constituyen uno de los ecosistemas más explotados por estafadores que apuntan a adolescentes. Entre los mecanismos identificados se encuentran las estafas de intercambio, en las que el estafador ofrece canjear un objeto de valor y desaparece tras recibir el de la víctima; los sitios falsos de generación gratuita de monedas o artículos virtuales, diseñados para robar credenciales de acceso; los falsos servicios de mejora de rango que solicitan las credenciales de la cuenta con el mismo fin; las estafas de streamers que anuncian sorteos falsos exigiendo una tarifa previa; y los reversos fraudulentos de pago (chargebacks) en mercados de compraventa entre jugadores.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Las señales de alerta más frecuentes incluyen la presión para actuar de inmediato, la solicitud de enviar primero el objeto o el pago, direcciones web que imitan a las oficiales y solicitudes de credenciales fuera de la plataforma legítima del juego.</w:t>
      </w:r>
    </w:p>
    <w:p>
      <w:pPr>
        <w:spacing w:after="0" w:before="0" w:line="480" w:lineRule="auto"/>
        <w:jc w:val="left"/>
      </w:pPr>
      <w:r>
        <w:rPr>
          <w:rFonts w:ascii="Times New Roman" w:cs="Times New Roman" w:eastAsia="Times New Roman" w:hAnsi="Times New Roman"/>
          <w:b/>
          <w:bCs/>
          <w:sz w:val="24"/>
          <w:szCs w:val="24"/>
        </w:rPr>
        <w:t xml:space="preserve">6.2. Estafas en redes sociales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Las redes sociales concentran estafas relacionadas con imagen personal, popularidad y monetización de contenido. Se documentan ofertas fraudulentas de aumento de seguidores o verificación de cuenta, propuestas de colaboración de marca falsas dirigidas a adolescentes con perfiles de alcance moderado, enlaces de phishing disfrazados de encuestas virales, esquemas piramidales presentados como oportunidades de emprendimiento digital, y concursos falsos que suplantan marcas reconocidas exigiendo el pago previo de impuestos o gastos de envío para liberar un premio inexistente.</w:t>
      </w:r>
    </w:p>
    <w:p>
      <w:pPr>
        <w:spacing w:after="0" w:before="0" w:line="480" w:lineRule="auto"/>
        <w:jc w:val="left"/>
      </w:pPr>
      <w:r>
        <w:rPr>
          <w:rFonts w:ascii="Times New Roman" w:cs="Times New Roman" w:eastAsia="Times New Roman" w:hAnsi="Times New Roman"/>
          <w:b/>
          <w:bCs/>
          <w:sz w:val="24"/>
          <w:szCs w:val="24"/>
        </w:rPr>
        <w:t xml:space="preserve">6.3. Sextorsión y extorsión sexual financiera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sextorsión constituye una de las modalidades de mayor gravedad documentadas contra adolescentes, con un crecimiento particularmente pronunciado entre varones de 14 a 17 años (National Center for Missing &amp; Exploited Children [NCMEC], 2023). El mecanismo típico involucra la creación de un perfil falso que establece contacto romántico acelerado, la obtención de imágenes o videos íntimos, y un cambio abrupto hacia la amenaza de difusión del material si no se realiza un pago inmediato, generalmente mediante tarjetas de regalo o criptomonedas.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estigma asociado a esta experiencia hace que la mayoría de las víctimas no denuncien ni busquen ayuda de un adulto, prolongando su exposición al chantaje. Se han documentado desenlaces trágicos, incluyendo casos de autolesión y suicidio, y una vinculación frecuente de estos esquemas con redes de crimen organizado transnacional que operan con guiones de conversación estandarizados dirigidos simultáneamente a numerosas víctimas (Thorn, 2022).</w:t>
      </w:r>
    </w:p>
    <w:p>
      <w:pPr>
        <w:spacing w:after="0" w:before="0" w:line="480" w:lineRule="auto"/>
        <w:jc w:val="left"/>
      </w:pPr>
      <w:r>
        <w:rPr>
          <w:rFonts w:ascii="Times New Roman" w:cs="Times New Roman" w:eastAsia="Times New Roman" w:hAnsi="Times New Roman"/>
          <w:b/>
          <w:bCs/>
          <w:sz w:val="24"/>
          <w:szCs w:val="24"/>
        </w:rPr>
        <w:t xml:space="preserve">6.4. Estafas de empleo falso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Ante la necesidad de generar ingresos propios, numerosos adolescentes son blanco de ofertas de empleo fraudulentas. Entre ellas se identifican las estafas de cheque por adelantado, los esquemas de reenvío de paquetes que convierten a la víctima en intermediaria involuntaria de mercancía adquirida con tarjetas robadas, las ofertas de pago por interacciones falsas en redes sociales que exigen una inversión inicial no reembolsable, y el reclutamiento como intermediarios financieros («mulas de dinero»), que expone a la víctima a responsabilidad legal por delitos de lavado de activos sin que esta comprenda cabalmente la gravedad de la situación.</w:t>
      </w:r>
    </w:p>
    <w:p>
      <w:pPr>
        <w:spacing w:after="0" w:before="0" w:line="480" w:lineRule="auto"/>
        <w:jc w:val="left"/>
      </w:pPr>
      <w:r>
        <w:rPr>
          <w:rFonts w:ascii="Times New Roman" w:cs="Times New Roman" w:eastAsia="Times New Roman" w:hAnsi="Times New Roman"/>
          <w:b/>
          <w:bCs/>
          <w:sz w:val="24"/>
          <w:szCs w:val="24"/>
        </w:rPr>
        <w:t xml:space="preserve">6.5. Estafas de regalos e influencers falsos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Esta modalidad se apoya en la suplantación de cuentas de celebridades, deportistas o creadores de contenido mediante perfiles casi idénticos al original, que anuncian regalos de dispositivos electrónicos o experiencias exclusivas. El uso de comentarios y cuentas automatizadas que simulan ganadores previos genera una prueba social falsa que reduce la sospecha de la víctima, a quien finalmente se solicita el envío de datos personales sensibles o el pago de una tarifa de verificación.</w:t>
      </w:r>
    </w:p>
    <w:p>
      <w:pPr>
        <w:spacing w:after="0" w:before="0" w:line="480" w:lineRule="auto"/>
        <w:jc w:val="left"/>
      </w:pPr>
      <w:r>
        <w:rPr>
          <w:rFonts w:ascii="Times New Roman" w:cs="Times New Roman" w:eastAsia="Times New Roman" w:hAnsi="Times New Roman"/>
          <w:b/>
          <w:bCs/>
          <w:sz w:val="24"/>
          <w:szCs w:val="24"/>
        </w:rPr>
        <w:t xml:space="preserve">6.6. Phishing y suplantación de identidad</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phishing dirigido a adolescentes ha evolucionado hacia ataques personalizados que aprovechan las plataformas de mayor uso entre este público: suplantación de portales educativos, notificaciones falsas de suspensión de cuentas de entretenimiento, mensajes de texto que solicitan el reenvío de códigos de verificación bajo pretextos engañosos, y enlaces acortados o códigos QR maliciosos que ocultan el destino real de la redirección.</w:t>
      </w:r>
    </w:p>
    <w:p>
      <w:pPr>
        <w:spacing w:after="0" w:before="0" w:line="480" w:lineRule="auto"/>
        <w:jc w:val="left"/>
      </w:pPr>
      <w:r>
        <w:rPr>
          <w:rFonts w:ascii="Times New Roman" w:cs="Times New Roman" w:eastAsia="Times New Roman" w:hAnsi="Times New Roman"/>
          <w:b/>
          <w:bCs/>
          <w:sz w:val="24"/>
          <w:szCs w:val="24"/>
        </w:rPr>
        <w:t xml:space="preserve">6.7. Estafas de criptomonedas e inversión falsa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interés creciente de los adolescentes en criptomonedas, impulsado por una cultura de enriquecimiento rápido difundida en redes sociales, ha generado esquemas Ponzi disfrazados de plataformas de inversión automatizada, falsos repartos gratuitos («airdrops») o preventas exclusivas que solicitan un pago previo de «activación», y esquemas de manipulación de precios («pump and dump») coordinados en grupos de mensajería, de los que se benefician los organizadores en perjuicio de los nuevos participantes.</w:t>
      </w:r>
    </w:p>
    <w:p>
      <w:pPr>
        <w:spacing w:after="0" w:before="0" w:line="480" w:lineRule="auto"/>
        <w:jc w:val="left"/>
      </w:pPr>
      <w:r>
        <w:rPr>
          <w:rFonts w:ascii="Times New Roman" w:cs="Times New Roman" w:eastAsia="Times New Roman" w:hAnsi="Times New Roman"/>
          <w:b/>
          <w:bCs/>
          <w:sz w:val="24"/>
          <w:szCs w:val="24"/>
        </w:rPr>
        <w:t xml:space="preserve">6.8. Aplicaciones de citas y catfishing</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Pese a que la mayoría de las aplicaciones de citas establecen una edad mínima de acceso, un número significativo de adolescentes falsea su edad para utilizarlas. Allí se documentan casos de catfishing con fines económicos, mediante identidades completamente falsas orientadas a solicitar dinero bajo pretextos diversos; redirecciones hacia plataformas de contenido por suscripción con cargos recurrentes no anticipados; y, en los casos más graves, la vinculación del contacto inicial con esquemas de explotación sexual y trata de personas.</w:t>
      </w:r>
    </w:p>
    <w:p>
      <w:pPr>
        <w:spacing w:after="0" w:before="0" w:line="480" w:lineRule="auto"/>
        <w:jc w:val="left"/>
      </w:pPr>
      <w:r>
        <w:rPr>
          <w:rFonts w:ascii="Times New Roman" w:cs="Times New Roman" w:eastAsia="Times New Roman" w:hAnsi="Times New Roman"/>
          <w:b/>
          <w:bCs/>
          <w:sz w:val="24"/>
          <w:szCs w:val="24"/>
        </w:rPr>
        <w:t xml:space="preserve">6.9. Estafas académicas y de becas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Dirigidas principalmente a adolescentes en los últimos años de educación secundaria, estas estafas incluyen consultoras de becas falsas que cobran por «garantizar» el acceso a financiamiento educativo, portales falsos que imitan a instituciones u organismos gubernamentales de ayuda financiera, y la venta de exámenes o certificaciones falsas sin ningún valor real.</w:t>
      </w:r>
    </w:p>
    <w:p>
      <w:pPr>
        <w:spacing w:after="0" w:before="0" w:line="480" w:lineRule="auto"/>
        <w:jc w:val="left"/>
      </w:pPr>
      <w:r>
        <w:rPr>
          <w:rFonts w:ascii="Times New Roman" w:cs="Times New Roman" w:eastAsia="Times New Roman" w:hAnsi="Times New Roman"/>
          <w:b/>
          <w:bCs/>
          <w:sz w:val="24"/>
          <w:szCs w:val="24"/>
        </w:rPr>
        <w:t xml:space="preserve">6.10. Smishing y estafas por mensajería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Los mensajes de texto y las aplicaciones de mensajería instantánea continúan siendo un canal relevante para estafas que buscan una respuesta impulsiva: mensajes que simulan ser de un familiar en apuros, falsas notificaciones de paquetería que solicitan un pago de aduana, y cadenas de mensajes que ofrecen premios a cambio de datos personales y reenvíos masivos.</w:t>
      </w:r>
    </w:p>
    <w:p>
      <w:pPr>
        <w:spacing w:after="0" w:before="0" w:line="480" w:lineRule="auto"/>
        <w:jc w:val="left"/>
      </w:pPr>
      <w:r>
        <w:rPr>
          <w:rFonts w:ascii="Times New Roman" w:cs="Times New Roman" w:eastAsia="Times New Roman" w:hAnsi="Times New Roman"/>
          <w:b/>
          <w:bCs/>
          <w:sz w:val="24"/>
          <w:szCs w:val="24"/>
        </w:rPr>
        <w:t xml:space="preserve">6.11. Fraude romántico-financiero organizado ("pig butchering")</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Identificada por el panel de expertos en fraude digital como una omisión relevante de versiones previas de este análisis, esta modalidad combina elementos de catfishing (sección 6.8) con un esquema de inversión fraudulenta de largo desarrollo, y constituye uno de los vectores de fraude de mayor crecimiento reportado por Europol e INTERPOL en los últimos años. El nombre —literalmente "engorde del cerdo"— describe el patrón: el estafador invierte semanas o meses en construir una relación de confianza (romántica o de amistad cercana) con la víctima antes de introducir gradualmente una oportunidad de inversión, típicamente en criptomonedas, a través de una plataforma o aplicación fraudulenta que el propio estafador controla. La víctima observa ganancias simuladas en las primeras etapas, lo que la anima a invertir montos crecientes, hasta que finalmente pierde el acceso a los fondos y al contacto con el estafador.</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Dos elementos distinguen a esta modalidad de las anteriores y justifican su tratamiento separado. Primero, su escala temporal: a diferencia de la sextorsión o el phishing, que suelen ejecutarse en horas o días, el fraude romántico-financiero organizado se desarrolla durante semanas o meses, lo que dificulta su detección temprana por parte de la familia o el entorno del adolescente. Segundo, su vínculo documentado con estructuras de trabajo forzado: investigaciones de organismos internacionales han identificado que buena parte de estas operaciones son ejecutadas desde centros de "boiler room" en el sudeste asiático, operados por redes de crimen organizado que reclutan y, en numerosos casos verificados, someten a servidumbre por deudas a las personas —incluidos adolescentes mayores y adultos jóvenes— que ejecutan materialmente el engaño, lo que añade una dimensión de victimización doble al fenómeno (Europol, 2023). Aunque los adolescentes de 16 a 19 años no son el blanco principal de esta modalidad —que afecta predominantemente a adultos con mayor capacidad de inversión—, su relevancia para esta monografía radica en dos puntos: la exposición creciente de adolescentes mayores con acceso a criptomonedas propias, y el riesgo de reclutamiento forzado de jóvenes en situación de vulnerabilidad económica que responden a ofertas de empleo en el extranjero (véase sección 6.4), las cuales en un número creciente de casos documentados han resultado ser la puerta de entrada a estos centros de explotación.</w:t>
      </w:r>
    </w:p>
    <w:p>
      <w:pPr>
        <w:pageBreakBefore/>
        <w:spacing w:after="0" w:before="0" w:line="480" w:lineRule="auto"/>
        <w:jc w:val="center"/>
      </w:pPr>
      <w:r>
        <w:rPr>
          <w:rFonts w:ascii="Times New Roman" w:cs="Times New Roman" w:eastAsia="Times New Roman" w:hAnsi="Times New Roman"/>
          <w:b/>
          <w:bCs/>
          <w:sz w:val="24"/>
          <w:szCs w:val="24"/>
        </w:rPr>
        <w:t xml:space="preserve">7. Perfil del estafador y modus operandi</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evidencia disponible apunta de manera creciente hacia estructuras organizadas que operan con división de tareas especializada —creación de perfiles falsos, negociación psicológica y procesamiento del dinero obtenido—, guiones de conversación estandarizados que se replican de manera casi idéntica contra miles de víctimas, uso de herramientas de automatización e inteligencia artificial para la generación de imágenes y voces sintéticas, y una operación frecuentemente transnacional que dificulta la investigación y persecución penal (Europol, 2023). Estos actores explotan además las funcionalidades legítimas de las propias plataformas —sistemas de pago integrados, mensajería directa, contenido efímero— para maximizar su efectividad y minimizar su rastro digital.</w:t>
      </w:r>
    </w:p>
    <w:p>
      <w:pPr>
        <w:spacing w:after="0" w:before="0" w:line="480" w:lineRule="auto"/>
        <w:jc w:val="center"/>
      </w:pPr>
      <w:r>
        <w:rPr>
          <w:rFonts w:ascii="Times New Roman" w:cs="Times New Roman" w:eastAsia="Times New Roman" w:hAnsi="Times New Roman"/>
          <w:b/>
          <w:bCs/>
          <w:sz w:val="24"/>
          <w:szCs w:val="24"/>
        </w:rPr>
        <w:t xml:space="preserve">8. Impacto en la víctima adolescente</w:t>
      </w:r>
    </w:p>
    <w:p>
      <w:pPr>
        <w:spacing w:after="0" w:before="0" w:line="480" w:lineRule="auto"/>
        <w:jc w:val="left"/>
      </w:pPr>
      <w:r>
        <w:rPr>
          <w:rFonts w:ascii="Times New Roman" w:cs="Times New Roman" w:eastAsia="Times New Roman" w:hAnsi="Times New Roman"/>
          <w:b/>
          <w:bCs/>
          <w:sz w:val="24"/>
          <w:szCs w:val="24"/>
        </w:rPr>
        <w:t xml:space="preserve">8.1. Impacto psicológico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Ser víctima de una estafa en línea durante la adolescencia puede generar vergüenza, culpa y humillación —particularmente en casos de sextorsión—, ansiedad e hipervigilancia ante la posibilidad de exposición pública, pérdida de confianza interpersonal y, en los casos más severos, ideación suicida y autolesión cuando la víctima percibe que no existe una salida sin consecuencias sociales devastadoras.</w:t>
      </w:r>
    </w:p>
    <w:p>
      <w:pPr>
        <w:spacing w:after="0" w:before="0" w:line="480" w:lineRule="auto"/>
        <w:jc w:val="left"/>
      </w:pPr>
      <w:r>
        <w:rPr>
          <w:rFonts w:ascii="Times New Roman" w:cs="Times New Roman" w:eastAsia="Times New Roman" w:hAnsi="Times New Roman"/>
          <w:b/>
          <w:bCs/>
          <w:sz w:val="24"/>
          <w:szCs w:val="24"/>
        </w:rPr>
        <w:t xml:space="preserve">8.2. Impacto social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Entre las consecuencias sociales se identifican el deterioro de las relaciones familiares cuando la víctima oculta la situación por temor a la reacción de sus padres, la estigmatización entre pares y el bajo rendimiento o deserción escolar derivados del estrés emocional asociado.</w:t>
      </w:r>
    </w:p>
    <w:p>
      <w:pPr>
        <w:spacing w:after="0" w:before="0" w:line="480" w:lineRule="auto"/>
        <w:jc w:val="left"/>
      </w:pPr>
      <w:r>
        <w:rPr>
          <w:rFonts w:ascii="Times New Roman" w:cs="Times New Roman" w:eastAsia="Times New Roman" w:hAnsi="Times New Roman"/>
          <w:b/>
          <w:bCs/>
          <w:sz w:val="24"/>
          <w:szCs w:val="24"/>
        </w:rPr>
        <w:t xml:space="preserve">8.3. Impacto económico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Las pérdidas económicas directas suelen involucrar ahorros personales o cuentas familiares a las que el adolescente tiene acceso, mientras que esquemas de cheques falsos o reclutamiento como intermediario financiero pueden derivar en endeudamiento no anticipado y en consecuencias legales inesperadas para la víctima.</w:t>
      </w:r>
    </w:p>
    <w:p>
      <w:pPr>
        <w:spacing w:after="0" w:before="0" w:line="480" w:lineRule="auto"/>
        <w:jc w:val="center"/>
      </w:pPr>
      <w:r>
        <w:rPr>
          <w:rFonts w:ascii="Times New Roman" w:cs="Times New Roman" w:eastAsia="Times New Roman" w:hAnsi="Times New Roman"/>
          <w:b/>
          <w:bCs/>
          <w:sz w:val="24"/>
          <w:szCs w:val="24"/>
        </w:rPr>
        <w:t xml:space="preserve">9. Panorama comparado por región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Si bien las modalidades descritas presentan un patrón global consistente, existen matices regionales relevantes. En América Latina se observa una alta prevalencia de estafas vinculadas a videojuegos y aplicaciones de mensajería, junto con el uso extendido de tarjetas de regalo como método de pago exigido por los estafadores. En Norteamérica destaca la incidencia documentada de sextorsión financiera dirigida a adolescentes varones y esquemas de empleo falso vinculados al crimen organizado internacional. En Europa se registra una fuerte incidencia de fraude relacionado con criptomonedas, en un contexto regulatorio comparativamente más desarrollado. En Asia-Pacífico predominan las estafas vinculadas a comercio electrónico y microtransacciones en videojuegos móviles.</w:t>
      </w:r>
    </w:p>
    <w:p>
      <w:pPr>
        <w:spacing w:after="0" w:before="0" w:line="480" w:lineRule="auto"/>
        <w:jc w:val="center"/>
      </w:pPr>
      <w:r>
        <w:rPr>
          <w:rFonts w:ascii="Times New Roman" w:cs="Times New Roman" w:eastAsia="Times New Roman" w:hAnsi="Times New Roman"/>
          <w:b/>
          <w:bCs/>
          <w:sz w:val="24"/>
          <w:szCs w:val="24"/>
        </w:rPr>
        <w:t xml:space="preserve">10. Marco legal e institucional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Uno de los mayores obstáculos para la persecución efectiva de estos delitos es su naturaleza transnacional, que genera dificultades para determinar la autoridad competente y ralentiza los procesos de cooperación judicial internacional frente a la velocidad con la que operan y desaparecen estas redes. Diversos países han avanzado en los últimos años en legislación específica que tipifica la sextorsión y la difusión no consentida de material íntimo como delitos agravados cuando la víctima es menor de edad, en regulaciones que exigen a las plataformas mecanismos de verificación de edad y reporte obligatorio, y en marcos de protección de datos que restringen el tratamiento de información personal de menores. Persiste, no obstante, un debate abierto sobre el grado de responsabilidad que corresponde a las plataformas tecnológicas en la detección proactiva y la respuesta oportuna ante estos esquemas de fraude.</w:t>
      </w:r>
    </w:p>
    <w:p>
      <w:pPr>
        <w:pageBreakBefore/>
        <w:spacing w:after="0" w:before="0" w:line="480" w:lineRule="auto"/>
        <w:jc w:val="center"/>
      </w:pPr>
      <w:r>
        <w:rPr>
          <w:rFonts w:ascii="Times New Roman" w:cs="Times New Roman" w:eastAsia="Times New Roman" w:hAnsi="Times New Roman"/>
          <w:b/>
          <w:bCs/>
          <w:sz w:val="24"/>
          <w:szCs w:val="24"/>
        </w:rPr>
        <w:t xml:space="preserve">11. Estrategias de prevención y educación digital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evidencia disponible sugiere que las estrategias de prevención más efectivas combinan varios niveles de intervención. En primer lugar, la educación crítica sobre los mecanismos psicológicos de manipulación —urgencia artificial, prueba social falsa, reciprocidad manipulada y autoridad simulada— resulta más efectiva que la memorización de listas de señales de alerta descontextualizadas. En segundo lugar, la normalización de la denuncia sin castigo es determinante para reducir el tiempo de exposición al chantaje en casos de sextorsión, dado que el temor a la reacción parental constituye uno de los principales factores que prolongan el daño. En tercer lugar, la verificación independiente como hábito —antes de actuar frente a cualquier oferta u oportunidad— y la configuración adecuada de la privacidad y seguridad técnica de las cuentas reducen significativamente la superficie de exposición. Finalmente, la educación financiera básica aplicada al entorno digital permite comprender por qué los estafadores exigen métodos de pago irreversibles y de difícil rastreo.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responsabilidad de estas estrategias es compartida: corresponde a la familia el acompañamiento activo y la comunicación abierta y no punitiva; a las instituciones educativas, la incorporación transversal de la alfabetización digital crítica y protocolos claros de atención confidencial; y a las plataformas tecnológicas, el desarrollo de sistemas de detección temprana, advertencias contextuales para usuarios menores de edad y procesos de reporte simplificados y accesibles.</w:t>
      </w:r>
    </w:p>
    <w:p>
      <w:pPr>
        <w:spacing w:after="0" w:before="0" w:line="480" w:lineRule="auto"/>
        <w:jc w:val="left"/>
      </w:pPr>
      <w:r>
        <w:rPr>
          <w:rFonts w:ascii="Times New Roman" w:cs="Times New Roman" w:eastAsia="Times New Roman" w:hAnsi="Times New Roman"/>
          <w:b/>
          <w:bCs/>
          <w:sz w:val="24"/>
          <w:szCs w:val="24"/>
        </w:rPr>
        <w:t xml:space="preserve">11.1. Prevención segmentada por franja etaria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Conforme a la distinción planteada en la sección 4.4, las estrategias de prevención deben adaptarse a la subetapa de desarrollo. Para adolescentes de 12 a 15 años, la prioridad es la supervisión acompañada de las plataformas de videojuegos y mensajería, la explicación concreta —no abstracta— de por qué no se debe compartir la contraseña de una cuenta de juego ni introducir credenciales fuera de la aplicación oficial, y la construcción temprana del hábito de acudir a un adulto ante cualquier interacción incómoda con un desconocido, incluyendo dentro de comunidades de juego. Para adolescentes de 16 a 19 años, con mayor autonomía financiera y social, la prioridad se desplaza hacia la educación financiera aplicada (reconocer por qué un método de pago irreversible es una señal de alerta), la verificación independiente de ofertas de empleo, becas e inversión antes de comprometer dinero o datos, y una conversación explícita y no moralizante sobre los riesgos de la sextorsión y el catfishing en el contexto de la exploración romántica y sexual propia de esta etapa. En ambos segmentos, la incorporación de la perspectiva de género y de las condiciones de vulnerabilidad interseccional señaladas en la sección 4.5 debe traducirse en mensajes preventivos diferenciados, evitando el supuesto de que una única campaña genérica alcanza de igual manera a toda la población adolescente.</w:t>
      </w:r>
    </w:p>
    <w:p>
      <w:pPr>
        <w:spacing w:after="0" w:before="0" w:line="480" w:lineRule="auto"/>
        <w:jc w:val="center"/>
      </w:pPr>
      <w:r>
        <w:rPr>
          <w:rFonts w:ascii="Times New Roman" w:cs="Times New Roman" w:eastAsia="Times New Roman" w:hAnsi="Times New Roman"/>
          <w:b/>
          <w:bCs/>
          <w:sz w:val="24"/>
          <w:szCs w:val="24"/>
        </w:rPr>
        <w:t xml:space="preserve">12. Conclusiones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análisis realizado permite concluir que las estafas en línea dirigidas a adolescentes no constituyen un fenómeno marginal ni accidental, sino una industria delictiva organizada, adaptativa y en constante evolución, que ha identificado con precisión las vulnerabilidades psicosociales propias de esta etapa del desarrollo humano para diseñar mecanismos de manipulación altamente efectivos.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diversidad de modalidades identificadas —desde el fraude en videojuegos hasta la sextorsión, pasando por esquemas de empleo falso, inversión fraudulenta y suplantación de identidad— revela que ningún espacio digital frecuentado por adolescentes está exento de riesgo. No obstante, existe un patrón común subyacente en todas ellas: la explotación deliberada de la confianza, la urgencia, la necesidad de pertenencia y la falta de experiencia financiera y emocional propia de la adolescencia.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Frente a este panorama, la respuesta más efectiva no reside en la prohibición del uso de tecnología ni en el pánico moral, sino en una estrategia integral que combine educación crítica continua, comunicación familiar abierta y no punitiva, protocolos institucionales claros, marcos legales robustos y actualizados, y un compromiso genuino de las plataformas tecnológicas con la protección de sus usuarios más jóvenes. Empoderar a los adolescentes con herramientas de pensamiento crítico constituye la estrategia más sostenible para reducir su vulnerabilidad, permitiéndoles al mismo tiempo aprovechar los beneficios legítimos que la conectividad digital ofrece a su desarrollo personal, social y educativo.</w:t>
      </w:r>
    </w:p>
    <w:p>
      <w:pPr>
        <w:pageBreakBefore/>
        <w:spacing w:after="0" w:before="0" w:line="480" w:lineRule="auto"/>
        <w:jc w:val="center"/>
      </w:pPr>
      <w:r>
        <w:rPr>
          <w:rFonts w:ascii="Times New Roman" w:cs="Times New Roman" w:eastAsia="Times New Roman" w:hAnsi="Times New Roman"/>
          <w:b/>
          <w:bCs/>
          <w:sz w:val="24"/>
          <w:szCs w:val="24"/>
        </w:rPr>
        <w:t xml:space="preserve">13. Anexo: trazabilidad de afirmaciones y fuentes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atención a la observación del panel de metodología sobre el uso de citas "decorativas" antes que probatorias, se presenta a continuación una distinción explícita entre afirmaciones respaldadas por informes institucionales identificables y afirmaciones formuladas por inferencia lógica a partir de los principios generales de ingeniería social y desarrollo adolescente, sin una fuente puntual que reporte el dato específico.</w:t>
      </w:r>
    </w:p>
    <w:p>
      <w:pPr>
        <w:spacing w:after="0" w:before="0" w:line="480" w:lineRule="auto"/>
        <w:ind w:firstLine="720"/>
      </w:pPr>
      <w:r>
        <w:rPr>
          <w:rFonts w:ascii="Times New Roman" w:cs="Times New Roman" w:eastAsia="Times New Roman" w:hAnsi="Times New Roman"/>
          <w:b/>
          <w:bCs/>
          <w:sz w:val="24"/>
          <w:szCs w:val="24"/>
        </w:rPr>
        <w:t xml:space="preserve">Afirmaciones con respaldo documental directo.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crecimiento de la sextorsión financiera contra adolescentes varones y su tratamiento anual en informes de denuncia (NCMEC, CyberTipline).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fraude romántico-financiero organizado ("pig butchering") como vector de crecimiento reciente y su vínculo con centros de trabajo forzado en el sudeste asiático (Europol, IOCTA).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Los principios de manipulación psicológica —reciprocidad, urgencia, prueba social, autoridad simulada— como fundamento de la ingeniería social (Mitnick &amp; Simon, 2002).</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desarrollo tardío de la corteza prefrontal y su relación con la toma de decisiones bajo riesgo en la adolescencia (Steinberg, 2008).</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Los patrones generales de uso de redes sociales y tecnología por parte de adolescentes (Pew Research Center).</w:t>
      </w:r>
    </w:p>
    <w:p>
      <w:pPr>
        <w:spacing w:after="0" w:before="0" w:line="480" w:lineRule="auto"/>
        <w:ind w:firstLine="720"/>
      </w:pPr>
      <w:r>
        <w:rPr>
          <w:rFonts w:ascii="Times New Roman" w:cs="Times New Roman" w:eastAsia="Times New Roman" w:hAnsi="Times New Roman"/>
          <w:b/>
          <w:bCs/>
          <w:sz w:val="24"/>
          <w:szCs w:val="24"/>
        </w:rPr>
        <w:t xml:space="preserve">Afirmaciones formuladas por inferencia lógica, sin fuente puntual verificada.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Los mecanismos específicos descritos para estafas de intercambio y "boosters" en videojuegos particulares, las estafas de aumento de seguidores en redes sociales, y los esquemas de "airdrop" y "pump and dump" en criptomonedas: estos patrones son ampliamente reportados de forma anecdótica por usuarios y medios especializados, pero este documento no cita un informe estadístico específico que cuantifique su incidencia.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Las cifras y proporciones exactas por región (sección 9): se presentan como tendencias orientativas basadas en la disponibilidad relativa de reportes por zona geográfica, no como datos estadísticos comparables entre sí.</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Se recomienda que cualquier uso académico formal de este documento sustituya las afirmaciones de la segunda categoría por datos verificados directamente en la fuente primaria correspondiente, o las presente explícitamente como hipótesis de trabajo.</w:t>
      </w:r>
    </w:p>
    <w:p>
      <w:pPr>
        <w:pageBreakBefore/>
        <w:spacing w:after="0" w:before="0" w:line="480" w:lineRule="auto"/>
        <w:jc w:val="center"/>
      </w:pPr>
      <w:r>
        <w:rPr>
          <w:rFonts w:ascii="Times New Roman" w:cs="Times New Roman" w:eastAsia="Times New Roman" w:hAnsi="Times New Roman"/>
          <w:b/>
          <w:bCs/>
          <w:sz w:val="24"/>
          <w:szCs w:val="24"/>
        </w:rPr>
        <w:t xml:space="preserve">14. Referencias</w:t>
      </w:r>
    </w:p>
    <w:p>
      <w:pPr>
        <w:spacing w:after="0" w:before="0" w:line="480" w:lineRule="auto"/>
        <w:ind w:left="720" w:hanging="720"/>
      </w:pPr>
      <w:r>
        <w:rPr>
          <w:rFonts w:ascii="Times New Roman" w:cs="Times New Roman" w:eastAsia="Times New Roman" w:hAnsi="Times New Roman"/>
          <w:i w:val="false"/>
          <w:iCs w:val="false"/>
          <w:sz w:val="24"/>
          <w:szCs w:val="24"/>
        </w:rPr>
        <w:t xml:space="preserve">Europol. (2023). </w:t>
      </w:r>
      <w:r>
        <w:rPr>
          <w:rFonts w:ascii="Times New Roman" w:cs="Times New Roman" w:eastAsia="Times New Roman" w:hAnsi="Times New Roman"/>
          <w:i/>
          <w:iCs/>
          <w:sz w:val="24"/>
          <w:szCs w:val="24"/>
        </w:rPr>
        <w:t xml:space="preserve">Internet Organised Crime Threat Assessment (IOCTA) 2023.</w:t>
      </w:r>
      <w:r>
        <w:rPr>
          <w:rFonts w:ascii="Times New Roman" w:cs="Times New Roman" w:eastAsia="Times New Roman" w:hAnsi="Times New Roman"/>
          <w:i w:val="false"/>
          <w:iCs w:val="false"/>
          <w:sz w:val="24"/>
          <w:szCs w:val="24"/>
        </w:rPr>
        <w:t xml:space="preserve"> Oficina Europea de Policía.</w:t>
      </w:r>
    </w:p>
    <w:p>
      <w:pPr>
        <w:spacing w:after="0" w:before="0" w:line="480" w:lineRule="auto"/>
        <w:ind w:left="720" w:hanging="720"/>
      </w:pPr>
      <w:r>
        <w:rPr>
          <w:rFonts w:ascii="Times New Roman" w:cs="Times New Roman" w:eastAsia="Times New Roman" w:hAnsi="Times New Roman"/>
          <w:i w:val="false"/>
          <w:iCs w:val="false"/>
          <w:sz w:val="24"/>
          <w:szCs w:val="24"/>
        </w:rPr>
        <w:t xml:space="preserve">INTERPOL. (2023). </w:t>
      </w:r>
      <w:r>
        <w:rPr>
          <w:rFonts w:ascii="Times New Roman" w:cs="Times New Roman" w:eastAsia="Times New Roman" w:hAnsi="Times New Roman"/>
          <w:i/>
          <w:iCs/>
          <w:sz w:val="24"/>
          <w:szCs w:val="24"/>
        </w:rPr>
        <w:t xml:space="preserve">Global Financial Fraud Assessment.</w:t>
      </w:r>
      <w:r>
        <w:rPr>
          <w:rFonts w:ascii="Times New Roman" w:cs="Times New Roman" w:eastAsia="Times New Roman" w:hAnsi="Times New Roman"/>
          <w:i w:val="false"/>
          <w:iCs w:val="false"/>
          <w:sz w:val="24"/>
          <w:szCs w:val="24"/>
        </w:rPr>
        <w:t xml:space="preserve"> Organización Internacional de Policía Criminal.</w:t>
      </w:r>
    </w:p>
    <w:p>
      <w:pPr>
        <w:spacing w:after="0" w:before="0" w:line="480" w:lineRule="auto"/>
        <w:ind w:left="720" w:hanging="720"/>
      </w:pPr>
      <w:r>
        <w:rPr>
          <w:rFonts w:ascii="Times New Roman" w:cs="Times New Roman" w:eastAsia="Times New Roman" w:hAnsi="Times New Roman"/>
          <w:i w:val="false"/>
          <w:iCs w:val="false"/>
          <w:sz w:val="24"/>
          <w:szCs w:val="24"/>
        </w:rPr>
        <w:t xml:space="preserve">Federal Bureau of Investigation, Internet Crime Complaint Center [IC3]. (2023). </w:t>
      </w:r>
      <w:r>
        <w:rPr>
          <w:rFonts w:ascii="Times New Roman" w:cs="Times New Roman" w:eastAsia="Times New Roman" w:hAnsi="Times New Roman"/>
          <w:i/>
          <w:iCs/>
          <w:sz w:val="24"/>
          <w:szCs w:val="24"/>
        </w:rPr>
        <w:t xml:space="preserve">Internet Crime Report 2023.</w:t>
      </w:r>
      <w:r>
        <w:rPr>
          <w:rFonts w:ascii="Times New Roman" w:cs="Times New Roman" w:eastAsia="Times New Roman" w:hAnsi="Times New Roman"/>
          <w:i w:val="false"/>
          <w:iCs w:val="false"/>
          <w:sz w:val="24"/>
          <w:szCs w:val="24"/>
        </w:rPr>
        <w:t xml:space="preserve"> Departamento de Justicia de los Estados Unidos.</w:t>
      </w:r>
    </w:p>
    <w:p>
      <w:pPr>
        <w:spacing w:after="0" w:before="0" w:line="480" w:lineRule="auto"/>
        <w:ind w:left="720" w:hanging="720"/>
      </w:pPr>
      <w:r>
        <w:rPr>
          <w:rFonts w:ascii="Times New Roman" w:cs="Times New Roman" w:eastAsia="Times New Roman" w:hAnsi="Times New Roman"/>
          <w:i w:val="false"/>
          <w:iCs w:val="false"/>
          <w:sz w:val="24"/>
          <w:szCs w:val="24"/>
        </w:rPr>
        <w:t xml:space="preserve">Federal Trade Commission. (2023). </w:t>
      </w:r>
      <w:r>
        <w:rPr>
          <w:rFonts w:ascii="Times New Roman" w:cs="Times New Roman" w:eastAsia="Times New Roman" w:hAnsi="Times New Roman"/>
          <w:i/>
          <w:iCs/>
          <w:sz w:val="24"/>
          <w:szCs w:val="24"/>
        </w:rPr>
        <w:t xml:space="preserve">Consumer Sentinel Network Data Book 2023.</w:t>
      </w:r>
      <w:r>
        <w:rPr>
          <w:rFonts w:ascii="Times New Roman" w:cs="Times New Roman" w:eastAsia="Times New Roman" w:hAnsi="Times New Roman"/>
          <w:i w:val="false"/>
          <w:iCs w:val="false"/>
          <w:sz w:val="24"/>
          <w:szCs w:val="24"/>
        </w:rPr>
        <w:t xml:space="preserve"> Federal Trade Commission.</w:t>
      </w:r>
    </w:p>
    <w:p>
      <w:pPr>
        <w:spacing w:after="0" w:before="0" w:line="480" w:lineRule="auto"/>
        <w:ind w:left="720" w:hanging="720"/>
      </w:pPr>
      <w:r>
        <w:rPr>
          <w:rFonts w:ascii="Times New Roman" w:cs="Times New Roman" w:eastAsia="Times New Roman" w:hAnsi="Times New Roman"/>
          <w:i w:val="false"/>
          <w:iCs w:val="false"/>
          <w:sz w:val="24"/>
          <w:szCs w:val="24"/>
        </w:rPr>
        <w:t xml:space="preserve">Mitnick, K. D., y Simon, W. L. (2002). </w:t>
      </w:r>
      <w:r>
        <w:rPr>
          <w:rFonts w:ascii="Times New Roman" w:cs="Times New Roman" w:eastAsia="Times New Roman" w:hAnsi="Times New Roman"/>
          <w:i/>
          <w:iCs/>
          <w:sz w:val="24"/>
          <w:szCs w:val="24"/>
        </w:rPr>
        <w:t xml:space="preserve">The art of deception: Controlling the human element of security.</w:t>
      </w:r>
      <w:r>
        <w:rPr>
          <w:rFonts w:ascii="Times New Roman" w:cs="Times New Roman" w:eastAsia="Times New Roman" w:hAnsi="Times New Roman"/>
          <w:i w:val="false"/>
          <w:iCs w:val="false"/>
          <w:sz w:val="24"/>
          <w:szCs w:val="24"/>
        </w:rPr>
        <w:t xml:space="preserve"> Wiley.</w:t>
      </w:r>
    </w:p>
    <w:p>
      <w:pPr>
        <w:spacing w:after="0" w:before="0" w:line="480" w:lineRule="auto"/>
        <w:ind w:left="720" w:hanging="720"/>
      </w:pPr>
      <w:r>
        <w:rPr>
          <w:rFonts w:ascii="Times New Roman" w:cs="Times New Roman" w:eastAsia="Times New Roman" w:hAnsi="Times New Roman"/>
          <w:i w:val="false"/>
          <w:iCs w:val="false"/>
          <w:sz w:val="24"/>
          <w:szCs w:val="24"/>
        </w:rPr>
        <w:t xml:space="preserve">National Center for Missing &amp; Exploited Children [NCMEC]. (2023). </w:t>
      </w:r>
      <w:r>
        <w:rPr>
          <w:rFonts w:ascii="Times New Roman" w:cs="Times New Roman" w:eastAsia="Times New Roman" w:hAnsi="Times New Roman"/>
          <w:i/>
          <w:iCs/>
          <w:sz w:val="24"/>
          <w:szCs w:val="24"/>
        </w:rPr>
        <w:t xml:space="preserve">CyberTipline 2023 Report.</w:t>
      </w:r>
      <w:r>
        <w:rPr>
          <w:rFonts w:ascii="Times New Roman" w:cs="Times New Roman" w:eastAsia="Times New Roman" w:hAnsi="Times New Roman"/>
          <w:i w:val="false"/>
          <w:iCs w:val="false"/>
          <w:sz w:val="24"/>
          <w:szCs w:val="24"/>
        </w:rPr>
        <w:t xml:space="preserve"> NCMEC.</w:t>
      </w:r>
    </w:p>
    <w:p>
      <w:pPr>
        <w:spacing w:after="0" w:before="0" w:line="480" w:lineRule="auto"/>
        <w:ind w:left="720" w:hanging="720"/>
      </w:pPr>
      <w:r>
        <w:rPr>
          <w:rFonts w:ascii="Times New Roman" w:cs="Times New Roman" w:eastAsia="Times New Roman" w:hAnsi="Times New Roman"/>
          <w:i w:val="false"/>
          <w:iCs w:val="false"/>
          <w:sz w:val="24"/>
          <w:szCs w:val="24"/>
        </w:rPr>
        <w:t xml:space="preserve">Pew Research Center. (2022). </w:t>
      </w:r>
      <w:r>
        <w:rPr>
          <w:rFonts w:ascii="Times New Roman" w:cs="Times New Roman" w:eastAsia="Times New Roman" w:hAnsi="Times New Roman"/>
          <w:i/>
          <w:iCs/>
          <w:sz w:val="24"/>
          <w:szCs w:val="24"/>
        </w:rPr>
        <w:t xml:space="preserve">Teens, social media and technology 2022.</w:t>
      </w:r>
      <w:r>
        <w:rPr>
          <w:rFonts w:ascii="Times New Roman" w:cs="Times New Roman" w:eastAsia="Times New Roman" w:hAnsi="Times New Roman"/>
          <w:i w:val="false"/>
          <w:iCs w:val="false"/>
          <w:sz w:val="24"/>
          <w:szCs w:val="24"/>
        </w:rPr>
        <w:t xml:space="preserve"> Pew Research Center.</w:t>
      </w:r>
    </w:p>
    <w:p>
      <w:pPr>
        <w:spacing w:after="0" w:before="0" w:line="480" w:lineRule="auto"/>
        <w:ind w:left="720" w:hanging="720"/>
      </w:pPr>
      <w:r>
        <w:rPr>
          <w:rFonts w:ascii="Times New Roman" w:cs="Times New Roman" w:eastAsia="Times New Roman" w:hAnsi="Times New Roman"/>
          <w:i w:val="false"/>
          <w:iCs w:val="false"/>
          <w:sz w:val="24"/>
          <w:szCs w:val="24"/>
        </w:rPr>
        <w:t xml:space="preserve">Steinberg, L. (2008). A social neuroscience perspective on adolescent risk-taking. </w:t>
      </w:r>
      <w:r>
        <w:rPr>
          <w:rFonts w:ascii="Times New Roman" w:cs="Times New Roman" w:eastAsia="Times New Roman" w:hAnsi="Times New Roman"/>
          <w:i/>
          <w:iCs/>
          <w:sz w:val="24"/>
          <w:szCs w:val="24"/>
        </w:rPr>
        <w:t xml:space="preserve">Developmental Review, 28</w:t>
      </w:r>
      <w:r>
        <w:rPr>
          <w:rFonts w:ascii="Times New Roman" w:cs="Times New Roman" w:eastAsia="Times New Roman" w:hAnsi="Times New Roman"/>
          <w:i w:val="false"/>
          <w:iCs w:val="false"/>
          <w:sz w:val="24"/>
          <w:szCs w:val="24"/>
        </w:rPr>
        <w:t xml:space="preserve">(1), 78–106.</w:t>
      </w:r>
    </w:p>
    <w:p>
      <w:pPr>
        <w:spacing w:after="0" w:before="0" w:line="480" w:lineRule="auto"/>
        <w:ind w:left="720" w:hanging="720"/>
      </w:pPr>
      <w:r>
        <w:rPr>
          <w:rFonts w:ascii="Times New Roman" w:cs="Times New Roman" w:eastAsia="Times New Roman" w:hAnsi="Times New Roman"/>
          <w:i w:val="false"/>
          <w:iCs w:val="false"/>
          <w:sz w:val="24"/>
          <w:szCs w:val="24"/>
        </w:rPr>
        <w:t xml:space="preserve">Thorn. (2022). </w:t>
      </w:r>
      <w:r>
        <w:rPr>
          <w:rFonts w:ascii="Times New Roman" w:cs="Times New Roman" w:eastAsia="Times New Roman" w:hAnsi="Times New Roman"/>
          <w:i/>
          <w:iCs/>
          <w:sz w:val="24"/>
          <w:szCs w:val="24"/>
        </w:rPr>
        <w:t xml:space="preserve">A report on financial sextortion: Trends and impacts on minors.</w:t>
      </w:r>
      <w:r>
        <w:rPr>
          <w:rFonts w:ascii="Times New Roman" w:cs="Times New Roman" w:eastAsia="Times New Roman" w:hAnsi="Times New Roman"/>
          <w:i w:val="false"/>
          <w:iCs w:val="false"/>
          <w:sz w:val="24"/>
          <w:szCs w:val="24"/>
        </w:rPr>
        <w:t xml:space="preserve"> Thorn.</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lineRule="auto"/>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2026-09-13T09:57:36.093Z</dcterms:created>
  <dcterms:modified xsi:type="dcterms:W3CDTF">2026-09-13T09:57:36.104Z</dcterms:modified>
</cp:coreProperties>
</file>

<file path=docProps/custom.xml><?xml version="1.0" encoding="utf-8"?>
<Properties xmlns="http://schemas.openxmlformats.org/officeDocument/2006/custom-properties" xmlns:vt="http://schemas.openxmlformats.org/officeDocument/2006/docPropsVTypes"/>
</file>