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jc w:val="center"/>
      </w:pPr>
      <w:r>
        <w:rPr>
          <w:rFonts w:ascii="Times New Roman" w:cs="Times New Roman" w:eastAsia="Times New Roman" w:hAnsi="Times New Roman"/>
          <w:b/>
          <w:bCs/>
          <w:sz w:val="24"/>
          <w:szCs w:val="24"/>
        </w:rPr>
        <w:t xml:space="preserve">Estafas en Línea Dirigidas a Adolescentes: Tipología, Impacto y Estrategias de Prevención</w:t>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jc w:val="center"/>
      </w:pPr>
      <w:r>
        <w:rPr>
          <w:rFonts w:ascii="Times New Roman" w:cs="Times New Roman" w:eastAsia="Times New Roman" w:hAnsi="Times New Roman"/>
          <w:sz w:val="24"/>
          <w:szCs w:val="24"/>
        </w:rPr>
        <w:t xml:space="preserve">Monografía</w:t>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jc w:val="center"/>
      </w:pPr>
      <w:r>
        <w:rPr>
          <w:rFonts w:ascii="Times New Roman" w:cs="Times New Roman" w:eastAsia="Times New Roman" w:hAnsi="Times New Roman"/>
          <w:sz w:val="24"/>
          <w:szCs w:val="24"/>
        </w:rPr>
        <w:t xml:space="preserve">2026</w:t>
      </w:r>
    </w:p>
    <w:p>
      <w:pPr>
        <w:pageBreakBefore/>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¿Por qué un adolescente que domina su teléfono con una soltura que desconcierta a sus propios padres puede, aun así, terminar entregando sus ahorros a un desconocido que le prometió una consola gratis? Esa pregunta, aparentemente ingenua, es el punto de partida de esta monografía. El trabajo examina las modalidades de estafa en línea más frecuentes contra la población adolescente, entendiendo que la soltura técnica de este grupo no equivale, en absoluto, a criterio para detectar la manipulación. A partir de la revisión de informes institucionales de organismos de ciberseguridad y protección infantil, de literatura sobre desarrollo adolescente y de instrumentos jurídicos nacionales e internacionales vigentes, se sistematizan once modalidades de fraude —entre ellas las estafas en videojuegos, la sextorsión, el fraude de empleo falso, el fraude romántico-financiero organizado y el phishing dirigido—, describiendo su mecanismo de operación, la evidencia disponible sobre su magnitud y su impacto psicológico, social y económico en las víctimas. Se incorpora, además, una revisión del marco legal e institucional con instrumentos concretos —de la Convención sobre los Derechos del Niño a las leyes nacionales de grooming en América Latina— y una lectura diferenciada por edad y género. La conclusión central es modesta pero, creemos, correcta: la respuesta sostenible no es restringir el acceso a la tecnología, sino construir criterio crítico, sostener conversaciones familiares que no castiguen a quien pide ayuda, y exigir a las plataformas y a los Estados un compromiso más serio del que hoy demuestran.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Palabras clave: estafas en línea, adolescentes, sextorsión, ciberseguridad, fraude digital, marco legal, educación digital.</w:t>
      </w:r>
    </w:p>
    <w:p>
      <w:pPr>
        <w:pageBreakBefore/>
        <w:spacing w:after="0" w:before="0" w:line="480" w:lineRule="auto"/>
        <w:jc w:val="center"/>
      </w:pPr>
      <w:r>
        <w:rPr>
          <w:rFonts w:ascii="Times New Roman" w:cs="Times New Roman" w:eastAsia="Times New Roman" w:hAnsi="Times New Roman"/>
          <w:b/>
          <w:bCs/>
          <w:sz w:val="24"/>
          <w:szCs w:val="24"/>
        </w:rPr>
        <w:t xml:space="preserve">Índice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 Introducción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2. Planteamiento del problema y justificación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3. Objetivos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3.1. Objetivo general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3.2. Objetivos específicos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4. Marco teórico y conceptual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4.1. La adolescencia como etapa de vulnerabilidad digital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4.2. Ingeniería social: fundamentos conceptuales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4.3. La economía digital adolescente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4.4. Segmentación por subetapa del desarrollo adolescente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4.5. Perspectiva de género y vulnerabilidad interseccional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5. Metodología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5.1. Alcances y limitaciones del estudio</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6. Desarrollo: tipología de las estafas en línea dirigidas a adolescentes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6.1. Estafas en videojuegos y plataformas de juego</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6.2. Estafas en redes sociales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6.3. Sextorsión y extorsión sexual financiera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6.4. Estafas de empleo falso</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6.5. Estafas de regalos e influencers falsos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6.6. Phishing y suplantación de identidad</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6.7. Estafas de criptomonedas e inversión falsa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6.8. Aplicaciones de citas y catfishing</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6.9. Estafas académicas y de becas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6.10. Smishing y estafas por mensajería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6.11. Fraude romántico-financiero organizado ("pig butchering")</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7. Perfil del estafador y modus operandi</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8. Magnitud del fenómeno: lo que dicen los datos disponibles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9. Impacto en la víctima adolescente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10. Panorama comparado por región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11. Marco legal e institucional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11.1. Instrumentos internacionales y regionales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11.2. Legislación nacional: el caso latinoamericano</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11.3. Regulación de plataformas y protección de datos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11.4. Nudos pendientes del marco legal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12. Estrategias de prevención y educación digital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12.1. Prevención segmentada por franja etaria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13. Conclusiones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14. Referencias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15. Anexos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Anexo A. Datos cuantitativos disponibles (mundial, regional, nacional)</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Anexo B. Glosario de términos técnicos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Anexo C. Cuadro comparativo de tipologías de estafa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   Anexo D. Protocolo de actuación ante un caso sospechado (Bolivia)</w:t>
      </w:r>
    </w:p>
    <w:p>
      <w:pPr>
        <w:pageBreakBefore/>
        <w:spacing w:after="0" w:before="0" w:line="480" w:lineRule="auto"/>
        <w:jc w:val="center"/>
      </w:pPr>
      <w:r>
        <w:rPr>
          <w:rFonts w:ascii="Times New Roman" w:cs="Times New Roman" w:eastAsia="Times New Roman" w:hAnsi="Times New Roman"/>
          <w:b/>
          <w:bCs/>
          <w:sz w:val="24"/>
          <w:szCs w:val="24"/>
        </w:rPr>
        <w:t xml:space="preserve">1. Introducción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Hay una escena que se repite, con variaciones mínimas, en comisarías, consultas psicológicas y grupos de WhatsApp familiares de medio mundo: un adolescente que, tras días de silencio, confiesa a un adulto que "algo salió mal" en internet. A veces se trata de un pago que nunca llegó a destino; otras, de una fotografía que no debió compartirse. El desenlace varía, pero el patrón de fondo es sorprendentemente estable, y es precisamente ese patrón el que intenta reconstruir este trabajo.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Internet transformó la manera en que los adolescentes se comunican, aprenden, juegan y construyen su identidad social, y lo hizo en un plazo demasiado corto como para que las instituciones —la familia, la escuela, el derecho— terminaran de adaptarse. Ese desfase no es un detalle menor: es, en buena medida, la razón por la cual la delincuencia digital organizada ha encontrado en la población adolescente un blanco tan rentable como accesible.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 lo largo de este documento se entenderá por "adolescentes" al grupo comprendido entre los 12 y los 19 años, con la advertencia —que se retoma en la sección 4.4— de que se trata de una categoría demasiado amplia para tratarla como un bloque homogéneo. Este grupo etario destina buena parte de su tiempo diario a dispositivos móviles, redes sociales, videojuegos en línea y aplicaciones de mensajería. Esa hiperconectividad, sumada a rasgos propios del desarrollo cognitivo y emocional de la etapa —la búsqueda de aceptación social, la impulsividad, la necesidad de pertenencia grupal, una confianza todavía poco calibrada frente a desconocidos—, crea condiciones favorables para que operadores maliciosos diseñen fraudes adaptados específicamente a este público.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El propósito de esta monografía es analizar de manera sistemática las modalidades de estafa en línea más frecuentes dirigidas a adolescentes: cómo operan, qué evidencia existe sobre su magnitud, qué impacto generan en quienes las padecen, qué instrumentos legales existen para enfrentarlas y qué se puede hacer, de manera concreta, para prevenirlas. No se trata de un ejercicio de alarmismo tecnológico ni de una condena a la vida digital de los jóvenes, sino de un intento de nombrar el problema con la precisión suficiente como para poder actuar sobre él.</w:t>
      </w:r>
    </w:p>
    <w:p>
      <w:pPr>
        <w:spacing w:after="0" w:before="0" w:line="480" w:lineRule="auto"/>
        <w:jc w:val="center"/>
      </w:pPr>
      <w:r>
        <w:rPr>
          <w:rFonts w:ascii="Times New Roman" w:cs="Times New Roman" w:eastAsia="Times New Roman" w:hAnsi="Times New Roman"/>
          <w:b/>
          <w:bCs/>
          <w:sz w:val="24"/>
          <w:szCs w:val="24"/>
        </w:rPr>
        <w:t xml:space="preserve">2. Planteamiento del problema y justificación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Distintos organismos de ciberseguridad y de protección infantil coinciden en señalar un crecimiento sostenido de los reportes de fraude dirigidos a menores y adolescentes durante la última década. Ese crecimiento no es casual ni atribuible a un único factor: responde a la expansión del acceso a internet móvil, que redujo la supervisión parental directa que antes existía cuando el acceso se limitaba a una computadora familiar compartida; a la proliferación de sistemas de pago digital —tarjetas prepago, billeteras electrónicas, criptomonedas— que normalizaron el manejo autónomo de dinero por parte de menores; a la sofisticación creciente de las técnicas de ingeniería social, hoy potenciadas por inteligencia artificial generativa capaz de producir imágenes, voces e incluso videos falsos con un realismo notable; y a una cultura de la inmediatez que las estafas explotan sin disimulo, ofreciendo soluciones instantáneas a deseos perfectamente legítimos de la etapa: popularidad, pertenencia, romance, dinero fácil.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Conviene detenerse en un punto que atraviesa todo este trabajo. Los esfuerzos de concientización sobre fraude digital se han concentrado tradicionalmente en dos extremos: los niños pequeños, protegidos mediante control parental, y los adultos mayores, considerados vulnerables por una brecha tecnológica que se asume real. Los adolescentes han quedado, en el medio, en una suerte de punto ciego: se da por sentado que, por manejar la tecnología con soltura, están a salvo. Esa suposición es, sencillamente, errónea. Saber usar una aplicación no es lo mismo que saber leer la intención de quien la usa contra uno. A esa confusión la llamaremos, a lo largo del documento, la falacia de la competencia digital, y sostenemos que es uno de los factores estructurales que explican por qué las estafas dirigidas a este grupo etario han crecido de forma tan marcada sin que la respuesta social haya crecido al mismo ritmo.</w:t>
      </w:r>
    </w:p>
    <w:p>
      <w:pPr>
        <w:spacing w:after="0" w:before="0" w:line="480" w:lineRule="auto"/>
        <w:jc w:val="center"/>
      </w:pPr>
      <w:r>
        <w:rPr>
          <w:rFonts w:ascii="Times New Roman" w:cs="Times New Roman" w:eastAsia="Times New Roman" w:hAnsi="Times New Roman"/>
          <w:b/>
          <w:bCs/>
          <w:sz w:val="24"/>
          <w:szCs w:val="24"/>
        </w:rPr>
        <w:t xml:space="preserve">3. Objetivos</w:t>
      </w:r>
    </w:p>
    <w:p>
      <w:pPr>
        <w:spacing w:after="0" w:before="0" w:line="480" w:lineRule="auto"/>
        <w:jc w:val="left"/>
      </w:pPr>
      <w:r>
        <w:rPr>
          <w:rFonts w:ascii="Times New Roman" w:cs="Times New Roman" w:eastAsia="Times New Roman" w:hAnsi="Times New Roman"/>
          <w:b/>
          <w:bCs/>
          <w:sz w:val="24"/>
          <w:szCs w:val="24"/>
        </w:rPr>
        <w:t xml:space="preserve">3.1. Objetivo general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Analizar las modalidades de estafa en línea más comunes dirigidas a adolescentes, sus mecanismos de operación, la evidencia disponible sobre su magnitud, su impacto y las estrategias de prevención y respuesta legal existentes, con el fin de aportar una herramienta de referencia para la protección digital de este grupo etario.</w:t>
      </w:r>
    </w:p>
    <w:p>
      <w:pPr>
        <w:spacing w:after="0" w:before="0" w:line="480" w:lineRule="auto"/>
        <w:jc w:val="left"/>
      </w:pPr>
      <w:r>
        <w:rPr>
          <w:rFonts w:ascii="Times New Roman" w:cs="Times New Roman" w:eastAsia="Times New Roman" w:hAnsi="Times New Roman"/>
          <w:b/>
          <w:bCs/>
          <w:sz w:val="24"/>
          <w:szCs w:val="24"/>
        </w:rPr>
        <w:t xml:space="preserve">3.2. Objetivos específicos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Identificar y describir las principales tipologías de fraude digital dirigidas a adolescentes, según el canal de contacto y el objetivo del estafador.</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Caracterizar el perfil y el modus operandi de quienes ejecutan estos esquemas de fraude.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Reunir la evidencia empírica disponible —institucional y académica— sobre la magnitud del fenómeno en distintas regiones, con énfasis en América Latina.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Examinar el impacto psicológico, social y económico que estas estafas generan en las víctimas adolescentes.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Revisar los instrumentos legales e institucionales, internacionales y nacionales, disponibles para la persecución de estos delitos y la protección de las víctimas.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Proponer estrategias de prevención y educación digital diferenciadas por edad y género, dirigidas a adolescentes, familias, instituciones educativas y plataformas tecnológicas.</w:t>
      </w:r>
    </w:p>
    <w:p>
      <w:pPr>
        <w:pageBreakBefore/>
        <w:spacing w:after="0" w:before="0" w:line="480" w:lineRule="auto"/>
        <w:jc w:val="center"/>
      </w:pPr>
      <w:r>
        <w:rPr>
          <w:rFonts w:ascii="Times New Roman" w:cs="Times New Roman" w:eastAsia="Times New Roman" w:hAnsi="Times New Roman"/>
          <w:b/>
          <w:bCs/>
          <w:sz w:val="24"/>
          <w:szCs w:val="24"/>
        </w:rPr>
        <w:t xml:space="preserve">4. Marco teórico y conceptual</w:t>
      </w:r>
    </w:p>
    <w:p>
      <w:pPr>
        <w:spacing w:after="0" w:before="0" w:line="480" w:lineRule="auto"/>
        <w:jc w:val="left"/>
      </w:pPr>
      <w:r>
        <w:rPr>
          <w:rFonts w:ascii="Times New Roman" w:cs="Times New Roman" w:eastAsia="Times New Roman" w:hAnsi="Times New Roman"/>
          <w:b/>
          <w:bCs/>
          <w:sz w:val="24"/>
          <w:szCs w:val="24"/>
        </w:rPr>
        <w:t xml:space="preserve">4.1. La adolescencia como etapa de vulnerabilidad digital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 corteza prefrontal, responsable de la planificación, la evaluación de riesgos y el control de impulsos, continúa madurando hasta bien entrada la juventud adulta. En términos prácticos, esto significa que un adolescente no es, neurológicamente, un adulto con menos experiencia: es una persona cuyo sistema de recompensa responde con más fuerza, y más rápido, que su sistema de frenado (Steinberg, 2008). Una oferta de ganancia inmediata —skins gratis, dinero fácil, la atención de alguien atractivo— activa ese circuito de recompensa antes de que el circuito de evaluación de riesgo alcance a procesar las señales de alerta correspondientes. No es, entonces, un problema de falta de inteligencia ni de ingenuidad; es, literalmente, una cuestión de tiempos de procesamiento cerebral distintos según la etapa vital.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 esa particularidad cognitiva se suma la sensibilidad extrema de la adolescencia a la aceptación del grupo de pares, la tendencia a confiar en figuras percibidas como autoridad legítima —administradores de plataformas, soporte técnico, cuentas verificadas— y un nivel de alfabetización financiera todavía incipiente. Ninguno de estos rasgos es, por sí solo, una debilidad; combinados, sin embargo, explican buena parte de la eficacia que tienen los esquemas de manipulación digital diseñados para este público.</w:t>
      </w:r>
    </w:p>
    <w:p>
      <w:pPr>
        <w:spacing w:after="0" w:before="0" w:line="480" w:lineRule="auto"/>
        <w:jc w:val="left"/>
      </w:pPr>
      <w:r>
        <w:rPr>
          <w:rFonts w:ascii="Times New Roman" w:cs="Times New Roman" w:eastAsia="Times New Roman" w:hAnsi="Times New Roman"/>
          <w:b/>
          <w:bCs/>
          <w:sz w:val="24"/>
          <w:szCs w:val="24"/>
        </w:rPr>
        <w:t xml:space="preserve">4.2. Ingeniería social: fundamentos conceptuales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Se entiende por ingeniería social el conjunto de técnicas de manipulación psicológica orientadas a inducir a una persona a realizar una acción, o a divulgar información, que beneficia a quien la ejecuta (Mitnick y Simon, 2002). Sus principios de eficacia —reciprocidad, urgencia artificial, prueba social, autoridad simulada— no son exclusivos del fraude digital: son los mismos que emplea cualquier vendedor persuasivo o cualquier estafador de escenario. Lo que cambia en el entorno adolescente es la velocidad de propagación y la facilidad para simular una identidad completa —fotografías, historia, amigos en común— con recursos mínimos.</w:t>
      </w:r>
    </w:p>
    <w:p>
      <w:pPr>
        <w:spacing w:after="0" w:before="0" w:line="480" w:lineRule="auto"/>
        <w:jc w:val="left"/>
      </w:pPr>
      <w:r>
        <w:rPr>
          <w:rFonts w:ascii="Times New Roman" w:cs="Times New Roman" w:eastAsia="Times New Roman" w:hAnsi="Times New Roman"/>
          <w:b/>
          <w:bCs/>
          <w:sz w:val="24"/>
          <w:szCs w:val="24"/>
        </w:rPr>
        <w:t xml:space="preserve">4.3. La economía digital adolescente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El uso extendido de sistemas de micropagos en videojuegos, aplicaciones de mensajería y redes sociales ha dado lugar a algo que bien podríamos llamar una economía digital adolescente: transacciones frecuentes de bajo monto, activos virtuales con valor simbólico y también financiero, y medios de pago —tarjetas de regalo, billeteras digitales, criptomonedas— que ofrecen escasa o nula posibilidad de reversión. Esa última característica no es un detalle técnico incidental: es, precisamente, la razón por la que los estafadores prefieren estos instrumentos sobre una simple transferencia bancaria trazable.</w:t>
      </w:r>
    </w:p>
    <w:p>
      <w:pPr>
        <w:spacing w:after="0" w:before="0" w:line="480" w:lineRule="auto"/>
        <w:jc w:val="left"/>
      </w:pPr>
      <w:r>
        <w:rPr>
          <w:rFonts w:ascii="Times New Roman" w:cs="Times New Roman" w:eastAsia="Times New Roman" w:hAnsi="Times New Roman"/>
          <w:b/>
          <w:bCs/>
          <w:sz w:val="24"/>
          <w:szCs w:val="24"/>
        </w:rPr>
        <w:t xml:space="preserve">4.4. Segmentación por subetapa del desarrollo adolescente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Tratar a "los adolescentes" como un bloque homogéneo entre los 12 y los 19 años, como suele hacerse en buena parte de la literatura de divulgación, oculta diferencias evolutivas que importan para este análisis. La adolescencia temprana (12 a 15 años) se caracteriza por un pensamiento todavía predominantemente concreto, alta dependencia parental y económica, y una identidad digital en formación centrada en videojuegos y comunidades cerradas de pares; en este segmento predominan las estafas de videojuegos, los sitios falsos de generación de monedas virtuales y los primeros contactos de grooming. La adolescencia tardía (16 a 19 años) supone mayor autonomía financiera, exploración romántica y sexual activa, y cercanía a decisiones de vida —empleo, educación superior, independencia— que los estafadores saben explotar; aquí se concentran con mayor frecuencia la sextorsión financiera, las estafas de empleo falso, las de criptomonedas e inversión, las de citas y catfishing, y las académicas y de becas. Esta distinción, que se apoya en el propio marco de desarrollo prefrontal de Steinberg (2008), debería orientar tanto el diagnóstico de riesgo como el diseño de estrategias de prevención diferenciadas, tema que se retoma en la sección 12.</w:t>
      </w:r>
    </w:p>
    <w:p>
      <w:pPr>
        <w:spacing w:after="0" w:before="0" w:line="480" w:lineRule="auto"/>
        <w:jc w:val="left"/>
      </w:pPr>
      <w:r>
        <w:rPr>
          <w:rFonts w:ascii="Times New Roman" w:cs="Times New Roman" w:eastAsia="Times New Roman" w:hAnsi="Times New Roman"/>
          <w:b/>
          <w:bCs/>
          <w:sz w:val="24"/>
          <w:szCs w:val="24"/>
        </w:rPr>
        <w:t xml:space="preserve">4.5. Perspectiva de género y vulnerabilidad interseccional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 evidencia disponible documenta patrones diferenciados por género en la victimización digital adolescente: los varones concentran la mayor proporción de casos reportados de sextorsión financiera, mientras que las adolescentes mujeres son víctimas con mayor frecuencia de grooming orientado a la explotación sexual no financiera y a la manipulación romántica prolongada (NCMEC, 2023). No son patrones absolutos ni excluyentes —también hay varones víctimas de grooming y mujeres víctimas de sextorsión financiera—, pero sí orientan de manera relevante el diseño de mensajes preventivos, que rara vez deberían ser idénticos para ambos grupos.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 esa variable se suman condiciones de vulnerabilidad interseccional que la evidencia de protección infantil identifica de manera consistente como factores de riesgo multiplicador: pertenecer a la comunidad LGTBQ+ (con mayor exposición al chantaje vinculado a una orientación sexual o identidad de género aún no revelada a la familia), vivir con una discapacidad, atravesar aislamiento social o baja autoestima, o enfrentar precariedad económica familiar. Ignorar estas condiciones al diseñar campañas de prevención tiene un costo concreto: mensajes genéricos que, en la práctica, no llegan a quienes están en mayor riesgo real.</w:t>
      </w:r>
    </w:p>
    <w:p>
      <w:pPr>
        <w:spacing w:after="0" w:before="0" w:line="480" w:lineRule="auto"/>
        <w:jc w:val="center"/>
      </w:pPr>
      <w:r>
        <w:rPr>
          <w:rFonts w:ascii="Times New Roman" w:cs="Times New Roman" w:eastAsia="Times New Roman" w:hAnsi="Times New Roman"/>
          <w:b/>
          <w:bCs/>
          <w:sz w:val="24"/>
          <w:szCs w:val="24"/>
        </w:rPr>
        <w:t xml:space="preserve">5. Metodología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Este trabajo adopta un enfoque cualitativo de análisis documental. La información se organizó a partir de la revisión de informes institucionales de organismos de ciberseguridad y protección infantil, literatura académica sobre desarrollo adolescente y manipulación psicológica, e instrumentos jurídicos nacionales e internacionales vigentes. Las distintas modalidades de fraude se clasificaron según el canal de contacto inicial —redes sociales, videojuegos, mensajería, correo electrónico— y según el objetivo final del estafador: obtención de dinero, de datos personales o de material sensible. Se reconstruyó, además, un ciclo típico de la estafa —contacto inicial, generación de confianza, creación de urgencia, solicitud de acción, explotación— que funciona como marco analítico transversal a las once tipologías descritas en la sección 6.</w:t>
      </w:r>
    </w:p>
    <w:p>
      <w:pPr>
        <w:spacing w:after="0" w:before="0" w:line="480" w:lineRule="auto"/>
        <w:jc w:val="left"/>
      </w:pPr>
      <w:r>
        <w:rPr>
          <w:rFonts w:ascii="Times New Roman" w:cs="Times New Roman" w:eastAsia="Times New Roman" w:hAnsi="Times New Roman"/>
          <w:b/>
          <w:bCs/>
          <w:sz w:val="24"/>
          <w:szCs w:val="24"/>
        </w:rPr>
        <w:t xml:space="preserve">5.1. Alcances y limitaciones del estudio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Conviene ser honestos sobre lo que este documento puede y no puede ofrecer. No sustituye una investigación criminológica primaria ni un estudio estadístico con datos propios: no se recolectaron encuestas ni entrevistas para este trabajo, y las cifras que se citan en la sección 8 provienen de fuentes institucionales de terceros, no de un relevamiento propio. Existe, además, un sesgo de disponibilidad difícil de evitar: se analizan necesariamente los casos y patrones reportados, mientras que la evidencia sugiere —y la sección 9 lo retoma— que la mayoría de los incidentes de sextorsión y fraude financiero contra adolescentes nunca llegan a denunciarse. El fenómeno real es, con toda probabilidad, más extenso y de composición distinta a la de los casos documentados. Por último, la generalización transregional que se presenta en la sección 10 debe leerse como una lectura de tendencias orientativas, apoyada en la disponibilidad desigual de reportes según el país, y no como un hallazgo estadísticamente representativo de cada región.</w:t>
      </w:r>
    </w:p>
    <w:p>
      <w:pPr>
        <w:pageBreakBefore/>
        <w:spacing w:after="0" w:before="0" w:line="480" w:lineRule="auto"/>
        <w:jc w:val="center"/>
      </w:pPr>
      <w:r>
        <w:rPr>
          <w:rFonts w:ascii="Times New Roman" w:cs="Times New Roman" w:eastAsia="Times New Roman" w:hAnsi="Times New Roman"/>
          <w:b/>
          <w:bCs/>
          <w:sz w:val="24"/>
          <w:szCs w:val="24"/>
        </w:rPr>
        <w:t xml:space="preserve">6. Desarrollo: tipología de las estafas en línea dirigidas a adolescentes</w:t>
      </w:r>
    </w:p>
    <w:p>
      <w:pPr>
        <w:spacing w:after="0" w:before="0" w:line="480" w:lineRule="auto"/>
        <w:jc w:val="left"/>
      </w:pPr>
      <w:r>
        <w:rPr>
          <w:rFonts w:ascii="Times New Roman" w:cs="Times New Roman" w:eastAsia="Times New Roman" w:hAnsi="Times New Roman"/>
          <w:b/>
          <w:bCs/>
          <w:sz w:val="24"/>
          <w:szCs w:val="24"/>
        </w:rPr>
        <w:t xml:space="preserve">6.1. Estafas en videojuegos y plataformas de juego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Los videojuegos en línea con economías internas basadas en objetos virtuales son, probablemente, el terreno donde un adolescente promedio tiene su primer contacto con el fraude digital, muchas veces sin llegar a identificarlo como tal. Entre los mecanismos más comunes están las estafas de intercambio, en las que el estafador ofrece canjear un objeto de valor y desaparece apenas recibe el de la víctima; los sitios falsos de generación gratuita de monedas o artículos virtuales, diseñados para robar credenciales de acceso; los falsos servicios de "mejora de rango" que solicitan la contraseña de la cuenta con el mismo fin; las estafas de streamers que anuncian sorteos falsos exigiendo una tarifa previa de "verificación"; y los reversos fraudulentos de pago en mercados de compraventa entre jugadores, donde el comprador recibe el objeto y luego revierte la transacción.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Las señales de alerta son, en el fondo, siempre las mismas: presión para actuar de inmediato, pedido de enviar primero el objeto o el pago "de buena fe", direcciones web que imitan pero no coinciden exactamente con las oficiales, y solicitudes de credenciales fuera de la plataforma legítima del juego.</w:t>
      </w:r>
    </w:p>
    <w:p>
      <w:pPr>
        <w:spacing w:after="0" w:before="0" w:line="480" w:lineRule="auto"/>
        <w:jc w:val="left"/>
      </w:pPr>
      <w:r>
        <w:rPr>
          <w:rFonts w:ascii="Times New Roman" w:cs="Times New Roman" w:eastAsia="Times New Roman" w:hAnsi="Times New Roman"/>
          <w:b/>
          <w:bCs/>
          <w:sz w:val="24"/>
          <w:szCs w:val="24"/>
        </w:rPr>
        <w:t xml:space="preserve">6.2. Estafas en redes sociales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un entorno donde la imagen personal y la cantidad de seguidores funcionan casi como moneda social, las estafas de redes sociales apuntan directamente a esa vulnerabilidad. Se documentan ofertas fraudulentas de aumento de seguidores o de "verificación" de cuenta, propuestas de colaboración de marca falsas dirigidas a adolescentes con perfiles de alcance moderado, enlaces de phishing disfrazados de encuestas virales ("mira quién visitó tu perfil"), esquemas piramidales presentados como oportunidades de emprendimiento digital, y concursos falsos que suplantan marcas reconocidas exigiendo el pago previo de impuestos o gastos de envío para liberar un premio que nunca existió.</w:t>
      </w:r>
    </w:p>
    <w:p>
      <w:pPr>
        <w:spacing w:after="0" w:before="0" w:line="480" w:lineRule="auto"/>
        <w:jc w:val="left"/>
      </w:pPr>
      <w:r>
        <w:rPr>
          <w:rFonts w:ascii="Times New Roman" w:cs="Times New Roman" w:eastAsia="Times New Roman" w:hAnsi="Times New Roman"/>
          <w:b/>
          <w:bCs/>
          <w:sz w:val="24"/>
          <w:szCs w:val="24"/>
        </w:rPr>
        <w:t xml:space="preserve">6.3. Sextorsión y extorsión sexual financiera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 sin exagerar, una de las modalidades más graves que trata este documento, y la que con mayor frecuencia termina en tragedia. El mecanismo típico comienza con un perfil falso que establece contacto romántico de manera acelerada, sigue con la obtención de imágenes o videos íntimos —a veces mediante reciprocidad simulada— y culmina con un cambio abrupto de tono: la amenaza de difundir el material a menos que se realice un pago inmediato, casi siempre mediante tarjetas de regalo o criptomonedas.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El estigma asociado a esta experiencia explica por qué la mayoría de las víctimas no denuncian ni buscan ayuda de un adulto, lo que prolonga su exposición al chantaje precisamente en el momento en que más necesitarían intervención externa. Se han documentado desenlaces trágicos —autolesión, suicidio— y una vinculación frecuente con redes de crimen organizado transnacional que operan con guiones de conversación casi idénticos, dirigidos de forma simultánea a un número muy elevado de víctimas (Thorn, 2022; NCMEC, 2023).</w:t>
      </w:r>
    </w:p>
    <w:p>
      <w:pPr>
        <w:spacing w:after="0" w:before="0" w:line="480" w:lineRule="auto"/>
        <w:jc w:val="left"/>
      </w:pPr>
      <w:r>
        <w:rPr>
          <w:rFonts w:ascii="Times New Roman" w:cs="Times New Roman" w:eastAsia="Times New Roman" w:hAnsi="Times New Roman"/>
          <w:b/>
          <w:bCs/>
          <w:sz w:val="24"/>
          <w:szCs w:val="24"/>
        </w:rPr>
        <w:t xml:space="preserve">6.4. Estafas de empleo falso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Ante la necesidad —cada vez más temprana— de generar ingresos propios, un número creciente de adolescentes es blanco de ofertas de empleo fraudulentas. Se identifican las estafas de cheque por adelantado; los esquemas de reenvío de paquetes, que convierten a la víctima en intermediaria involuntaria de mercancía adquirida con tarjetas robadas; las ofertas de pago por interacciones falsas en redes sociales, que exigen una inversión inicial nunca reembolsada; y el reclutamiento como intermediario financiero —la llamada "mula de dinero"—, que expone a la víctima a responsabilidad legal por lavado de activos sin que comprenda cabalmente la gravedad de lo que está haciendo.</w:t>
      </w:r>
    </w:p>
    <w:p>
      <w:pPr>
        <w:spacing w:after="0" w:before="0" w:line="480" w:lineRule="auto"/>
        <w:jc w:val="left"/>
      </w:pPr>
      <w:r>
        <w:rPr>
          <w:rFonts w:ascii="Times New Roman" w:cs="Times New Roman" w:eastAsia="Times New Roman" w:hAnsi="Times New Roman"/>
          <w:b/>
          <w:bCs/>
          <w:sz w:val="24"/>
          <w:szCs w:val="24"/>
        </w:rPr>
        <w:t xml:space="preserve">6.5. Estafas de regalos e influencers falsos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Esta modalidad se apoya en la suplantación de cuentas de celebridades, deportistas o creadores de contenido mediante perfiles casi idénticos al original, que anuncian sorteos de dispositivos electrónicos o experiencias exclusivas. El uso de comentarios y cuentas automatizadas que simulan ganadores anteriores genera una prueba social falsa que reduce la sospecha, hasta que finalmente se solicita a la víctima el envío de datos personales sensibles o el pago de una tarifa de "verificación".</w:t>
      </w:r>
    </w:p>
    <w:p>
      <w:pPr>
        <w:spacing w:after="0" w:before="0" w:line="480" w:lineRule="auto"/>
        <w:jc w:val="left"/>
      </w:pPr>
      <w:r>
        <w:rPr>
          <w:rFonts w:ascii="Times New Roman" w:cs="Times New Roman" w:eastAsia="Times New Roman" w:hAnsi="Times New Roman"/>
          <w:b/>
          <w:bCs/>
          <w:sz w:val="24"/>
          <w:szCs w:val="24"/>
        </w:rPr>
        <w:t xml:space="preserve">6.6. Phishing y suplantación de identidad</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El phishing dirigido a adolescentes ya no se parece al correo genérico con errores ortográficos evidentes de hace una década. Hoy incluye suplantación de portales educativos, notificaciones falsas de suspensión de cuentas de entretenimiento, mensajes de texto que piden reenviar un código de verificación bajo pretextos engañosos, y enlaces acortados o códigos QR maliciosos que ocultan el destino real de la redirección hasta el último momento.</w:t>
      </w:r>
    </w:p>
    <w:p>
      <w:pPr>
        <w:spacing w:after="0" w:before="0" w:line="480" w:lineRule="auto"/>
        <w:jc w:val="left"/>
      </w:pPr>
      <w:r>
        <w:rPr>
          <w:rFonts w:ascii="Times New Roman" w:cs="Times New Roman" w:eastAsia="Times New Roman" w:hAnsi="Times New Roman"/>
          <w:b/>
          <w:bCs/>
          <w:sz w:val="24"/>
          <w:szCs w:val="24"/>
        </w:rPr>
        <w:t xml:space="preserve">6.7. Estafas de criptomonedas e inversión falsa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El interés adolescente por las criptomonedas, alimentado por una cultura de enriquecimiento rápido que circula sin filtro en redes sociales, ha dado lugar a esquemas Ponzi disfrazados de plataformas de inversión automatizada, falsos repartos gratuitos ("airdrops") o preventas exclusivas que piden un pago previo de "activación", y esquemas de manipulación de precios ("pump and dump") coordinados en grupos de mensajería, de los que se benefician quienes los organizan a costa de quienes llegan después.</w:t>
      </w:r>
    </w:p>
    <w:p>
      <w:pPr>
        <w:spacing w:after="0" w:before="0" w:line="480" w:lineRule="auto"/>
        <w:jc w:val="left"/>
      </w:pPr>
      <w:r>
        <w:rPr>
          <w:rFonts w:ascii="Times New Roman" w:cs="Times New Roman" w:eastAsia="Times New Roman" w:hAnsi="Times New Roman"/>
          <w:b/>
          <w:bCs/>
          <w:sz w:val="24"/>
          <w:szCs w:val="24"/>
        </w:rPr>
        <w:t xml:space="preserve">6.8. Aplicaciones de citas y catfishing</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Aunque la mayoría de las aplicaciones de citas fijan una edad mínima de acceso, no pocos adolescentes falsean su edad para usarlas de todos modos. Allí se documentan casos de catfishing con fines económicos —identidades completamente falsas construidas para solicitar dinero bajo pretextos diversos—, redirecciones hacia plataformas de contenido por suscripción con cargos recurrentes no anticipados y, en los casos más graves, la vinculación del contacto inicial con esquemas de explotación sexual y trata de personas.</w:t>
      </w:r>
    </w:p>
    <w:p>
      <w:pPr>
        <w:spacing w:after="0" w:before="0" w:line="480" w:lineRule="auto"/>
        <w:jc w:val="left"/>
      </w:pPr>
      <w:r>
        <w:rPr>
          <w:rFonts w:ascii="Times New Roman" w:cs="Times New Roman" w:eastAsia="Times New Roman" w:hAnsi="Times New Roman"/>
          <w:b/>
          <w:bCs/>
          <w:sz w:val="24"/>
          <w:szCs w:val="24"/>
        </w:rPr>
        <w:t xml:space="preserve">6.9. Estafas académicas y de becas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Dirigidas sobre todo a quienes cursan los últimos años de secundaria y comienzan a pensar en su educación superior, estas estafas incluyen consultoras de becas falsas que cobran por "garantizar" el acceso a financiamiento educativo, portales que imitan a instituciones u organismos gubernamentales de ayuda financiera, y la venta de exámenes o certificaciones sin ningún valor real.</w:t>
      </w:r>
    </w:p>
    <w:p>
      <w:pPr>
        <w:spacing w:after="0" w:before="0" w:line="480" w:lineRule="auto"/>
        <w:jc w:val="left"/>
      </w:pPr>
      <w:r>
        <w:rPr>
          <w:rFonts w:ascii="Times New Roman" w:cs="Times New Roman" w:eastAsia="Times New Roman" w:hAnsi="Times New Roman"/>
          <w:b/>
          <w:bCs/>
          <w:sz w:val="24"/>
          <w:szCs w:val="24"/>
        </w:rPr>
        <w:t xml:space="preserve">6.10. Smishing y estafas por mensajería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Los mensajes de texto y las aplicaciones de mensajería siguen siendo un canal eficaz para estafas que buscan una respuesta impulsiva: el mensaje que simula venir de un familiar en apuros, la falsa notificación de paquetería que pide un pago de aduana, la cadena que promete un premio a cambio de datos personales y reenvíos masivos.</w:t>
      </w:r>
    </w:p>
    <w:p>
      <w:pPr>
        <w:spacing w:after="0" w:before="0" w:line="480" w:lineRule="auto"/>
        <w:jc w:val="left"/>
      </w:pPr>
      <w:r>
        <w:rPr>
          <w:rFonts w:ascii="Times New Roman" w:cs="Times New Roman" w:eastAsia="Times New Roman" w:hAnsi="Times New Roman"/>
          <w:b/>
          <w:bCs/>
          <w:sz w:val="24"/>
          <w:szCs w:val="24"/>
        </w:rPr>
        <w:t xml:space="preserve">6.11. Fraude romántico-financiero organizado ("pig butchering")</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Esta modalidad combina elementos del catfishing descrito en la sección 6.8 con un esquema de inversión fraudulenta de desarrollo mucho más lento, y constituye uno de los vectores de fraude de mayor crecimiento reportado en los últimos años por organismos policiales internacionales (Europol, 2023; INTERPOL, 2023). El nombre —"engorde del cerdo", en traducción literal— resume el patrón: el estafador invierte semanas o meses en construir una relación de confianza, romántica o de amistad cercana, antes de introducir gradualmente una oportunidad de inversión, típicamente en criptomonedas, a través de una plataforma que él mismo controla. La víctima observa ganancias simuladas en las primeras etapas, lo que la anima a invertir montos cada vez mayores, hasta que pierde el acceso a los fondos y, poco después, todo contacto con quien decía quererla.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Dos rasgos distinguen a esta modalidad de las demás. El primero es su escala temporal: mientras la sextorsión o el phishing se ejecutan en horas o días, este esquema se desarrolla durante semanas o meses, lo que dificulta enormemente su detección temprana por parte de la familia. El segundo es su vínculo, ya documentado por investigaciones internacionales, con estructuras de trabajo forzado: buena parte de estas operaciones se ejecutan desde centros de tipo "boiler room" en el sudeste asiático, donde redes de crimen organizado someten a servidumbre por deudas a las personas que ejecutan materialmente el engaño —entre ellas, adultos jóvenes reclutados con falsas ofertas de empleo en el extranjero, como las descritas en la sección 6.4—. Los adolescentes de 16 a 19 años no son, hoy, el blanco principal de este fraude, que suele apuntar a adultos con mayor capacidad de inversión; pero su relevancia para este trabajo es doble: por un lado, la exposición creciente de adolescentes mayores con criptomonedas propias; por otro, el riesgo de que jóvenes en situación de vulnerabilidad económica terminen reclutados, sin saberlo, en estas mismas redes de explotación.</w:t>
      </w:r>
    </w:p>
    <w:p>
      <w:pPr>
        <w:pageBreakBefore/>
        <w:spacing w:after="0" w:before="0" w:line="480" w:lineRule="auto"/>
        <w:jc w:val="center"/>
      </w:pPr>
      <w:r>
        <w:rPr>
          <w:rFonts w:ascii="Times New Roman" w:cs="Times New Roman" w:eastAsia="Times New Roman" w:hAnsi="Times New Roman"/>
          <w:b/>
          <w:bCs/>
          <w:sz w:val="24"/>
          <w:szCs w:val="24"/>
        </w:rPr>
        <w:t xml:space="preserve">7. Perfil del estafador y modus operandi</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Conviene abandonar la imagen del estafador solitario y poco sofisticado operando desde un sótano. La evidencia disponible apunta, cada vez con más claridad, hacia estructuras organizadas con división de tareas: unos crean los perfiles falsos, otros conducen la negociación psicológica, otros procesan el dinero obtenido. Se han identificado guiones de conversación estandarizados que se repiten de manera casi idéntica contra miles de víctimas distintas, así como el uso creciente de herramientas de automatización e inteligencia artificial para generar imágenes y voces sintéticas. La operación suele ser transnacional, lo que complica enormemente la investigación y la persecución penal (Europol, 2023). Estos actores, además, no necesitan vulnerar la seguridad técnica de las plataformas: les basta con explotar sus funcionalidades legítimas —sistemas de pago integrados, mensajería directa, contenido efímero— para operar con eficacia y dejar el menor rastro posible.</w:t>
      </w:r>
    </w:p>
    <w:p>
      <w:pPr>
        <w:spacing w:after="0" w:before="0" w:line="480" w:lineRule="auto"/>
        <w:jc w:val="center"/>
      </w:pPr>
      <w:r>
        <w:rPr>
          <w:rFonts w:ascii="Times New Roman" w:cs="Times New Roman" w:eastAsia="Times New Roman" w:hAnsi="Times New Roman"/>
          <w:b/>
          <w:bCs/>
          <w:sz w:val="24"/>
          <w:szCs w:val="24"/>
        </w:rPr>
        <w:t xml:space="preserve">8. Magnitud del fenómeno: lo que dicen los datos disponibles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Cuantificar con precisión estas estafas es, en sí mismo, un desafío metodológico: buena parte de las víctimas adolescentes no denuncia, y los sistemas de registro varían enormemente entre países. Aun así, existen indicadores concretos que permiten dimensionar la escala del problema, y esta sección los reúne con la cifra exacta y la fuente que la respalda —remitiendo al Anexo A para el detalle tabulado— en lugar de hablar en términos vagos de "un incremento sostenido".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el ámbito de la sextorsión financiera, el Centro Nacional para Niños Desaparecidos y Explotados de Estados Unidos (NCMEC) documentó, a través de su línea CyberTipline, un salto de 10.731 reportes en 2022 a 26.718 reportes en 2023: un incremento superior al 140% en un único año (NCMEC, 2024). La propia organización identificó a los varones adolescentes como el blanco predominante de estos esquemas, y advirtió que, desde 2021, tiene registro de al menos 36 adolescentes varones que se quitaron la vida como consecuencia directa de haber sido víctimas de sextorsión (Thorn, 2024). En un plano más amplio, los reportes de "online enticement" —la categoría que incluye al grooming previo a la sextorsión— crecieron 192% en 2024, superando las 546.000 notificaciones, un salto que NCMEC atribuye en parte a la nueva obligación legal (REPORT Act, EE.UU.) de que las plataformas reporten estos casos (NCMEC, 2025).</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cuanto al uso adolescente de la tecnología —variable necesaria para entender la exposición al riesgo—, la edición 2024 del estudio Teens, Social Media and Technology del Pew Research Center encontró que el 95% de los adolescentes estadounidenses tiene acceso a un teléfono inteligente (frente al 73% de una década atrás), que cerca de la mitad se declara en línea "casi constantemente" (frente al 24% de hace diez años), y que YouTube (73% de uso diario), TikTok (cerca del 60% diario) y, en menor medida, Instagram y Snapchat concentran el uso cotidiano de este grupo (Pew Research Center, 2024). Ese nivel de conectividad es, sencillamente, la condición de posibilidad de todo lo descrito en la sección 6.</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Sobre el fraude financiero propiamente dicho, los datos de la Comisión Federal de Comercio de Estados Unidos (FTC) muestran un patrón que contradice la intuición de que los jóvenes, por su soltura tecnológica, pierden menos dinero: los adultos jóvenes de 20 a 29 años reportaron haber perdido dinero en el 41% de los fraudes que sufrieron, frente a apenas el 17% entre los mayores de 80 años. Para el segmento de 18 a 29 años, casi el 40% de las pérdidas por fraude en 2021 se originaron en redes sociales, y este grupo tuvo una probabilidad más de cuatro veces mayor que los adultos mayores de perder dinero en estafas de inversión —mayoritariamente criptomonedas falsas— y más de cinco veces mayor de perder dinero en estafas de empleo (FTC, 2023). El fraude romántico-financiero organizado descrito en la sección 6.11 alcanzó, según la firma de análisis blockchain Chainalysis, pérdidas globales por 9.900 millones de dólares en criptomonedas durante 2024 —cifra que la propia firma proyecta revisar al alza hasta 12.400 millones—, con las pérdidas específicas por "pig butchering" creciendo 40% respecto de 2023 hasta representar un tercio de todo el fraude cripto, y con un incremento del 210% en el número de depósitos de víctimas, lo que sugiere una expansión notable en la cantidad de personas afectadas aun cuando el monto promedio por víctima haya caído (Chainalysis, 2025).</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Para América Latina, la evidencia sistemática sigue siendo más escasa que para Norteamérica o Europa, y esa misma escasez es, en sí misma, un hallazgo relevante. El estudio multipaís Global Kids Online — Latinoamérica, que reúne evidencia de Argentina, Bolivia, Brasil, Chile, Costa Rica y Uruguay sobre niñas, niños y adolescentes de 9 a 17 años, encontró que en la mayoría de los países estudiados más del 90% de los menores tiene acceso a internet en el hogar (96% en Argentina y en Brasil), mientras que Bolivia se ubica por debajo del promedio regional, con 82% de acceso domiciliario. En cuanto a experiencias negativas en línea con frecuencia semanal, el estudio reporta un rango de 4% (Uruguay y Argentina) a 13% (Chile), según el país (Global Kids Online, s.f.). A escala global, un informe reciente de UNICEF —difundido en 2026 y que abarca 21 países de África, Asia, América Latina y el Caribe, y Europa del Este— estimó que 20 millones de menores sufren abuso o explotación sexual en línea cada año, que más de uno de cada cinco adolescentes de 12 a 17 años en esos países fue blanco de algún tipo de ataque digital, que las redes sociales facilitaron más de la mitad de los casos documentados, y que menos del 1% de los incidentes llegó a reportarse a una autoridad (UNICEF, 2026). Este último dato —el subregistro casi total— es, para los fines de este trabajo, tan relevante como cualquier cifra de incidencia: sugiere que todas las estadísticas citadas en esta sección deben leerse como un piso, no como un techo, del problema real.</w:t>
      </w:r>
    </w:p>
    <w:p>
      <w:pPr>
        <w:spacing w:after="0" w:before="0" w:line="480" w:lineRule="auto"/>
        <w:jc w:val="center"/>
      </w:pPr>
      <w:r>
        <w:rPr>
          <w:rFonts w:ascii="Times New Roman" w:cs="Times New Roman" w:eastAsia="Times New Roman" w:hAnsi="Times New Roman"/>
          <w:b/>
          <w:bCs/>
          <w:sz w:val="24"/>
          <w:szCs w:val="24"/>
        </w:rPr>
        <w:t xml:space="preserve">9. Impacto en la víctima adolescente</w:t>
      </w:r>
    </w:p>
    <w:p>
      <w:pPr>
        <w:spacing w:after="0" w:before="0" w:line="480" w:lineRule="auto"/>
        <w:jc w:val="left"/>
      </w:pPr>
      <w:r>
        <w:rPr>
          <w:rFonts w:ascii="Times New Roman" w:cs="Times New Roman" w:eastAsia="Times New Roman" w:hAnsi="Times New Roman"/>
          <w:b/>
          <w:bCs/>
          <w:sz w:val="24"/>
          <w:szCs w:val="24"/>
        </w:rPr>
        <w:t xml:space="preserve">9.1. Impacto psicológico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Ser víctima de una estafa en línea durante la adolescencia rara vez se queda en una pérdida material. Genera vergüenza, culpa y humillación —de manera particularmente intensa en los casos de sextorsión—, ansiedad e hipervigilancia ante la posibilidad de exposición pública, pérdida de confianza interpersonal y, en los casos más severos, ideación suicida y autolesión, cuando la víctima llega a percibir que no existe salida alguna sin un costo social devastador.</w:t>
      </w:r>
    </w:p>
    <w:p>
      <w:pPr>
        <w:spacing w:after="0" w:before="0" w:line="480" w:lineRule="auto"/>
        <w:jc w:val="left"/>
      </w:pPr>
      <w:r>
        <w:rPr>
          <w:rFonts w:ascii="Times New Roman" w:cs="Times New Roman" w:eastAsia="Times New Roman" w:hAnsi="Times New Roman"/>
          <w:b/>
          <w:bCs/>
          <w:sz w:val="24"/>
          <w:szCs w:val="24"/>
        </w:rPr>
        <w:t xml:space="preserve">9.2. Impacto social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el plano social, se observa con frecuencia el deterioro de las relaciones familiares cuando la víctima oculta lo ocurrido por temor a la reacción de sus padres, la estigmatización entre pares cuando el episodio trasciende el círculo cercano, y un descenso del rendimiento escolar —o incluso la deserción— como consecuencia del desgaste emocional que la situación implica.</w:t>
      </w:r>
    </w:p>
    <w:p>
      <w:pPr>
        <w:spacing w:after="0" w:before="0" w:line="480" w:lineRule="auto"/>
        <w:jc w:val="left"/>
      </w:pPr>
      <w:r>
        <w:rPr>
          <w:rFonts w:ascii="Times New Roman" w:cs="Times New Roman" w:eastAsia="Times New Roman" w:hAnsi="Times New Roman"/>
          <w:b/>
          <w:bCs/>
          <w:sz w:val="24"/>
          <w:szCs w:val="24"/>
        </w:rPr>
        <w:t xml:space="preserve">9.3. Impacto económico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Las pérdidas económicas directas suelen comprometer ahorros personales o cuentas familiares a las que el adolescente tiene acceso, mientras que los esquemas de cheques falsos o el reclutamiento como intermediario financiero pueden derivar en endeudamiento no anticipado y en consecuencias legales que la víctima, al momento de involucrarse, no llegó siquiera a imaginar.</w:t>
      </w:r>
    </w:p>
    <w:p>
      <w:pPr>
        <w:spacing w:after="0" w:before="0" w:line="480" w:lineRule="auto"/>
        <w:jc w:val="center"/>
      </w:pPr>
      <w:r>
        <w:rPr>
          <w:rFonts w:ascii="Times New Roman" w:cs="Times New Roman" w:eastAsia="Times New Roman" w:hAnsi="Times New Roman"/>
          <w:b/>
          <w:bCs/>
          <w:sz w:val="24"/>
          <w:szCs w:val="24"/>
        </w:rPr>
        <w:t xml:space="preserve">10. Panorama comparado por región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Las modalidades descritas comparten una lógica global consistente, pero se expresan con matices regionales que vale la pena señalar. En América Latina se observa una alta prevalencia de estafas vinculadas a videojuegos y aplicaciones de mensajería, junto con el uso extendido de tarjetas de regalo como método de pago exigido por los estafadores, en un contexto de menor capacidad institucional de respuesta y de reporte, como se anticipó en la sección 8. En Norteamérica destaca la incidencia documentada de sextorsión financiera contra adolescentes varones y de esquemas de empleo falso vinculados al crimen organizado internacional. En Europa se registra una fuerte incidencia de fraude relacionado con criptomonedas, en un marco regulatorio comparativamente más desarrollado, aunque no exento de dificultades de aplicación práctica. En Asia-Pacífico predominan las estafas asociadas al comercio electrónico y a las microtransacciones en videojuegos móviles, y es precisamente en el sudeste asiático donde se concentran los centros operativos del fraude romántico-financiero organizado descrito en la sección 6.11.</w:t>
      </w:r>
    </w:p>
    <w:p>
      <w:pPr>
        <w:pageBreakBefore/>
        <w:spacing w:after="0" w:before="0" w:line="480" w:lineRule="auto"/>
        <w:jc w:val="center"/>
      </w:pPr>
      <w:r>
        <w:rPr>
          <w:rFonts w:ascii="Times New Roman" w:cs="Times New Roman" w:eastAsia="Times New Roman" w:hAnsi="Times New Roman"/>
          <w:b/>
          <w:bCs/>
          <w:sz w:val="24"/>
          <w:szCs w:val="24"/>
        </w:rPr>
        <w:t xml:space="preserve">11. Marco legal e institucional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Cualquier análisis de este fenómeno que se detenga en la descripción de las estafas sin revisar qué dice —y qué no dice— el derecho al respecto quedaría incompleto. La naturaleza transnacional de estos delitos genera dificultades reales para determinar la autoridad competente y ralentiza la cooperación judicial internacional, precisamente frente a redes que operan y desaparecen con una velocidad que la burocracia estatal rara vez iguala. Aun así, existe un cuerpo normativo identificable, en distintos niveles, que conviene repasar.</w:t>
      </w:r>
    </w:p>
    <w:p>
      <w:pPr>
        <w:spacing w:after="0" w:before="0" w:line="480" w:lineRule="auto"/>
        <w:jc w:val="left"/>
      </w:pPr>
      <w:r>
        <w:rPr>
          <w:rFonts w:ascii="Times New Roman" w:cs="Times New Roman" w:eastAsia="Times New Roman" w:hAnsi="Times New Roman"/>
          <w:b/>
          <w:bCs/>
          <w:sz w:val="24"/>
          <w:szCs w:val="24"/>
        </w:rPr>
        <w:t xml:space="preserve">11.1. Instrumentos internacionales y regionales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el plano internacional, la Convención sobre los Derechos del Niño de las Naciones Unidas (1989) y su Protocolo Facultativo relativo a la venta de niños, la prostitución infantil y la utilización de niños en la pornografía (2000) constituyen el marco de referencia general de la protección de la infancia y la adolescencia, incluida su proyección al entorno digital. En el ámbito específico de la ciberdelincuencia, el Convenio sobre la Ciberdelincuencia del Consejo de Europa, conocido como Convenio de Budapest (2001), es el instrumento internacional más ratificado en la materia —incluso por Estados no europeos, entre ellos varios latinoamericanos— y establece obligaciones de tipificación penal, cooperación internacional y preservación de evidencia digital directamente relevantes para perseguir estas estafas. El Convenio del Consejo de Europa para la Protección de los Niños contra la Explotación y el Abuso Sexual, conocido como Convenio de Lanzarote (2007), complementa este marco al abordar de forma específica el grooming y la explotación sexual infantil, incluida su vertiente en línea.</w:t>
      </w:r>
    </w:p>
    <w:p>
      <w:pPr>
        <w:spacing w:after="0" w:before="0" w:line="480" w:lineRule="auto"/>
        <w:jc w:val="left"/>
      </w:pPr>
      <w:r>
        <w:rPr>
          <w:rFonts w:ascii="Times New Roman" w:cs="Times New Roman" w:eastAsia="Times New Roman" w:hAnsi="Times New Roman"/>
          <w:b/>
          <w:bCs/>
          <w:sz w:val="24"/>
          <w:szCs w:val="24"/>
        </w:rPr>
        <w:t xml:space="preserve">11.2. Legislación nacional: el caso latinoamericano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 nivel nacional, numerosos países de la región han incorporado en su legislación penal el delito de grooming o ciberacoso sexual infantil, así como tipos penales específicos de fraude informático. Argentina, por ejemplo, incorporó el grooming como delito autónomo en el artículo 131 de su Código Penal mediante la Ley 26.904 (2013). Perú cuenta con la Ley de Delitos Informáticos, Ley N.º 30096 (2013), que tipifica el fraude informático y otras conductas asociadas. Chile actualizó de manera integral su normativa mediante la Ley N.º 21.459 (2022), que establece nuevos delitos informáticos alineados con el Convenio de Budapest, del cual el país es parte. Colombia ratificó dicho convenio mediante la Ley 1928 de 2018, incorporando sus estándares a la persecución penal del cibercrimen. México, por su parte, aprobó en 2021 la reforma conocida como Ley Olimpia, que modificó el Código Penal Federal y la Ley General de Acceso de las Mujeres a una Vida Libre de Violencia para tipificar la violencia digital, incluida la difusión no consentida de contenido íntimo —un instrumento directamente relevante frente a la sextorsión—. Brasil combina el Estatuto do Menor e do Adolescente (Ley 8.069/1990) con el Marco Civil da Internet (Ley 12.965/2014) y con reformas posteriores que sancionan la "importunação sexual" y la difusión no consentida de imágenes íntimas.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Esta enumeración, lejos de ser exhaustiva, permite ver un patrón: la región no carece de instrumentos jurídicos, pero estos se desarrollaron de manera fragmentaria, país por país, sin un estándar regional unificado equivalente al Convenio de Budapest en el ámbito europeo, lo que dificulta la cooperación entre Estados vecinos frente a redes que, como se vio en la sección 6.11, no respetan fronteras.</w:t>
      </w:r>
    </w:p>
    <w:p>
      <w:pPr>
        <w:spacing w:after="0" w:before="0" w:line="480" w:lineRule="auto"/>
        <w:jc w:val="left"/>
      </w:pPr>
      <w:r>
        <w:rPr>
          <w:rFonts w:ascii="Times New Roman" w:cs="Times New Roman" w:eastAsia="Times New Roman" w:hAnsi="Times New Roman"/>
          <w:b/>
          <w:bCs/>
          <w:sz w:val="24"/>
          <w:szCs w:val="24"/>
        </w:rPr>
        <w:t xml:space="preserve">El caso boliviano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Bolivia merece un tratamiento separado porque ejemplifica, de manera bastante nítida, el patrón de vacío normativo que el resto de este apartado apenas insinúa. A diferencia de Argentina, Perú, Chile o Colombia, Bolivia no tiene en su Código Penal un tipo autónomo de grooming ni una ley integral de delitos informáticos equivalente a las revisadas para esos países. La investigación académica más reciente y específica sobre el tema, publicada en la Revista Jurídica Derecho de la Universidad Andina Simón Bolívar, documenta que el grooming digital se procesa hoy en Bolivia bajo la figura genérica de corrupción de menores, sin que la ley reconozca su naturaleza tecnológica ni sus particularidades como conducta preparatoria previa al abuso; la misma investigación concluye que el ordenamiento penal boliviano, construido antes de la masificación de las tecnologías de la información, obliga a los operadores de justicia a forzar figuras preexistentes para cubrir conductas que el legislador nunca previó (Cruz Arancibia, 2024). Este vacío no es un matiz técnico: significa que, en sentido estricto, un adulto que contacta a un adolescente en línea con fines de abuso sexual, sin llegar todavía a consumar el contacto físico, puede no encontrar en la legislación boliviana un tipo penal que describa exactamente esa conducta.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 evidencia empírica disponible confirma que esta no es una preocupación abstracta. La División de Cibercrimen de la Fuerza Especial de Lucha Contra el Crimen (FELCC) reporta, según cifras difundidas en medios nacionales, entre 6 y 10 denuncias diarias de estafas en línea a nivel nacional —hasta 10 denuncias semanales solo en la ciudad de La Paz—, con picos adicionales durante las fiestas de fin de año. Los delitos cibernéticos más denunciados en el país son la estafa, la extorsión y la trata de personas, y las propias autoridades policiales señalan que las víctimas tienen mayoritariamente entre 15 y 20 años, con predominio de mujeres (El País/ANF, 2023). Es decir: el perfil etario de víctima que más preocupa a la policía boliviana coincide, casi exactamente, con la adolescencia tardía que este trabajo identificó en la sección 4.4 como el segmento de mayor exposición a sextorsión, fraude de citas y estafas de inversión.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materia de conectividad —la variable que determina la exposición al riesgo—, un estudio de 2025 del Instituto de Investigación en Ciencias del Comportamiento (IICC) de la Universidad Católica Boliviana, realizado junto con Save the Children, Internet Bolivia, ChildFund y la ONG Realidades, encontró que el 93% de los adolescentes bolivianos accede a internet desde su propio teléfono celular, y que algo más de la mitad comenzó a usar internet durante la etapa escolar, entre los 6 y los 11 años (IICC-UCB et al., 2025). Ese dato, leído junto con el hallazgo de Global Kids Online de que el acceso domiciliario a internet en Bolivia (82%) es menor que en Argentina o Brasil (96% en ambos casos), sugiere una paradoja específicamente boliviana: un acceso individual al teléfono más temprano y más extendido de lo que el acceso familiar al hogar haría suponer, es decir, adolescentes conectados de manera más autónoma y con menos mediación adulta directa que sus pares regionales.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Sobre casos judiciales concretos, este trabajo optó por no incluir episodios específicos de sextorsión o estafa digital a menores bolivianos: la búsqueda realizada no permitió confirmar, con el nivel de verificación que un documento universitario exige, casos que encajaran con precisión en esa categoría, más allá de reportes de otros delitos conexos (abuso sexual con difusión de material íntimo, corrupción de menores) que sí aparecen documentados en prensa nacional. Antes que rellenar ese vacío con datos no verificados, se deja constancia de él como un hallazgo en sí mismo: la falta de casos de sextorsión o fraude digital adolescente con cobertura mediática y judicial identificable sugiere, de manera consistente con el patrón de subregistro señalado en la sección 8, que el fenómeno existe pero no está siendo nombrado ni sistematizado como tal por las instituciones bolivianas, que tienden a clasificarlo bajo categorías penales más amplias y menos específicas.</w:t>
      </w:r>
    </w:p>
    <w:p>
      <w:pPr>
        <w:spacing w:after="0" w:before="0" w:line="480" w:lineRule="auto"/>
        <w:jc w:val="left"/>
      </w:pPr>
      <w:r>
        <w:rPr>
          <w:rFonts w:ascii="Times New Roman" w:cs="Times New Roman" w:eastAsia="Times New Roman" w:hAnsi="Times New Roman"/>
          <w:b/>
          <w:bCs/>
          <w:sz w:val="24"/>
          <w:szCs w:val="24"/>
        </w:rPr>
        <w:t xml:space="preserve">11.3. Regulación de plataformas y protección de datos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En materia de protección de datos personales de menores, el Reglamento General de Protección de Datos de la Unión Europea (Reglamento UE 2016/679) exige, en su artículo 8, condiciones reforzadas de consentimiento para el tratamiento de datos de menores de edad. En Estados Unidos, la Ley de Protección de la Privacidad Infantil en Línea, conocida como COPPA (1998), impone obligaciones específicas a los servicios digitales dirigidos a menores de trece años, aunque su alcance etario —limitado a la niñez temprana— deja fuera, precisamente, a buena parte de la población adolescente que es objeto de este trabajo. Esta limitación no es menor: buena parte del andamiaje legal de protección infantil en línea fue diseñado pensando en niños pequeños, y no logra cubrir con la misma fuerza a adolescentes de 13 años en adelante, que son, como se documentó en la sección 6, uno de los grupos más expuestos.</w:t>
      </w:r>
    </w:p>
    <w:p>
      <w:pPr>
        <w:spacing w:after="0" w:before="0" w:line="480" w:lineRule="auto"/>
        <w:jc w:val="left"/>
      </w:pPr>
      <w:r>
        <w:rPr>
          <w:rFonts w:ascii="Times New Roman" w:cs="Times New Roman" w:eastAsia="Times New Roman" w:hAnsi="Times New Roman"/>
          <w:b/>
          <w:bCs/>
          <w:sz w:val="24"/>
          <w:szCs w:val="24"/>
        </w:rPr>
        <w:t xml:space="preserve">11.4. Nudos pendientes del marco legal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De la revisión anterior se desprenden al menos tres tensiones no resueltas. La primera es la brecha entre la instantaneidad del delito y la lentitud de la cooperación judicial internacional: una red puede desaparecer y reconstituirse bajo otro nombre en cuestión de días, mientras que una solicitud de asistencia judicial entre países puede tardar meses. La segunda es la falta de armonización regional en América Latina, que obliga a las víctimas y a las autoridades a navegar marcos penales distintos según el país de origen del estafador y el de la víctima, cuando ambos rara vez coinciden. La tercera, quizás la más discutida en el debate público actual, es el alcance real de la responsabilidad de las plataformas tecnológicas: hasta qué punto están obligadas —más allá de la buena voluntad corporativa— a detectar de forma proactiva estos patrones, a verificar la edad real de sus usuarios y a responder con la velocidad que la gravedad del fenómeno exige. Ninguna de las tres tensiones tiene, hoy, una solución consolidada.</w:t>
      </w:r>
    </w:p>
    <w:p>
      <w:pPr>
        <w:pageBreakBefore/>
        <w:spacing w:after="0" w:before="0" w:line="480" w:lineRule="auto"/>
        <w:jc w:val="center"/>
      </w:pPr>
      <w:r>
        <w:rPr>
          <w:rFonts w:ascii="Times New Roman" w:cs="Times New Roman" w:eastAsia="Times New Roman" w:hAnsi="Times New Roman"/>
          <w:b/>
          <w:bCs/>
          <w:sz w:val="24"/>
          <w:szCs w:val="24"/>
        </w:rPr>
        <w:t xml:space="preserve">12. Estrategias de prevención y educación digital</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Frente a un marco legal todavía incompleto, la prevención no es un complemento opcional: es, por ahora, la primera línea de defensa real. La evidencia disponible sugiere que las estrategias más efectivas combinan varios niveles de intervención. En primer lugar, la educación crítica sobre los mecanismos psicológicos de manipulación —urgencia artificial, prueba social falsa, reciprocidad manipulada, autoridad simulada— rinde mejores resultados que la memorización de listas de señales de alerta descontextualizadas; entender el "por qué" de la manipulación es más duradero que memorizar una lista de síntomas. En segundo lugar, normalizar la denuncia sin castigo es determinante para reducir el tiempo de exposición al chantaje en casos de sextorsión, dado que el miedo a la reacción de los padres suele pesar más, en la mente de un adolescente, que el miedo a la extorsión misma. En tercer lugar, convertir la verificación independiente en un hábito —antes de actuar frente a cualquier oferta u oportunidad— y configurar adecuadamente la privacidad de las cuentas reduce de forma considerable la superficie de exposición. Por último, una educación financiera básica aplicada al entorno digital permite comprender, de manera concreta, por qué los estafadores insisten en medios de pago irreversibles y difíciles de rastrear.</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Esta es una responsabilidad compartida y no debería recaer únicamente sobre el adolescente ni sobre su familia. A la familia le corresponde el acompañamiento activo y la comunicación abierta y no punitiva; a las instituciones educativas, incorporar de manera transversal la alfabetización digital crítica y sostener protocolos claros de atención confidencial; a las plataformas tecnológicas, desarrollar sistemas de detección temprana, advertencias contextuales para usuarios menores de edad y procesos de reporte simplificados; y a los Estados, según se desprende de la sección 11, avanzar hacia una armonización normativa que hoy sigue pendiente.</w:t>
      </w:r>
    </w:p>
    <w:p>
      <w:pPr>
        <w:spacing w:after="0" w:before="0" w:line="480" w:lineRule="auto"/>
        <w:jc w:val="left"/>
      </w:pPr>
      <w:r>
        <w:rPr>
          <w:rFonts w:ascii="Times New Roman" w:cs="Times New Roman" w:eastAsia="Times New Roman" w:hAnsi="Times New Roman"/>
          <w:b/>
          <w:bCs/>
          <w:sz w:val="24"/>
          <w:szCs w:val="24"/>
        </w:rPr>
        <w:t xml:space="preserve">12.1. Prevención segmentada por franja etaria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Conforme a la distinción planteada en la sección 4.4, las estrategias de prevención deben adaptarse a la subetapa de desarrollo, y no presentarse como una receta única. Para adolescentes de 12 a 15 años, la prioridad es la supervisión acompañada —no punitiva— de las plataformas de videojuegos y mensajería, la explicación concreta de por qué no se debe compartir la contraseña de una cuenta de juego ni introducir credenciales fuera de la aplicación oficial, y la construcción temprana del hábito de acudir a un adulto ante cualquier interacción incómoda con un desconocido, también dentro de comunidades de juego. Para adolescentes de 16 a 19 años, con mayor autonomía financiera y social, la prioridad se desplaza hacia la educación financiera aplicada —reconocer por qué un método de pago irreversible es, en sí mismo, una señal de alerta—, la verificación independiente de ofertas de empleo, becas e inversión antes de comprometer dinero o datos, y una conversación explícita y no moralizante sobre los riesgos de la sextorsión y el catfishing en el contexto de la exploración romántica y sexual propia de esta etapa. En ambos segmentos, incorporar la perspectiva de género y las condiciones de vulnerabilidad interseccional señaladas en la sección 4.5 debería traducirse en mensajes preventivos diferenciados, evitando el supuesto —cómodo pero equivocado— de que una única campaña genérica alcanza por igual a toda la población adolescente.</w:t>
      </w:r>
    </w:p>
    <w:p>
      <w:pPr>
        <w:spacing w:after="0" w:before="0" w:line="480" w:lineRule="auto"/>
        <w:jc w:val="center"/>
      </w:pPr>
      <w:r>
        <w:rPr>
          <w:rFonts w:ascii="Times New Roman" w:cs="Times New Roman" w:eastAsia="Times New Roman" w:hAnsi="Times New Roman"/>
          <w:b/>
          <w:bCs/>
          <w:sz w:val="24"/>
          <w:szCs w:val="24"/>
        </w:rPr>
        <w:t xml:space="preserve">13. Conclusiones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Al término de este recorrido, conviene resistir la tentación de cerrar con una fórmula tranquilizadora. Las estafas en línea dirigidas a adolescentes no son un fenómeno marginal ni accidental: son la expresión de una industria delictiva organizada, adaptativa y en constante evolución, que ha identificado con notable precisión las vulnerabilidades psicosociales propias de esta etapa del desarrollo humano para diseñar mecanismos de manipulación altamente efectivos. Lo hace, además, con una ventaja estructural: opera más rápido de lo que las familias aprenden a reconocerla, y más rápido, también, de lo que los Estados logran legislar y cooperar entre sí, como quedó documentado en la sección 11.</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La diversidad de modalidades revisadas —del fraude en videojuegos a la sextorsión, pasando por el empleo falso, la inversión fraudulenta, la suplantación de identidad y el fraude romántico-financiero organizado— deja una lección que vale la pena subrayar: ningún espacio digital frecuentado por adolescentes está exento de riesgo. Pero bajo esa diversidad hay un patrón común, y es ese patrón, más que el catálogo de modalidades, lo que este trabajo intentó poner en evidencia: la explotación deliberada de la confianza, de la urgencia, de la necesidad de pertenencia y de una experiencia financiera y emocional todavía en formación.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Frente a ese panorama, la respuesta más honesta no es la prohibición del uso de tecnología ni el pánico moral que suele acompañar estas discusiones, sino una estrategia que combine, de manera simultánea, educación crítica sostenida en el tiempo, comunicación familiar abierta y libre de castigo, marcos legales más armonizados de los que existen hoy, y un compromiso de las plataformas tecnológicas que deje de ser meramente declarativo. Dar a los adolescentes herramientas de pensamiento crítico —y no solo reglas para memorizar— sigue pareciendo la estrategia más sostenible para reducir su vulnerabilidad, sin privarlos de los beneficios reales que la vida digital aporta a su desarrollo personal, social y educativo. Es, en definitiva, una apuesta por la formación del criterio antes que por el control del acceso.</w:t>
      </w:r>
    </w:p>
    <w:p>
      <w:pPr>
        <w:pageBreakBefore/>
        <w:spacing w:after="0" w:before="0" w:line="480" w:lineRule="auto"/>
        <w:jc w:val="center"/>
      </w:pPr>
      <w:r>
        <w:rPr>
          <w:rFonts w:ascii="Times New Roman" w:cs="Times New Roman" w:eastAsia="Times New Roman" w:hAnsi="Times New Roman"/>
          <w:b/>
          <w:bCs/>
          <w:sz w:val="24"/>
          <w:szCs w:val="24"/>
        </w:rPr>
        <w:t xml:space="preserve">14. Referencias</w:t>
      </w:r>
    </w:p>
    <w:p>
      <w:pPr>
        <w:spacing w:after="0" w:before="0" w:line="480" w:lineRule="auto"/>
        <w:ind w:left="720" w:hanging="720"/>
      </w:pPr>
      <w:r>
        <w:rPr>
          <w:rFonts w:ascii="Times New Roman" w:cs="Times New Roman" w:eastAsia="Times New Roman" w:hAnsi="Times New Roman"/>
          <w:i w:val="false"/>
          <w:iCs w:val="false"/>
          <w:sz w:val="24"/>
          <w:szCs w:val="24"/>
        </w:rPr>
        <w:t xml:space="preserve">Argentina. (2013). </w:t>
      </w:r>
      <w:r>
        <w:rPr>
          <w:rFonts w:ascii="Times New Roman" w:cs="Times New Roman" w:eastAsia="Times New Roman" w:hAnsi="Times New Roman"/>
          <w:i/>
          <w:iCs/>
          <w:sz w:val="24"/>
          <w:szCs w:val="24"/>
        </w:rPr>
        <w:t xml:space="preserve">Ley 26.904, incorporación del artículo 131 al Código Penal (grooming).</w:t>
      </w:r>
      <w:r>
        <w:rPr>
          <w:rFonts w:ascii="Times New Roman" w:cs="Times New Roman" w:eastAsia="Times New Roman" w:hAnsi="Times New Roman"/>
          <w:i w:val="false"/>
          <w:iCs w:val="false"/>
          <w:sz w:val="24"/>
          <w:szCs w:val="24"/>
        </w:rPr>
        <w:t xml:space="preserve"> Boletín Oficial de la República Argentina.</w:t>
      </w:r>
    </w:p>
    <w:p>
      <w:pPr>
        <w:spacing w:after="0" w:before="0" w:line="480" w:lineRule="auto"/>
        <w:ind w:left="720" w:hanging="720"/>
      </w:pPr>
      <w:r>
        <w:rPr>
          <w:rFonts w:ascii="Times New Roman" w:cs="Times New Roman" w:eastAsia="Times New Roman" w:hAnsi="Times New Roman"/>
          <w:i w:val="false"/>
          <w:iCs w:val="false"/>
          <w:sz w:val="24"/>
          <w:szCs w:val="24"/>
        </w:rPr>
        <w:t xml:space="preserve">ATB Digital. (2025, 30 de junio). </w:t>
      </w:r>
      <w:r>
        <w:rPr>
          <w:rFonts w:ascii="Times New Roman" w:cs="Times New Roman" w:eastAsia="Times New Roman" w:hAnsi="Times New Roman"/>
          <w:i/>
          <w:iCs/>
          <w:sz w:val="24"/>
          <w:szCs w:val="24"/>
        </w:rPr>
        <w:t xml:space="preserve">Estudio revela que el 93% de adolescentes en Bolivia accede a internet desde el celular.</w:t>
      </w:r>
      <w:r>
        <w:rPr>
          <w:rFonts w:ascii="Times New Roman" w:cs="Times New Roman" w:eastAsia="Times New Roman" w:hAnsi="Times New Roman"/>
          <w:i w:val="false"/>
          <w:iCs w:val="false"/>
          <w:sz w:val="24"/>
          <w:szCs w:val="24"/>
        </w:rPr>
        <w:t xml:space="preserve"> ATB Digital.</w:t>
      </w:r>
    </w:p>
    <w:p>
      <w:pPr>
        <w:spacing w:after="0" w:before="0" w:line="480" w:lineRule="auto"/>
        <w:ind w:left="720" w:hanging="720"/>
      </w:pPr>
      <w:r>
        <w:rPr>
          <w:rFonts w:ascii="Times New Roman" w:cs="Times New Roman" w:eastAsia="Times New Roman" w:hAnsi="Times New Roman"/>
          <w:i w:val="false"/>
          <w:iCs w:val="false"/>
          <w:sz w:val="24"/>
          <w:szCs w:val="24"/>
        </w:rPr>
        <w:t xml:space="preserve">Brasil. (2014). </w:t>
      </w:r>
      <w:r>
        <w:rPr>
          <w:rFonts w:ascii="Times New Roman" w:cs="Times New Roman" w:eastAsia="Times New Roman" w:hAnsi="Times New Roman"/>
          <w:i/>
          <w:iCs/>
          <w:sz w:val="24"/>
          <w:szCs w:val="24"/>
        </w:rPr>
        <w:t xml:space="preserve">Lei 12.965, Marco Civil da Internet.</w:t>
      </w:r>
      <w:r>
        <w:rPr>
          <w:rFonts w:ascii="Times New Roman" w:cs="Times New Roman" w:eastAsia="Times New Roman" w:hAnsi="Times New Roman"/>
          <w:i w:val="false"/>
          <w:iCs w:val="false"/>
          <w:sz w:val="24"/>
          <w:szCs w:val="24"/>
        </w:rPr>
        <w:t xml:space="preserve"> Diário Oficial da União.</w:t>
      </w:r>
    </w:p>
    <w:p>
      <w:pPr>
        <w:spacing w:after="0" w:before="0" w:line="480" w:lineRule="auto"/>
        <w:ind w:left="720" w:hanging="720"/>
      </w:pPr>
      <w:r>
        <w:rPr>
          <w:rFonts w:ascii="Times New Roman" w:cs="Times New Roman" w:eastAsia="Times New Roman" w:hAnsi="Times New Roman"/>
          <w:i w:val="false"/>
          <w:iCs w:val="false"/>
          <w:sz w:val="24"/>
          <w:szCs w:val="24"/>
        </w:rPr>
        <w:t xml:space="preserve">Chainalysis. (2025). </w:t>
      </w:r>
      <w:r>
        <w:rPr>
          <w:rFonts w:ascii="Times New Roman" w:cs="Times New Roman" w:eastAsia="Times New Roman" w:hAnsi="Times New Roman"/>
          <w:i/>
          <w:iCs/>
          <w:sz w:val="24"/>
          <w:szCs w:val="24"/>
        </w:rPr>
        <w:t xml:space="preserve">2025 crypto crime report: Scams and pig butchering.</w:t>
      </w:r>
      <w:r>
        <w:rPr>
          <w:rFonts w:ascii="Times New Roman" w:cs="Times New Roman" w:eastAsia="Times New Roman" w:hAnsi="Times New Roman"/>
          <w:i w:val="false"/>
          <w:iCs w:val="false"/>
          <w:sz w:val="24"/>
          <w:szCs w:val="24"/>
        </w:rPr>
        <w:t xml:space="preserve"> Chainalysis.</w:t>
      </w:r>
    </w:p>
    <w:p>
      <w:pPr>
        <w:spacing w:after="0" w:before="0" w:line="480" w:lineRule="auto"/>
        <w:ind w:left="720" w:hanging="720"/>
      </w:pPr>
      <w:r>
        <w:rPr>
          <w:rFonts w:ascii="Times New Roman" w:cs="Times New Roman" w:eastAsia="Times New Roman" w:hAnsi="Times New Roman"/>
          <w:i w:val="false"/>
          <w:iCs w:val="false"/>
          <w:sz w:val="24"/>
          <w:szCs w:val="24"/>
        </w:rPr>
        <w:t xml:space="preserve">Chile. (2022). </w:t>
      </w:r>
      <w:r>
        <w:rPr>
          <w:rFonts w:ascii="Times New Roman" w:cs="Times New Roman" w:eastAsia="Times New Roman" w:hAnsi="Times New Roman"/>
          <w:i/>
          <w:iCs/>
          <w:sz w:val="24"/>
          <w:szCs w:val="24"/>
        </w:rPr>
        <w:t xml:space="preserve">Ley N.º 21.459, que establece normas sobre delitos informáticos.</w:t>
      </w:r>
      <w:r>
        <w:rPr>
          <w:rFonts w:ascii="Times New Roman" w:cs="Times New Roman" w:eastAsia="Times New Roman" w:hAnsi="Times New Roman"/>
          <w:i w:val="false"/>
          <w:iCs w:val="false"/>
          <w:sz w:val="24"/>
          <w:szCs w:val="24"/>
        </w:rPr>
        <w:t xml:space="preserve"> Diario Oficial de la República de Chile.</w:t>
      </w:r>
    </w:p>
    <w:p>
      <w:pPr>
        <w:spacing w:after="0" w:before="0" w:line="480" w:lineRule="auto"/>
        <w:ind w:left="720" w:hanging="720"/>
      </w:pPr>
      <w:r>
        <w:rPr>
          <w:rFonts w:ascii="Times New Roman" w:cs="Times New Roman" w:eastAsia="Times New Roman" w:hAnsi="Times New Roman"/>
          <w:i w:val="false"/>
          <w:iCs w:val="false"/>
          <w:sz w:val="24"/>
          <w:szCs w:val="24"/>
        </w:rPr>
        <w:t xml:space="preserve">Colombia. (2018). </w:t>
      </w:r>
      <w:r>
        <w:rPr>
          <w:rFonts w:ascii="Times New Roman" w:cs="Times New Roman" w:eastAsia="Times New Roman" w:hAnsi="Times New Roman"/>
          <w:i/>
          <w:iCs/>
          <w:sz w:val="24"/>
          <w:szCs w:val="24"/>
        </w:rPr>
        <w:t xml:space="preserve">Ley 1928, por medio de la cual se aprueba el Convenio sobre la Ciberdelincuencia.</w:t>
      </w:r>
      <w:r>
        <w:rPr>
          <w:rFonts w:ascii="Times New Roman" w:cs="Times New Roman" w:eastAsia="Times New Roman" w:hAnsi="Times New Roman"/>
          <w:i w:val="false"/>
          <w:iCs w:val="false"/>
          <w:sz w:val="24"/>
          <w:szCs w:val="24"/>
        </w:rPr>
        <w:t xml:space="preserve"> Diario Oficial de Colombia.</w:t>
      </w:r>
    </w:p>
    <w:p>
      <w:pPr>
        <w:spacing w:after="0" w:before="0" w:line="480" w:lineRule="auto"/>
        <w:ind w:left="720" w:hanging="720"/>
      </w:pPr>
      <w:r>
        <w:rPr>
          <w:rFonts w:ascii="Times New Roman" w:cs="Times New Roman" w:eastAsia="Times New Roman" w:hAnsi="Times New Roman"/>
          <w:i w:val="false"/>
          <w:iCs w:val="false"/>
          <w:sz w:val="24"/>
          <w:szCs w:val="24"/>
        </w:rPr>
        <w:t xml:space="preserve">Consejo de Europa. (2001). </w:t>
      </w:r>
      <w:r>
        <w:rPr>
          <w:rFonts w:ascii="Times New Roman" w:cs="Times New Roman" w:eastAsia="Times New Roman" w:hAnsi="Times New Roman"/>
          <w:i/>
          <w:iCs/>
          <w:sz w:val="24"/>
          <w:szCs w:val="24"/>
        </w:rPr>
        <w:t xml:space="preserve">Convenio sobre la Ciberdelincuencia (Convenio de Budapest).</w:t>
      </w:r>
      <w:r>
        <w:rPr>
          <w:rFonts w:ascii="Times New Roman" w:cs="Times New Roman" w:eastAsia="Times New Roman" w:hAnsi="Times New Roman"/>
          <w:i w:val="false"/>
          <w:iCs w:val="false"/>
          <w:sz w:val="24"/>
          <w:szCs w:val="24"/>
        </w:rPr>
        <w:t xml:space="preserve"> Consejo de Europa, Serie de Tratados Europeos n.º 185.</w:t>
      </w:r>
    </w:p>
    <w:p>
      <w:pPr>
        <w:spacing w:after="0" w:before="0" w:line="480" w:lineRule="auto"/>
        <w:ind w:left="720" w:hanging="720"/>
      </w:pPr>
      <w:r>
        <w:rPr>
          <w:rFonts w:ascii="Times New Roman" w:cs="Times New Roman" w:eastAsia="Times New Roman" w:hAnsi="Times New Roman"/>
          <w:i w:val="false"/>
          <w:iCs w:val="false"/>
          <w:sz w:val="24"/>
          <w:szCs w:val="24"/>
        </w:rPr>
        <w:t xml:space="preserve">Consejo de Europa. (2007). </w:t>
      </w:r>
      <w:r>
        <w:rPr>
          <w:rFonts w:ascii="Times New Roman" w:cs="Times New Roman" w:eastAsia="Times New Roman" w:hAnsi="Times New Roman"/>
          <w:i/>
          <w:iCs/>
          <w:sz w:val="24"/>
          <w:szCs w:val="24"/>
        </w:rPr>
        <w:t xml:space="preserve">Convenio para la Protección de los Niños contra la Explotación y el Abuso Sexual (Convenio de Lanzarote).</w:t>
      </w:r>
      <w:r>
        <w:rPr>
          <w:rFonts w:ascii="Times New Roman" w:cs="Times New Roman" w:eastAsia="Times New Roman" w:hAnsi="Times New Roman"/>
          <w:i w:val="false"/>
          <w:iCs w:val="false"/>
          <w:sz w:val="24"/>
          <w:szCs w:val="24"/>
        </w:rPr>
        <w:t xml:space="preserve"> Consejo de Europa, Serie de Tratados n.º 201.</w:t>
      </w:r>
    </w:p>
    <w:p>
      <w:pPr>
        <w:spacing w:after="0" w:before="0" w:line="480" w:lineRule="auto"/>
        <w:ind w:left="720" w:hanging="720"/>
      </w:pPr>
      <w:r>
        <w:rPr>
          <w:rFonts w:ascii="Times New Roman" w:cs="Times New Roman" w:eastAsia="Times New Roman" w:hAnsi="Times New Roman"/>
          <w:i w:val="false"/>
          <w:iCs w:val="false"/>
          <w:sz w:val="24"/>
          <w:szCs w:val="24"/>
        </w:rPr>
        <w:t xml:space="preserve">Cruz Arancibia, W. M. (2024). El grooming, un delito informático que atenta contra el sector más vulnerable que es la niñez en Bolivia. </w:t>
      </w:r>
      <w:r>
        <w:rPr>
          <w:rFonts w:ascii="Times New Roman" w:cs="Times New Roman" w:eastAsia="Times New Roman" w:hAnsi="Times New Roman"/>
          <w:i/>
          <w:iCs/>
          <w:sz w:val="24"/>
          <w:szCs w:val="24"/>
        </w:rPr>
        <w:t xml:space="preserve">Revista Jurídica Derecho, 13</w:t>
      </w:r>
      <w:r>
        <w:rPr>
          <w:rFonts w:ascii="Times New Roman" w:cs="Times New Roman" w:eastAsia="Times New Roman" w:hAnsi="Times New Roman"/>
          <w:i w:val="false"/>
          <w:iCs w:val="false"/>
          <w:sz w:val="24"/>
          <w:szCs w:val="24"/>
        </w:rPr>
        <w:t xml:space="preserve">(21).</w:t>
      </w:r>
    </w:p>
    <w:p>
      <w:pPr>
        <w:spacing w:after="0" w:before="0" w:line="480" w:lineRule="auto"/>
        <w:ind w:left="720" w:hanging="720"/>
      </w:pPr>
      <w:r>
        <w:rPr>
          <w:rFonts w:ascii="Times New Roman" w:cs="Times New Roman" w:eastAsia="Times New Roman" w:hAnsi="Times New Roman"/>
          <w:i w:val="false"/>
          <w:iCs w:val="false"/>
          <w:sz w:val="24"/>
          <w:szCs w:val="24"/>
        </w:rPr>
        <w:t xml:space="preserve">El País / Agencia de Noticias Fides [ANF]. (2023, 18 de agosto). </w:t>
      </w:r>
      <w:r>
        <w:rPr>
          <w:rFonts w:ascii="Times New Roman" w:cs="Times New Roman" w:eastAsia="Times New Roman" w:hAnsi="Times New Roman"/>
          <w:i/>
          <w:iCs/>
          <w:sz w:val="24"/>
          <w:szCs w:val="24"/>
        </w:rPr>
        <w:t xml:space="preserve">La estafa, trata de personas y extorsiones, los delitos cibernéticos más denunciados en Bolivia.</w:t>
      </w:r>
      <w:r>
        <w:rPr>
          <w:rFonts w:ascii="Times New Roman" w:cs="Times New Roman" w:eastAsia="Times New Roman" w:hAnsi="Times New Roman"/>
          <w:i w:val="false"/>
          <w:iCs w:val="false"/>
          <w:sz w:val="24"/>
          <w:szCs w:val="24"/>
        </w:rPr>
        <w:t xml:space="preserve"> El País (Bolivia).</w:t>
      </w:r>
    </w:p>
    <w:p>
      <w:pPr>
        <w:spacing w:after="0" w:before="0" w:line="480" w:lineRule="auto"/>
        <w:ind w:left="720" w:hanging="720"/>
      </w:pPr>
      <w:r>
        <w:rPr>
          <w:rFonts w:ascii="Times New Roman" w:cs="Times New Roman" w:eastAsia="Times New Roman" w:hAnsi="Times New Roman"/>
          <w:i w:val="false"/>
          <w:iCs w:val="false"/>
          <w:sz w:val="24"/>
          <w:szCs w:val="24"/>
        </w:rPr>
        <w:t xml:space="preserve">Europol. (2023). </w:t>
      </w:r>
      <w:r>
        <w:rPr>
          <w:rFonts w:ascii="Times New Roman" w:cs="Times New Roman" w:eastAsia="Times New Roman" w:hAnsi="Times New Roman"/>
          <w:i/>
          <w:iCs/>
          <w:sz w:val="24"/>
          <w:szCs w:val="24"/>
        </w:rPr>
        <w:t xml:space="preserve">Internet Organised Crime Threat Assessment (IOCTA) 2023.</w:t>
      </w:r>
      <w:r>
        <w:rPr>
          <w:rFonts w:ascii="Times New Roman" w:cs="Times New Roman" w:eastAsia="Times New Roman" w:hAnsi="Times New Roman"/>
          <w:i w:val="false"/>
          <w:iCs w:val="false"/>
          <w:sz w:val="24"/>
          <w:szCs w:val="24"/>
        </w:rPr>
        <w:t xml:space="preserve"> Oficina Europea de Policía.</w:t>
      </w:r>
    </w:p>
    <w:p>
      <w:pPr>
        <w:spacing w:after="0" w:before="0" w:line="480" w:lineRule="auto"/>
        <w:ind w:left="720" w:hanging="720"/>
      </w:pPr>
      <w:r>
        <w:rPr>
          <w:rFonts w:ascii="Times New Roman" w:cs="Times New Roman" w:eastAsia="Times New Roman" w:hAnsi="Times New Roman"/>
          <w:i w:val="false"/>
          <w:iCs w:val="false"/>
          <w:sz w:val="24"/>
          <w:szCs w:val="24"/>
        </w:rPr>
        <w:t xml:space="preserve">Global Kids Online. (s.f.). </w:t>
      </w:r>
      <w:r>
        <w:rPr>
          <w:rFonts w:ascii="Times New Roman" w:cs="Times New Roman" w:eastAsia="Times New Roman" w:hAnsi="Times New Roman"/>
          <w:i/>
          <w:iCs/>
          <w:sz w:val="24"/>
          <w:szCs w:val="24"/>
        </w:rPr>
        <w:t xml:space="preserve">Latin America: Children's digital experiences.</w:t>
      </w:r>
      <w:r>
        <w:rPr>
          <w:rFonts w:ascii="Times New Roman" w:cs="Times New Roman" w:eastAsia="Times New Roman" w:hAnsi="Times New Roman"/>
          <w:i w:val="false"/>
          <w:iCs w:val="false"/>
          <w:sz w:val="24"/>
          <w:szCs w:val="24"/>
        </w:rPr>
        <w:t xml:space="preserve"> Global Kids Online, en colaboración con UNICEF.</w:t>
      </w:r>
    </w:p>
    <w:p>
      <w:pPr>
        <w:spacing w:after="0" w:before="0" w:line="480" w:lineRule="auto"/>
        <w:ind w:left="720" w:hanging="720"/>
      </w:pPr>
      <w:r>
        <w:rPr>
          <w:rFonts w:ascii="Times New Roman" w:cs="Times New Roman" w:eastAsia="Times New Roman" w:hAnsi="Times New Roman"/>
          <w:i w:val="false"/>
          <w:iCs w:val="false"/>
          <w:sz w:val="24"/>
          <w:szCs w:val="24"/>
        </w:rPr>
        <w:t xml:space="preserve">Instituto de Investigación en Ciencias del Comportamiento [IICC], Universidad Católica Boliviana, Save the Children, Internet Bolivia, ChildFund, y Realidades. (2025). </w:t>
      </w:r>
      <w:r>
        <w:rPr>
          <w:rFonts w:ascii="Times New Roman" w:cs="Times New Roman" w:eastAsia="Times New Roman" w:hAnsi="Times New Roman"/>
          <w:i/>
          <w:iCs/>
          <w:sz w:val="24"/>
          <w:szCs w:val="24"/>
        </w:rPr>
        <w:t xml:space="preserve">Navegando entre riesgos invisibles y oportunidades reales.</w:t>
      </w:r>
      <w:r>
        <w:rPr>
          <w:rFonts w:ascii="Times New Roman" w:cs="Times New Roman" w:eastAsia="Times New Roman" w:hAnsi="Times New Roman"/>
          <w:i w:val="false"/>
          <w:iCs w:val="false"/>
          <w:sz w:val="24"/>
          <w:szCs w:val="24"/>
        </w:rPr>
        <w:t xml:space="preserve"> Universidad Católica Boliviana.</w:t>
      </w:r>
    </w:p>
    <w:p>
      <w:pPr>
        <w:spacing w:after="0" w:before="0" w:line="480" w:lineRule="auto"/>
        <w:ind w:left="720" w:hanging="720"/>
      </w:pPr>
      <w:r>
        <w:rPr>
          <w:rFonts w:ascii="Times New Roman" w:cs="Times New Roman" w:eastAsia="Times New Roman" w:hAnsi="Times New Roman"/>
          <w:i w:val="false"/>
          <w:iCs w:val="false"/>
          <w:sz w:val="24"/>
          <w:szCs w:val="24"/>
        </w:rPr>
        <w:t xml:space="preserve">Internet Bolivia. (2025). </w:t>
      </w:r>
      <w:r>
        <w:rPr>
          <w:rFonts w:ascii="Times New Roman" w:cs="Times New Roman" w:eastAsia="Times New Roman" w:hAnsi="Times New Roman"/>
          <w:i/>
          <w:iCs/>
          <w:sz w:val="24"/>
          <w:szCs w:val="24"/>
        </w:rPr>
        <w:t xml:space="preserve">S.O.S. Digital: Cómo realizar una denuncia de violencia digital.</w:t>
      </w:r>
      <w:r>
        <w:rPr>
          <w:rFonts w:ascii="Times New Roman" w:cs="Times New Roman" w:eastAsia="Times New Roman" w:hAnsi="Times New Roman"/>
          <w:i w:val="false"/>
          <w:iCs w:val="false"/>
          <w:sz w:val="24"/>
          <w:szCs w:val="24"/>
        </w:rPr>
        <w:t xml:space="preserve"> Internet Bolivia.</w:t>
      </w:r>
    </w:p>
    <w:p>
      <w:pPr>
        <w:spacing w:after="0" w:before="0" w:line="480" w:lineRule="auto"/>
        <w:ind w:left="720" w:hanging="720"/>
      </w:pPr>
      <w:r>
        <w:rPr>
          <w:rFonts w:ascii="Times New Roman" w:cs="Times New Roman" w:eastAsia="Times New Roman" w:hAnsi="Times New Roman"/>
          <w:i w:val="false"/>
          <w:iCs w:val="false"/>
          <w:sz w:val="24"/>
          <w:szCs w:val="24"/>
        </w:rPr>
        <w:t xml:space="preserve">INTERPOL. (2023). </w:t>
      </w:r>
      <w:r>
        <w:rPr>
          <w:rFonts w:ascii="Times New Roman" w:cs="Times New Roman" w:eastAsia="Times New Roman" w:hAnsi="Times New Roman"/>
          <w:i/>
          <w:iCs/>
          <w:sz w:val="24"/>
          <w:szCs w:val="24"/>
        </w:rPr>
        <w:t xml:space="preserve">Global Financial Fraud Assessment.</w:t>
      </w:r>
      <w:r>
        <w:rPr>
          <w:rFonts w:ascii="Times New Roman" w:cs="Times New Roman" w:eastAsia="Times New Roman" w:hAnsi="Times New Roman"/>
          <w:i w:val="false"/>
          <w:iCs w:val="false"/>
          <w:sz w:val="24"/>
          <w:szCs w:val="24"/>
        </w:rPr>
        <w:t xml:space="preserve"> Organización Internacional de Policía Criminal.</w:t>
      </w:r>
    </w:p>
    <w:p>
      <w:pPr>
        <w:spacing w:after="0" w:before="0" w:line="480" w:lineRule="auto"/>
        <w:ind w:left="720" w:hanging="720"/>
      </w:pPr>
      <w:r>
        <w:rPr>
          <w:rFonts w:ascii="Times New Roman" w:cs="Times New Roman" w:eastAsia="Times New Roman" w:hAnsi="Times New Roman"/>
          <w:i w:val="false"/>
          <w:iCs w:val="false"/>
          <w:sz w:val="24"/>
          <w:szCs w:val="24"/>
        </w:rPr>
        <w:t xml:space="preserve">México. (2021). </w:t>
      </w:r>
      <w:r>
        <w:rPr>
          <w:rFonts w:ascii="Times New Roman" w:cs="Times New Roman" w:eastAsia="Times New Roman" w:hAnsi="Times New Roman"/>
          <w:i/>
          <w:iCs/>
          <w:sz w:val="24"/>
          <w:szCs w:val="24"/>
        </w:rPr>
        <w:t xml:space="preserve">Decreto de reforma al Código Penal Federal y a la Ley General de Acceso de las Mujeres a una Vida Libre de Violencia (Ley Olimpia).</w:t>
      </w:r>
      <w:r>
        <w:rPr>
          <w:rFonts w:ascii="Times New Roman" w:cs="Times New Roman" w:eastAsia="Times New Roman" w:hAnsi="Times New Roman"/>
          <w:i w:val="false"/>
          <w:iCs w:val="false"/>
          <w:sz w:val="24"/>
          <w:szCs w:val="24"/>
        </w:rPr>
        <w:t xml:space="preserve"> Diario Oficial de la Federación.</w:t>
      </w:r>
    </w:p>
    <w:p>
      <w:pPr>
        <w:spacing w:after="0" w:before="0" w:line="480" w:lineRule="auto"/>
        <w:ind w:left="720" w:hanging="720"/>
      </w:pPr>
      <w:r>
        <w:rPr>
          <w:rFonts w:ascii="Times New Roman" w:cs="Times New Roman" w:eastAsia="Times New Roman" w:hAnsi="Times New Roman"/>
          <w:i w:val="false"/>
          <w:iCs w:val="false"/>
          <w:sz w:val="24"/>
          <w:szCs w:val="24"/>
        </w:rPr>
        <w:t xml:space="preserve">Mitnick, K. D., y Simon, W. L. (2002). </w:t>
      </w:r>
      <w:r>
        <w:rPr>
          <w:rFonts w:ascii="Times New Roman" w:cs="Times New Roman" w:eastAsia="Times New Roman" w:hAnsi="Times New Roman"/>
          <w:i/>
          <w:iCs/>
          <w:sz w:val="24"/>
          <w:szCs w:val="24"/>
        </w:rPr>
        <w:t xml:space="preserve">The art of deception: Controlling the human element of security.</w:t>
      </w:r>
      <w:r>
        <w:rPr>
          <w:rFonts w:ascii="Times New Roman" w:cs="Times New Roman" w:eastAsia="Times New Roman" w:hAnsi="Times New Roman"/>
          <w:i w:val="false"/>
          <w:iCs w:val="false"/>
          <w:sz w:val="24"/>
          <w:szCs w:val="24"/>
        </w:rPr>
        <w:t xml:space="preserve"> Wiley.</w:t>
      </w:r>
    </w:p>
    <w:p>
      <w:pPr>
        <w:spacing w:after="0" w:before="0" w:line="480" w:lineRule="auto"/>
        <w:ind w:left="720" w:hanging="720"/>
      </w:pPr>
      <w:r>
        <w:rPr>
          <w:rFonts w:ascii="Times New Roman" w:cs="Times New Roman" w:eastAsia="Times New Roman" w:hAnsi="Times New Roman"/>
          <w:i w:val="false"/>
          <w:iCs w:val="false"/>
          <w:sz w:val="24"/>
          <w:szCs w:val="24"/>
        </w:rPr>
        <w:t xml:space="preserve">National Center for Missing &amp; Exploited Children [NCMEC]. (2024). </w:t>
      </w:r>
      <w:r>
        <w:rPr>
          <w:rFonts w:ascii="Times New Roman" w:cs="Times New Roman" w:eastAsia="Times New Roman" w:hAnsi="Times New Roman"/>
          <w:i/>
          <w:iCs/>
          <w:sz w:val="24"/>
          <w:szCs w:val="24"/>
        </w:rPr>
        <w:t xml:space="preserve">NCMEC releases new sextortion data.</w:t>
      </w:r>
      <w:r>
        <w:rPr>
          <w:rFonts w:ascii="Times New Roman" w:cs="Times New Roman" w:eastAsia="Times New Roman" w:hAnsi="Times New Roman"/>
          <w:i w:val="false"/>
          <w:iCs w:val="false"/>
          <w:sz w:val="24"/>
          <w:szCs w:val="24"/>
        </w:rPr>
        <w:t xml:space="preserve"> NCMEC.</w:t>
      </w:r>
    </w:p>
    <w:p>
      <w:pPr>
        <w:spacing w:after="0" w:before="0" w:line="480" w:lineRule="auto"/>
        <w:ind w:left="720" w:hanging="720"/>
      </w:pPr>
      <w:r>
        <w:rPr>
          <w:rFonts w:ascii="Times New Roman" w:cs="Times New Roman" w:eastAsia="Times New Roman" w:hAnsi="Times New Roman"/>
          <w:i w:val="false"/>
          <w:iCs w:val="false"/>
          <w:sz w:val="24"/>
          <w:szCs w:val="24"/>
        </w:rPr>
        <w:t xml:space="preserve">National Center for Missing &amp; Exploited Children [NCMEC]. (2025). </w:t>
      </w:r>
      <w:r>
        <w:rPr>
          <w:rFonts w:ascii="Times New Roman" w:cs="Times New Roman" w:eastAsia="Times New Roman" w:hAnsi="Times New Roman"/>
          <w:i/>
          <w:iCs/>
          <w:sz w:val="24"/>
          <w:szCs w:val="24"/>
        </w:rPr>
        <w:t xml:space="preserve">NCMEC releases new data: 2024 in numbers.</w:t>
      </w:r>
      <w:r>
        <w:rPr>
          <w:rFonts w:ascii="Times New Roman" w:cs="Times New Roman" w:eastAsia="Times New Roman" w:hAnsi="Times New Roman"/>
          <w:i w:val="false"/>
          <w:iCs w:val="false"/>
          <w:sz w:val="24"/>
          <w:szCs w:val="24"/>
        </w:rPr>
        <w:t xml:space="preserve"> NCMEC.</w:t>
      </w:r>
    </w:p>
    <w:p>
      <w:pPr>
        <w:spacing w:after="0" w:before="0" w:line="480" w:lineRule="auto"/>
        <w:ind w:left="720" w:hanging="720"/>
      </w:pPr>
      <w:r>
        <w:rPr>
          <w:rFonts w:ascii="Times New Roman" w:cs="Times New Roman" w:eastAsia="Times New Roman" w:hAnsi="Times New Roman"/>
          <w:i w:val="false"/>
          <w:iCs w:val="false"/>
          <w:sz w:val="24"/>
          <w:szCs w:val="24"/>
        </w:rPr>
        <w:t xml:space="preserve">Naciones Unidas. (1989). </w:t>
      </w:r>
      <w:r>
        <w:rPr>
          <w:rFonts w:ascii="Times New Roman" w:cs="Times New Roman" w:eastAsia="Times New Roman" w:hAnsi="Times New Roman"/>
          <w:i/>
          <w:iCs/>
          <w:sz w:val="24"/>
          <w:szCs w:val="24"/>
        </w:rPr>
        <w:t xml:space="preserve">Convención sobre los Derechos del Niño.</w:t>
      </w:r>
      <w:r>
        <w:rPr>
          <w:rFonts w:ascii="Times New Roman" w:cs="Times New Roman" w:eastAsia="Times New Roman" w:hAnsi="Times New Roman"/>
          <w:i w:val="false"/>
          <w:iCs w:val="false"/>
          <w:sz w:val="24"/>
          <w:szCs w:val="24"/>
        </w:rPr>
        <w:t xml:space="preserve"> Asamblea General de las Naciones Unidas, Resolución 44/25.</w:t>
      </w:r>
    </w:p>
    <w:p>
      <w:pPr>
        <w:spacing w:after="0" w:before="0" w:line="480" w:lineRule="auto"/>
        <w:ind w:left="720" w:hanging="720"/>
      </w:pPr>
      <w:r>
        <w:rPr>
          <w:rFonts w:ascii="Times New Roman" w:cs="Times New Roman" w:eastAsia="Times New Roman" w:hAnsi="Times New Roman"/>
          <w:i w:val="false"/>
          <w:iCs w:val="false"/>
          <w:sz w:val="24"/>
          <w:szCs w:val="24"/>
        </w:rPr>
        <w:t xml:space="preserve">Naciones Unidas. (2000). </w:t>
      </w:r>
      <w:r>
        <w:rPr>
          <w:rFonts w:ascii="Times New Roman" w:cs="Times New Roman" w:eastAsia="Times New Roman" w:hAnsi="Times New Roman"/>
          <w:i/>
          <w:iCs/>
          <w:sz w:val="24"/>
          <w:szCs w:val="24"/>
        </w:rPr>
        <w:t xml:space="preserve">Protocolo Facultativo de la Convención sobre los Derechos del Niño relativo a la venta de niños, la prostitución infantil y la utilización de niños en la pornografía.</w:t>
      </w:r>
      <w:r>
        <w:rPr>
          <w:rFonts w:ascii="Times New Roman" w:cs="Times New Roman" w:eastAsia="Times New Roman" w:hAnsi="Times New Roman"/>
          <w:i w:val="false"/>
          <w:iCs w:val="false"/>
          <w:sz w:val="24"/>
          <w:szCs w:val="24"/>
        </w:rPr>
        <w:t xml:space="preserve"> Asamblea General de las Naciones Unidas.</w:t>
      </w:r>
    </w:p>
    <w:p>
      <w:pPr>
        <w:spacing w:after="0" w:before="0" w:line="480" w:lineRule="auto"/>
        <w:ind w:left="720" w:hanging="720"/>
      </w:pPr>
      <w:r>
        <w:rPr>
          <w:rFonts w:ascii="Times New Roman" w:cs="Times New Roman" w:eastAsia="Times New Roman" w:hAnsi="Times New Roman"/>
          <w:i w:val="false"/>
          <w:iCs w:val="false"/>
          <w:sz w:val="24"/>
          <w:szCs w:val="24"/>
        </w:rPr>
        <w:t xml:space="preserve">Parlamento Europeo y Consejo de la Unión Europea. (2016). </w:t>
      </w:r>
      <w:r>
        <w:rPr>
          <w:rFonts w:ascii="Times New Roman" w:cs="Times New Roman" w:eastAsia="Times New Roman" w:hAnsi="Times New Roman"/>
          <w:i/>
          <w:iCs/>
          <w:sz w:val="24"/>
          <w:szCs w:val="24"/>
        </w:rPr>
        <w:t xml:space="preserve">Reglamento (UE) 2016/679, Reglamento General de Protección de Datos.</w:t>
      </w:r>
      <w:r>
        <w:rPr>
          <w:rFonts w:ascii="Times New Roman" w:cs="Times New Roman" w:eastAsia="Times New Roman" w:hAnsi="Times New Roman"/>
          <w:i w:val="false"/>
          <w:iCs w:val="false"/>
          <w:sz w:val="24"/>
          <w:szCs w:val="24"/>
        </w:rPr>
        <w:t xml:space="preserve"> Diario Oficial de la Unión Europea.</w:t>
      </w:r>
    </w:p>
    <w:p>
      <w:pPr>
        <w:spacing w:after="0" w:before="0" w:line="480" w:lineRule="auto"/>
        <w:ind w:left="720" w:hanging="720"/>
      </w:pPr>
      <w:r>
        <w:rPr>
          <w:rFonts w:ascii="Times New Roman" w:cs="Times New Roman" w:eastAsia="Times New Roman" w:hAnsi="Times New Roman"/>
          <w:i w:val="false"/>
          <w:iCs w:val="false"/>
          <w:sz w:val="24"/>
          <w:szCs w:val="24"/>
        </w:rPr>
        <w:t xml:space="preserve">Perú. (2013). </w:t>
      </w:r>
      <w:r>
        <w:rPr>
          <w:rFonts w:ascii="Times New Roman" w:cs="Times New Roman" w:eastAsia="Times New Roman" w:hAnsi="Times New Roman"/>
          <w:i/>
          <w:iCs/>
          <w:sz w:val="24"/>
          <w:szCs w:val="24"/>
        </w:rPr>
        <w:t xml:space="preserve">Ley N.º 30096, Ley de Delitos Informáticos.</w:t>
      </w:r>
      <w:r>
        <w:rPr>
          <w:rFonts w:ascii="Times New Roman" w:cs="Times New Roman" w:eastAsia="Times New Roman" w:hAnsi="Times New Roman"/>
          <w:i w:val="false"/>
          <w:iCs w:val="false"/>
          <w:sz w:val="24"/>
          <w:szCs w:val="24"/>
        </w:rPr>
        <w:t xml:space="preserve"> Diario Oficial El Peruano.</w:t>
      </w:r>
    </w:p>
    <w:p>
      <w:pPr>
        <w:spacing w:after="0" w:before="0" w:line="480" w:lineRule="auto"/>
        <w:ind w:left="720" w:hanging="720"/>
      </w:pPr>
      <w:r>
        <w:rPr>
          <w:rFonts w:ascii="Times New Roman" w:cs="Times New Roman" w:eastAsia="Times New Roman" w:hAnsi="Times New Roman"/>
          <w:i w:val="false"/>
          <w:iCs w:val="false"/>
          <w:sz w:val="24"/>
          <w:szCs w:val="24"/>
        </w:rPr>
        <w:t xml:space="preserve">Pew Research Center. (2024). </w:t>
      </w:r>
      <w:r>
        <w:rPr>
          <w:rFonts w:ascii="Times New Roman" w:cs="Times New Roman" w:eastAsia="Times New Roman" w:hAnsi="Times New Roman"/>
          <w:i/>
          <w:iCs/>
          <w:sz w:val="24"/>
          <w:szCs w:val="24"/>
        </w:rPr>
        <w:t xml:space="preserve">Teens, social media and technology 2024.</w:t>
      </w:r>
      <w:r>
        <w:rPr>
          <w:rFonts w:ascii="Times New Roman" w:cs="Times New Roman" w:eastAsia="Times New Roman" w:hAnsi="Times New Roman"/>
          <w:i w:val="false"/>
          <w:iCs w:val="false"/>
          <w:sz w:val="24"/>
          <w:szCs w:val="24"/>
        </w:rPr>
        <w:t xml:space="preserve"> Pew Research Center.</w:t>
      </w:r>
    </w:p>
    <w:p>
      <w:pPr>
        <w:spacing w:after="0" w:before="0" w:line="480" w:lineRule="auto"/>
        <w:ind w:left="720" w:hanging="720"/>
      </w:pPr>
      <w:r>
        <w:rPr>
          <w:rFonts w:ascii="Times New Roman" w:cs="Times New Roman" w:eastAsia="Times New Roman" w:hAnsi="Times New Roman"/>
          <w:i w:val="false"/>
          <w:iCs w:val="false"/>
          <w:sz w:val="24"/>
          <w:szCs w:val="24"/>
        </w:rPr>
        <w:t xml:space="preserve">Steinberg, L. (2008). A social neuroscience perspective on adolescent risk-taking. </w:t>
      </w:r>
      <w:r>
        <w:rPr>
          <w:rFonts w:ascii="Times New Roman" w:cs="Times New Roman" w:eastAsia="Times New Roman" w:hAnsi="Times New Roman"/>
          <w:i/>
          <w:iCs/>
          <w:sz w:val="24"/>
          <w:szCs w:val="24"/>
        </w:rPr>
        <w:t xml:space="preserve">Developmental Review, 28</w:t>
      </w:r>
      <w:r>
        <w:rPr>
          <w:rFonts w:ascii="Times New Roman" w:cs="Times New Roman" w:eastAsia="Times New Roman" w:hAnsi="Times New Roman"/>
          <w:i w:val="false"/>
          <w:iCs w:val="false"/>
          <w:sz w:val="24"/>
          <w:szCs w:val="24"/>
        </w:rPr>
        <w:t xml:space="preserve">(1), 78–106.</w:t>
      </w:r>
    </w:p>
    <w:p>
      <w:pPr>
        <w:spacing w:after="0" w:before="0" w:line="480" w:lineRule="auto"/>
        <w:ind w:left="720" w:hanging="720"/>
      </w:pPr>
      <w:r>
        <w:rPr>
          <w:rFonts w:ascii="Times New Roman" w:cs="Times New Roman" w:eastAsia="Times New Roman" w:hAnsi="Times New Roman"/>
          <w:i w:val="false"/>
          <w:iCs w:val="false"/>
          <w:sz w:val="24"/>
          <w:szCs w:val="24"/>
        </w:rPr>
        <w:t xml:space="preserve">Thorn. (2024). </w:t>
      </w:r>
      <w:r>
        <w:rPr>
          <w:rFonts w:ascii="Times New Roman" w:cs="Times New Roman" w:eastAsia="Times New Roman" w:hAnsi="Times New Roman"/>
          <w:i/>
          <w:iCs/>
          <w:sz w:val="24"/>
          <w:szCs w:val="24"/>
        </w:rPr>
        <w:t xml:space="preserve">Trends in financial sextortion: An investigation of sextortion reports in NCMEC CyberTipline data.</w:t>
      </w:r>
      <w:r>
        <w:rPr>
          <w:rFonts w:ascii="Times New Roman" w:cs="Times New Roman" w:eastAsia="Times New Roman" w:hAnsi="Times New Roman"/>
          <w:i w:val="false"/>
          <w:iCs w:val="false"/>
          <w:sz w:val="24"/>
          <w:szCs w:val="24"/>
        </w:rPr>
        <w:t xml:space="preserve"> Thorn.</w:t>
      </w:r>
    </w:p>
    <w:p>
      <w:pPr>
        <w:spacing w:after="0" w:before="0" w:line="480" w:lineRule="auto"/>
        <w:ind w:left="720" w:hanging="720"/>
      </w:pPr>
      <w:r>
        <w:rPr>
          <w:rFonts w:ascii="Times New Roman" w:cs="Times New Roman" w:eastAsia="Times New Roman" w:hAnsi="Times New Roman"/>
          <w:i w:val="false"/>
          <w:iCs w:val="false"/>
          <w:sz w:val="24"/>
          <w:szCs w:val="24"/>
        </w:rPr>
        <w:t xml:space="preserve">UNICEF. (2026, 3 de septiembre). </w:t>
      </w:r>
      <w:r>
        <w:rPr>
          <w:rFonts w:ascii="Times New Roman" w:cs="Times New Roman" w:eastAsia="Times New Roman" w:hAnsi="Times New Roman"/>
          <w:i/>
          <w:iCs/>
          <w:sz w:val="24"/>
          <w:szCs w:val="24"/>
        </w:rPr>
        <w:t xml:space="preserve">20 million children a year face online sexual abuse.</w:t>
      </w:r>
      <w:r>
        <w:rPr>
          <w:rFonts w:ascii="Times New Roman" w:cs="Times New Roman" w:eastAsia="Times New Roman" w:hAnsi="Times New Roman"/>
          <w:i w:val="false"/>
          <w:iCs w:val="false"/>
          <w:sz w:val="24"/>
          <w:szCs w:val="24"/>
        </w:rPr>
        <w:t xml:space="preserve"> UNICEF, citado en Al Jazeera.</w:t>
      </w:r>
    </w:p>
    <w:p>
      <w:pPr>
        <w:spacing w:after="0" w:before="0" w:line="480" w:lineRule="auto"/>
        <w:ind w:left="720" w:hanging="720"/>
      </w:pPr>
      <w:r>
        <w:rPr>
          <w:rFonts w:ascii="Times New Roman" w:cs="Times New Roman" w:eastAsia="Times New Roman" w:hAnsi="Times New Roman"/>
          <w:i w:val="false"/>
          <w:iCs w:val="false"/>
          <w:sz w:val="24"/>
          <w:szCs w:val="24"/>
        </w:rPr>
        <w:t xml:space="preserve">Estados Unidos, Comisión Federal de Comercio [FTC]. (2023). </w:t>
      </w:r>
      <w:r>
        <w:rPr>
          <w:rFonts w:ascii="Times New Roman" w:cs="Times New Roman" w:eastAsia="Times New Roman" w:hAnsi="Times New Roman"/>
          <w:i/>
          <w:iCs/>
          <w:sz w:val="24"/>
          <w:szCs w:val="24"/>
        </w:rPr>
        <w:t xml:space="preserve">Consumer Sentinel Network data book 2023, y Age spotlight.</w:t>
      </w:r>
      <w:r>
        <w:rPr>
          <w:rFonts w:ascii="Times New Roman" w:cs="Times New Roman" w:eastAsia="Times New Roman" w:hAnsi="Times New Roman"/>
          <w:i w:val="false"/>
          <w:iCs w:val="false"/>
          <w:sz w:val="24"/>
          <w:szCs w:val="24"/>
        </w:rPr>
        <w:t xml:space="preserve"> Federal Trade Commission.</w:t>
      </w:r>
    </w:p>
    <w:p>
      <w:pPr>
        <w:spacing w:after="0" w:before="0" w:line="480" w:lineRule="auto"/>
        <w:ind w:left="720" w:hanging="720"/>
      </w:pPr>
      <w:r>
        <w:rPr>
          <w:rFonts w:ascii="Times New Roman" w:cs="Times New Roman" w:eastAsia="Times New Roman" w:hAnsi="Times New Roman"/>
          <w:i w:val="false"/>
          <w:iCs w:val="false"/>
          <w:sz w:val="24"/>
          <w:szCs w:val="24"/>
        </w:rPr>
        <w:t xml:space="preserve">Estados Unidos, Congreso. (1998). </w:t>
      </w:r>
      <w:r>
        <w:rPr>
          <w:rFonts w:ascii="Times New Roman" w:cs="Times New Roman" w:eastAsia="Times New Roman" w:hAnsi="Times New Roman"/>
          <w:i/>
          <w:iCs/>
          <w:sz w:val="24"/>
          <w:szCs w:val="24"/>
        </w:rPr>
        <w:t xml:space="preserve">Children's Online Privacy Protection Act (COPPA).</w:t>
      </w:r>
      <w:r>
        <w:rPr>
          <w:rFonts w:ascii="Times New Roman" w:cs="Times New Roman" w:eastAsia="Times New Roman" w:hAnsi="Times New Roman"/>
          <w:i w:val="false"/>
          <w:iCs w:val="false"/>
          <w:sz w:val="24"/>
          <w:szCs w:val="24"/>
        </w:rPr>
        <w:t xml:space="preserve"> 15 U.S.C. §§ 6501–6506.</w:t>
      </w:r>
    </w:p>
    <w:p>
      <w:pPr>
        <w:pageBreakBefore/>
        <w:spacing w:after="0" w:before="0" w:line="480" w:lineRule="auto"/>
        <w:jc w:val="center"/>
      </w:pPr>
      <w:r>
        <w:rPr>
          <w:rFonts w:ascii="Times New Roman" w:cs="Times New Roman" w:eastAsia="Times New Roman" w:hAnsi="Times New Roman"/>
          <w:b/>
          <w:bCs/>
          <w:sz w:val="24"/>
          <w:szCs w:val="24"/>
        </w:rPr>
        <w:t xml:space="preserve">15. Anexos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Los siguientes cuatro anexos complementan el cuerpo cualitativo de la monografía: el primero reúne, en formato tabular, las cifras cuantitativas citadas a lo largo del documento; los tres restantes ofrecen herramientas de consulta rápida y de aplicación práctica que exceden el formato narrativo del desarrollo central.</w:t>
      </w:r>
    </w:p>
    <w:p>
      <w:pPr>
        <w:spacing w:after="0" w:before="0" w:line="480" w:lineRule="auto"/>
        <w:jc w:val="left"/>
      </w:pPr>
      <w:r>
        <w:rPr>
          <w:rFonts w:ascii="Times New Roman" w:cs="Times New Roman" w:eastAsia="Times New Roman" w:hAnsi="Times New Roman"/>
          <w:b/>
          <w:bCs/>
          <w:sz w:val="24"/>
          <w:szCs w:val="24"/>
        </w:rPr>
        <w:t xml:space="preserve">Anexo A. Datos cuantitativos disponibles (mundial, regional, nacional)</w:t>
      </w:r>
    </w:p>
    <w:p>
      <w:pPr>
        <w:spacing w:after="0" w:before="0" w:line="480" w:lineRule="auto"/>
        <w:jc w:val="left"/>
      </w:pPr>
      <w:r>
        <w:rPr>
          <w:rFonts w:ascii="Times New Roman" w:cs="Times New Roman" w:eastAsia="Times New Roman" w:hAnsi="Times New Roman"/>
          <w:b/>
          <w:bCs/>
          <w:i w:val="false"/>
          <w:iCs w:val="false"/>
          <w:sz w:val="24"/>
          <w:szCs w:val="24"/>
        </w:rPr>
        <w:t xml:space="preserve">Nivel mundial / Estados Unidos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760"/>
      </w:tblGrid>
      <w:tr>
        <w:tc>
          <w:tcPr>
            <w:tcW w:type="dxa" w:w="38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Indicador</w:t>
            </w:r>
          </w:p>
        </w:tc>
        <w:tc>
          <w:tcPr>
            <w:tcW w:type="dxa" w:w="22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Cifra</w:t>
            </w:r>
          </w:p>
        </w:tc>
        <w:tc>
          <w:tcPr>
            <w:tcW w:type="dxa" w:w="276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Fuente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Reportes de sextorsión financiera a NCMEC, 2022</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10.731</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NCMEC (2024)</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Reportes de sextorsión financiera a NCMEC, 2023</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26.718 (+140%)</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NCMEC (2024)</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varones fallecidos por suicidio tras sextorsión (desde 2021)</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Al menos 36</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Thorn (2024)</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Crecimiento de reportes de "online enticement", 2024</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+192% (&gt;546.000)</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NCMEC (2025)</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de EE. UU. con acceso a smartphone</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95%</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Pew Research (2024)</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en línea "casi constantemente"</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~50% (vs. 24% en 2014)</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Pew Research (2024)</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Pérdida de dinero al sufrir fraude, edad 20-29</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41% de los casos</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FTC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Pérdida de dinero al sufrir fraude, mayores de 80</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17% de los casos</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FTC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Probabilidad de pérdida por estafa de inversión, 18-29 vs. mayores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4 veces mayor</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FTC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Probabilidad de pérdida por estafa de empleo, 18-29 vs. mayores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5 veces mayor</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FTC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Pérdidas globales por fraude cripto, 2024</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USD 9.900 millones (proy. 12.400 M)</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Chainalysis (2025)</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Crecimiento de pérdidas por "pig butchering", 2024 vs. 2023</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+40%</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Chainalysis (2025)</w:t>
            </w:r>
          </w:p>
        </w:tc>
      </w:tr>
      <w:tr>
        <w:tc>
          <w:tcPr>
            <w:tcW w:type="dxa" w:w="38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Crecimiento de depósitos de víctimas de "pig butchering"</w:t>
            </w:r>
          </w:p>
        </w:tc>
        <w:tc>
          <w:tcPr>
            <w:tcW w:type="dxa" w:w="22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+210%</w:t>
            </w:r>
          </w:p>
        </w:tc>
        <w:tc>
          <w:tcPr>
            <w:tcW w:type="dxa" w:w="276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Chainalysis (2025)</w:t>
            </w:r>
          </w:p>
        </w:tc>
      </w:tr>
    </w:tbl>
    <w:p>
      <w:pPr>
        <w:spacing w:after="0" w:before="0" w:line="480" w:lineRule="auto"/>
      </w:pPr>
      <w:r>
        <w:t xml:space="preserve"/>
      </w:r>
    </w:p>
    <w:p>
      <w:pPr>
        <w:spacing w:after="0" w:before="0" w:line="480" w:lineRule="auto"/>
        <w:jc w:val="left"/>
      </w:pPr>
      <w:r>
        <w:rPr>
          <w:rFonts w:ascii="Times New Roman" w:cs="Times New Roman" w:eastAsia="Times New Roman" w:hAnsi="Times New Roman"/>
          <w:b/>
          <w:bCs/>
          <w:i w:val="false"/>
          <w:iCs w:val="false"/>
          <w:sz w:val="24"/>
          <w:szCs w:val="24"/>
        </w:rPr>
        <w:t xml:space="preserve">Nivel regional (América Latina)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760"/>
      </w:tblGrid>
      <w:tr>
        <w:tc>
          <w:tcPr>
            <w:tcW w:type="dxa" w:w="38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Indicador</w:t>
            </w:r>
          </w:p>
        </w:tc>
        <w:tc>
          <w:tcPr>
            <w:tcW w:type="dxa" w:w="22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Cifra</w:t>
            </w:r>
          </w:p>
        </w:tc>
        <w:tc>
          <w:tcPr>
            <w:tcW w:type="dxa" w:w="276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Fuente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Acceso a internet en el hogar, Argentina y Brasil (9-17 años)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96%</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Global Kids Online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Acceso a internet en el hogar, Bolivia (9-17 años)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82%</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Global Kids Online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Experiencias negativas en línea semanales, rango regional</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4% (Uruguay/Argentina) a 13% (Chile)</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Global Kids Online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Menores con abuso/explotación sexual en línea, 21 países (anual)</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20 millones</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UNICEF (2026)</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12-17 años blanco de ataque digital, 21 países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Más de 1 de cada 5</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UNICEF (2026)</w:t>
            </w:r>
          </w:p>
        </w:tc>
      </w:tr>
      <w:tr>
        <w:tc>
          <w:tcPr>
            <w:tcW w:type="dxa" w:w="38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Incidentes reportados a una autoridad</w:t>
            </w:r>
          </w:p>
        </w:tc>
        <w:tc>
          <w:tcPr>
            <w:tcW w:type="dxa" w:w="22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Menos del 1%</w:t>
            </w:r>
          </w:p>
        </w:tc>
        <w:tc>
          <w:tcPr>
            <w:tcW w:type="dxa" w:w="276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UNICEF (2026)</w:t>
            </w:r>
          </w:p>
        </w:tc>
      </w:tr>
    </w:tbl>
    <w:p>
      <w:pPr>
        <w:spacing w:after="0" w:before="0" w:line="480" w:lineRule="auto"/>
      </w:pPr>
      <w:r>
        <w:t xml:space="preserve"/>
      </w:r>
    </w:p>
    <w:p>
      <w:pPr>
        <w:spacing w:after="0" w:before="0" w:line="480" w:lineRule="auto"/>
        <w:jc w:val="left"/>
      </w:pPr>
      <w:r>
        <w:rPr>
          <w:rFonts w:ascii="Times New Roman" w:cs="Times New Roman" w:eastAsia="Times New Roman" w:hAnsi="Times New Roman"/>
          <w:b/>
          <w:bCs/>
          <w:i w:val="false"/>
          <w:iCs w:val="false"/>
          <w:sz w:val="24"/>
          <w:szCs w:val="24"/>
        </w:rPr>
        <w:t xml:space="preserve">Nivel nacional (Bolivia)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760"/>
      </w:tblGrid>
      <w:tr>
        <w:tc>
          <w:tcPr>
            <w:tcW w:type="dxa" w:w="38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Indicador</w:t>
            </w:r>
          </w:p>
        </w:tc>
        <w:tc>
          <w:tcPr>
            <w:tcW w:type="dxa" w:w="22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Cifra</w:t>
            </w:r>
          </w:p>
        </w:tc>
        <w:tc>
          <w:tcPr>
            <w:tcW w:type="dxa" w:w="276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Fuente</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con acceso a internet vía celular propio</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93%</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IICC-UCB et al. (2025)</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Adolescentes que iniciaron el uso de internet en edad escolar (6-11 años)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53%</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IICC-UCB et al. (2025)</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Denuncias diarias de estafas en línea a nivel nacional</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Entre 6 y 10</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FELCC, en El País/ANF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Denuncias semanales de estafas en línea solo en La Paz</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Hasta 10</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FELCC, en El País/ANF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Edad predominante de víctimas de ciberdelitos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15 a 20 años (mayoría mujeres)</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FELCC, en El País/ANF (2023)</w:t>
            </w:r>
          </w:p>
        </w:tc>
      </w:tr>
      <w:tr>
        <w:tc>
          <w:tcPr>
            <w:tcW w:type="dxa" w:w="38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Ley integral de delitos informáticos o de grooming autónomo</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Inexistente</w:t>
            </w:r>
          </w:p>
        </w:tc>
        <w:tc>
          <w:tcPr>
            <w:tcW w:type="dxa" w:w="27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Cruz Arancibia (2024)</w:t>
            </w:r>
          </w:p>
        </w:tc>
      </w:tr>
      <w:tr>
        <w:tc>
          <w:tcPr>
            <w:tcW w:type="dxa" w:w="38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Casos judiciales de sextorsión adolescente con cobertura identificable</w:t>
            </w:r>
          </w:p>
        </w:tc>
        <w:tc>
          <w:tcPr>
            <w:tcW w:type="dxa" w:w="22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No se encontró registro verificable</w:t>
            </w:r>
          </w:p>
        </w:tc>
        <w:tc>
          <w:tcPr>
            <w:tcW w:type="dxa" w:w="276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Búsqueda propia, 2026</w:t>
            </w:r>
          </w:p>
        </w:tc>
      </w:tr>
    </w:tbl>
    <w:p>
      <w:pPr>
        <w:spacing w:after="0" w:before="0" w:line="480" w:lineRule="auto"/>
      </w:pPr>
      <w:r>
        <w:t xml:space="preserve"/>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Nota metodológica: las cifras de Bolivia y de la región provienen de fuentes secundarias de acceso público, citadas individualmente; no se realizó un levantamiento estadístico propio. La última fila de la tabla nacional consigna explícitamente una ausencia de datos, en lugar de omitirla, siguiendo el criterio de honestidad metodológica sostenido en la sección 5.1.</w:t>
      </w:r>
    </w:p>
    <w:p>
      <w:pPr>
        <w:spacing w:after="0" w:before="0" w:line="480" w:lineRule="auto"/>
        <w:jc w:val="left"/>
      </w:pPr>
      <w:r>
        <w:rPr>
          <w:rFonts w:ascii="Times New Roman" w:cs="Times New Roman" w:eastAsia="Times New Roman" w:hAnsi="Times New Roman"/>
          <w:b/>
          <w:bCs/>
          <w:sz w:val="24"/>
          <w:szCs w:val="24"/>
        </w:rPr>
        <w:t xml:space="preserve">Anexo B. Glosario de términos técnicos</w:t>
      </w:r>
    </w:p>
    <w:p>
      <w:pPr>
        <w:spacing w:after="0" w:before="0" w:line="480" w:lineRule="auto"/>
        <w:ind w:firstLine="720"/>
      </w:pPr>
      <w:r>
        <w:rPr>
          <w:rFonts w:ascii="Times New Roman" w:cs="Times New Roman" w:eastAsia="Times New Roman" w:hAnsi="Times New Roman"/>
          <w:b/>
          <w:bCs/>
          <w:sz w:val="24"/>
          <w:szCs w:val="24"/>
        </w:rPr>
        <w:t xml:space="preserve">Grooming. </w:t>
      </w:r>
      <w:r>
        <w:rPr>
          <w:rFonts w:ascii="Times New Roman" w:cs="Times New Roman" w:eastAsia="Times New Roman" w:hAnsi="Times New Roman"/>
          <w:sz w:val="24"/>
          <w:szCs w:val="24"/>
        </w:rPr>
        <w:t xml:space="preserve">Proceso de manipulación mediante el cual un adulto establece una relación de confianza con un menor en línea con fines de abuso sexual.</w:t>
      </w:r>
    </w:p>
    <w:p>
      <w:pPr>
        <w:spacing w:after="0" w:before="0" w:line="480" w:lineRule="auto"/>
        <w:ind w:firstLine="720"/>
      </w:pPr>
      <w:r>
        <w:rPr>
          <w:rFonts w:ascii="Times New Roman" w:cs="Times New Roman" w:eastAsia="Times New Roman" w:hAnsi="Times New Roman"/>
          <w:b/>
          <w:bCs/>
          <w:sz w:val="24"/>
          <w:szCs w:val="24"/>
        </w:rPr>
        <w:t xml:space="preserve">Phishing. </w:t>
      </w:r>
      <w:r>
        <w:rPr>
          <w:rFonts w:ascii="Times New Roman" w:cs="Times New Roman" w:eastAsia="Times New Roman" w:hAnsi="Times New Roman"/>
          <w:sz w:val="24"/>
          <w:szCs w:val="24"/>
        </w:rPr>
        <w:t xml:space="preserve">Suplantación de una entidad legítima, generalmente por correo o mensaje, para obtener credenciales o datos sensibles.</w:t>
      </w:r>
    </w:p>
    <w:p>
      <w:pPr>
        <w:spacing w:after="0" w:before="0" w:line="480" w:lineRule="auto"/>
        <w:ind w:firstLine="720"/>
      </w:pPr>
      <w:r>
        <w:rPr>
          <w:rFonts w:ascii="Times New Roman" w:cs="Times New Roman" w:eastAsia="Times New Roman" w:hAnsi="Times New Roman"/>
          <w:b/>
          <w:bCs/>
          <w:sz w:val="24"/>
          <w:szCs w:val="24"/>
        </w:rPr>
        <w:t xml:space="preserve">Smishing. </w:t>
      </w:r>
      <w:r>
        <w:rPr>
          <w:rFonts w:ascii="Times New Roman" w:cs="Times New Roman" w:eastAsia="Times New Roman" w:hAnsi="Times New Roman"/>
          <w:sz w:val="24"/>
          <w:szCs w:val="24"/>
        </w:rPr>
        <w:t xml:space="preserve">Variante del phishing ejecutada mediante mensajes de texto (SMS) o aplicaciones de mensajería.</w:t>
      </w:r>
    </w:p>
    <w:p>
      <w:pPr>
        <w:spacing w:after="0" w:before="0" w:line="480" w:lineRule="auto"/>
        <w:ind w:firstLine="720"/>
      </w:pPr>
      <w:r>
        <w:rPr>
          <w:rFonts w:ascii="Times New Roman" w:cs="Times New Roman" w:eastAsia="Times New Roman" w:hAnsi="Times New Roman"/>
          <w:b/>
          <w:bCs/>
          <w:sz w:val="24"/>
          <w:szCs w:val="24"/>
        </w:rPr>
        <w:t xml:space="preserve">Catfishing. </w:t>
      </w:r>
      <w:r>
        <w:rPr>
          <w:rFonts w:ascii="Times New Roman" w:cs="Times New Roman" w:eastAsia="Times New Roman" w:hAnsi="Times New Roman"/>
          <w:sz w:val="24"/>
          <w:szCs w:val="24"/>
        </w:rPr>
        <w:t xml:space="preserve">Creación de una identidad digital falsa, con fotografías e información inventadas, para engañar a otra persona.</w:t>
      </w:r>
    </w:p>
    <w:p>
      <w:pPr>
        <w:spacing w:after="0" w:before="0" w:line="480" w:lineRule="auto"/>
        <w:ind w:firstLine="720"/>
      </w:pPr>
      <w:r>
        <w:rPr>
          <w:rFonts w:ascii="Times New Roman" w:cs="Times New Roman" w:eastAsia="Times New Roman" w:hAnsi="Times New Roman"/>
          <w:b/>
          <w:bCs/>
          <w:sz w:val="24"/>
          <w:szCs w:val="24"/>
        </w:rPr>
        <w:t xml:space="preserve">Chargeback fraudulento. </w:t>
      </w:r>
      <w:r>
        <w:rPr>
          <w:rFonts w:ascii="Times New Roman" w:cs="Times New Roman" w:eastAsia="Times New Roman" w:hAnsi="Times New Roman"/>
          <w:sz w:val="24"/>
          <w:szCs w:val="24"/>
        </w:rPr>
        <w:t xml:space="preserve">Reversión indebida de un pago ya recibido, ejecutada por el comprador después de obtener el producto o servicio.</w:t>
      </w:r>
    </w:p>
    <w:p>
      <w:pPr>
        <w:spacing w:after="0" w:before="0" w:line="480" w:lineRule="auto"/>
        <w:ind w:firstLine="720"/>
      </w:pPr>
      <w:r>
        <w:rPr>
          <w:rFonts w:ascii="Times New Roman" w:cs="Times New Roman" w:eastAsia="Times New Roman" w:hAnsi="Times New Roman"/>
          <w:b/>
          <w:bCs/>
          <w:sz w:val="24"/>
          <w:szCs w:val="24"/>
        </w:rPr>
        <w:t xml:space="preserve">Pig butchering. </w:t>
      </w:r>
      <w:r>
        <w:rPr>
          <w:rFonts w:ascii="Times New Roman" w:cs="Times New Roman" w:eastAsia="Times New Roman" w:hAnsi="Times New Roman"/>
          <w:sz w:val="24"/>
          <w:szCs w:val="24"/>
        </w:rPr>
        <w:t xml:space="preserve">Fraude romántico-financiero de desarrollo lento que combina catfishing con un esquema de inversión falsa, descrito en la sección 6.11.</w:t>
      </w:r>
    </w:p>
    <w:p>
      <w:pPr>
        <w:spacing w:after="0" w:before="0" w:line="480" w:lineRule="auto"/>
        <w:ind w:firstLine="720"/>
      </w:pPr>
      <w:r>
        <w:rPr>
          <w:rFonts w:ascii="Times New Roman" w:cs="Times New Roman" w:eastAsia="Times New Roman" w:hAnsi="Times New Roman"/>
          <w:b/>
          <w:bCs/>
          <w:sz w:val="24"/>
          <w:szCs w:val="24"/>
        </w:rPr>
        <w:t xml:space="preserve">Sextorsión. </w:t>
      </w:r>
      <w:r>
        <w:rPr>
          <w:rFonts w:ascii="Times New Roman" w:cs="Times New Roman" w:eastAsia="Times New Roman" w:hAnsi="Times New Roman"/>
          <w:sz w:val="24"/>
          <w:szCs w:val="24"/>
        </w:rPr>
        <w:t xml:space="preserve">Extorsión mediante la amenaza de difundir contenido íntimo de la víctima si no se realiza un pago o una acción exigida.</w:t>
      </w:r>
    </w:p>
    <w:p>
      <w:pPr>
        <w:spacing w:after="0" w:before="0" w:line="480" w:lineRule="auto"/>
        <w:ind w:firstLine="720"/>
      </w:pPr>
      <w:r>
        <w:rPr>
          <w:rFonts w:ascii="Times New Roman" w:cs="Times New Roman" w:eastAsia="Times New Roman" w:hAnsi="Times New Roman"/>
          <w:b/>
          <w:bCs/>
          <w:sz w:val="24"/>
          <w:szCs w:val="24"/>
        </w:rPr>
        <w:t xml:space="preserve">Mula de dinero. </w:t>
      </w:r>
      <w:r>
        <w:rPr>
          <w:rFonts w:ascii="Times New Roman" w:cs="Times New Roman" w:eastAsia="Times New Roman" w:hAnsi="Times New Roman"/>
          <w:sz w:val="24"/>
          <w:szCs w:val="24"/>
        </w:rPr>
        <w:t xml:space="preserve">Persona reclutada, a menudo sin saberlo, para recibir y transferir fondos de origen ilícito a cambio de una comisión.</w:t>
      </w:r>
    </w:p>
    <w:p>
      <w:pPr>
        <w:spacing w:after="0" w:before="0" w:line="480" w:lineRule="auto"/>
        <w:ind w:firstLine="720"/>
      </w:pPr>
      <w:r>
        <w:rPr>
          <w:rFonts w:ascii="Times New Roman" w:cs="Times New Roman" w:eastAsia="Times New Roman" w:hAnsi="Times New Roman"/>
          <w:b/>
          <w:bCs/>
          <w:sz w:val="24"/>
          <w:szCs w:val="24"/>
        </w:rPr>
        <w:t xml:space="preserve">Ingeniería social. </w:t>
      </w:r>
      <w:r>
        <w:rPr>
          <w:rFonts w:ascii="Times New Roman" w:cs="Times New Roman" w:eastAsia="Times New Roman" w:hAnsi="Times New Roman"/>
          <w:sz w:val="24"/>
          <w:szCs w:val="24"/>
        </w:rPr>
        <w:t xml:space="preserve">Conjunto de técnicas de manipulación psicológica orientadas a inducir una acción o divulgación de información en beneficio del atacante.</w:t>
      </w:r>
    </w:p>
    <w:p>
      <w:pPr>
        <w:spacing w:after="0" w:before="0" w:line="480" w:lineRule="auto"/>
        <w:ind w:firstLine="720"/>
      </w:pPr>
      <w:r>
        <w:rPr>
          <w:rFonts w:ascii="Times New Roman" w:cs="Times New Roman" w:eastAsia="Times New Roman" w:hAnsi="Times New Roman"/>
          <w:b/>
          <w:bCs/>
          <w:sz w:val="24"/>
          <w:szCs w:val="24"/>
        </w:rPr>
        <w:t xml:space="preserve">Airdrop fraudulento. </w:t>
      </w:r>
      <w:r>
        <w:rPr>
          <w:rFonts w:ascii="Times New Roman" w:cs="Times New Roman" w:eastAsia="Times New Roman" w:hAnsi="Times New Roman"/>
          <w:sz w:val="24"/>
          <w:szCs w:val="24"/>
        </w:rPr>
        <w:t xml:space="preserve">Falsa promesa de reparto gratuito de criptomonedas, utilizada para solicitar un pago previo de "activación".</w:t>
      </w:r>
    </w:p>
    <w:p>
      <w:pPr>
        <w:spacing w:after="0" w:before="0" w:line="480" w:lineRule="auto"/>
        <w:jc w:val="left"/>
      </w:pPr>
      <w:r>
        <w:rPr>
          <w:rFonts w:ascii="Times New Roman" w:cs="Times New Roman" w:eastAsia="Times New Roman" w:hAnsi="Times New Roman"/>
          <w:b/>
          <w:bCs/>
          <w:sz w:val="24"/>
          <w:szCs w:val="24"/>
        </w:rPr>
        <w:t xml:space="preserve">Anexo C. Cuadro comparativo de tipologías de estafa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2460"/>
      </w:tblGrid>
      <w:tr>
        <w:tc>
          <w:tcPr>
            <w:tcW w:type="dxa" w:w="22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Modalidad</w:t>
            </w:r>
          </w:p>
        </w:tc>
        <w:tc>
          <w:tcPr>
            <w:tcW w:type="dxa" w:w="19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Canal principal</w:t>
            </w:r>
          </w:p>
        </w:tc>
        <w:tc>
          <w:tcPr>
            <w:tcW w:type="dxa" w:w="220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Franja etaria más afectada</w:t>
            </w:r>
          </w:p>
        </w:tc>
        <w:tc>
          <w:tcPr>
            <w:tcW w:type="dxa" w:w="2460"/>
            <w:tcBorders>
              <w:top w:val="single" w:color="000000" w:sz="6"/>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bCs/>
                <w:sz w:val="22"/>
                <w:szCs w:val="22"/>
              </w:rPr>
              <w:t xml:space="preserve">Señal de alerta principal</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Videojuegos</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Plataformas de juego</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12-15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Pedido de credenciales fuera de la app oficial</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Redes sociales</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Instagram/TikTok/Snapchat</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12-19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Oferta de seguidores o premio con pago previo</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Sextorsión</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Redes sociales / mensajería</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14-19 años (varones)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Cambio abrupto a amenaza tras contacto íntimo</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Empleo falso</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Mensajería / correo</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16-19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Pago adelantado que debe devolverse en parte</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Regalos/influencers falsos</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Redes sociales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12-17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Cuenta casi idéntica a una verificada</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Phishing</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Correo / SMS / QR</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12-19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Enlace que solicita credenciales urgentes</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Criptomonedas</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Apps de inversión / mensajería</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16-19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Rendimiento garantizado y pago irreversible</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Citas / catfishing</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Apps de citas</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16-19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Relación acelerada con pedido de dinero</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Académicas / becas</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Correo / web</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16-18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Pago por "garantizar" una beca</w:t>
            </w:r>
          </w:p>
        </w:tc>
      </w:tr>
      <w:tr>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Smishing</w:t>
            </w:r>
          </w:p>
        </w:tc>
        <w:tc>
          <w:tcPr>
            <w:tcW w:type="dxa" w:w="19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SMS / WhatsApp</w:t>
            </w:r>
          </w:p>
        </w:tc>
        <w:tc>
          <w:tcPr>
            <w:tcW w:type="dxa" w:w="220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12-19 años</w:t>
            </w:r>
          </w:p>
        </w:tc>
        <w:tc>
          <w:tcPr>
            <w:tcW w:type="dxa" w:w="2460"/>
            <w:tcBorders>
              <w:top w:val="none" w:color="FFFFFF" w:sz="0"/>
              <w:left w:val="none" w:color="FFFFFF" w:sz="0"/>
              <w:bottom w:val="none" w:color="FFFFFF" w:sz="0"/>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Mensaje de familiar en apuros o paquetería</w:t>
            </w:r>
          </w:p>
        </w:tc>
      </w:tr>
      <w:tr>
        <w:tc>
          <w:tcPr>
            <w:tcW w:type="dxa" w:w="22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Pig butchering</w:t>
            </w:r>
          </w:p>
        </w:tc>
        <w:tc>
          <w:tcPr>
            <w:tcW w:type="dxa" w:w="19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Apps de citas + inversión</w:t>
            </w:r>
          </w:p>
        </w:tc>
        <w:tc>
          <w:tcPr>
            <w:tcW w:type="dxa" w:w="220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Adultos jóvenes / 16-19 con cripto propia</w:t>
            </w:r>
          </w:p>
        </w:tc>
        <w:tc>
          <w:tcPr>
            <w:tcW w:type="dxa" w:w="2460"/>
            <w:tcBorders>
              <w:top w:val="none" w:color="FFFFFF" w:sz="0"/>
              <w:left w:val="none" w:color="FFFFFF" w:sz="0"/>
              <w:bottom w:val="single" w:color="000000" w:sz="6"/>
              <w:right w:val="none" w:color="FFFFFF" w:sz="0"/>
            </w:tcBorders>
          </w:tcPr>
          <w:p>
            <w:pPr>
              <w:spacing w:after="0" w:before="0" w:line="480" w:lineRule="auto"/>
            </w:pPr>
            <w:r>
              <w:rPr>
                <w:rFonts w:ascii="Times New Roman" w:cs="Times New Roman" w:eastAsia="Times New Roman" w:hAnsi="Times New Roman"/>
                <w:b w:val="false"/>
                <w:bCs w:val="false"/>
                <w:sz w:val="22"/>
                <w:szCs w:val="22"/>
              </w:rPr>
              <w:t xml:space="preserve">Ganancias simuladas que piden reinversión</w:t>
            </w:r>
          </w:p>
        </w:tc>
      </w:tr>
    </w:tbl>
    <w:p>
      <w:pPr>
        <w:spacing w:after="0" w:before="0" w:line="480" w:lineRule="auto"/>
        <w:jc w:val="left"/>
      </w:pPr>
      <w:r>
        <w:rPr>
          <w:rFonts w:ascii="Times New Roman" w:cs="Times New Roman" w:eastAsia="Times New Roman" w:hAnsi="Times New Roman"/>
          <w:b/>
          <w:bCs/>
          <w:sz w:val="24"/>
          <w:szCs w:val="24"/>
        </w:rPr>
        <w:t xml:space="preserve">Anexo D. Protocolo de actuación ante un caso sospechado (Bolivia)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Esta guía traduce lo expuesto en la sección 12 en pasos concretos y verificables para el contexto boliviano, con base en los canales de denuncia efectivamente vigentes al momento de esta investigación.</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1. No pagar ni responder a la amenaza. Ceder a una primera exigencia de pago en un caso de sextorsión no detiene la extorsión: la evidencia reunida en la sección 6.3 muestra que, con frecuencia, la escalada continúa después del primer pago.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2. Preservar la evidencia antes de bloquear o borrar. Tomar capturas de pantalla de perfiles, mensajes y publicaciones, y guardarlas en un lugar seguro, evitando eliminar las conversaciones originales del dispositivo o de la cuenta, tal como recomienda el protocolo de S.O.S. Digital de Internet Bolivia (2025).</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3. Contactar a un adulto de confianza de inmediato. En el caso de un adolescente, esto puede ser un familiar, un docente o el personal de orientación escolar; el objetivo es romper el aislamiento en el que suelen operar estos esquemas.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4. Acudir a la Defensoría de la Niñez y Adolescencia del municipio correspondiente, servicio gratuito disponible en todos los gobiernos municipales bolivianos. En Santa Cruz de la Sierra, la línea de atención es el 156; en La Paz existen líneas de WhatsApp por macrodistrito; a nivel nacional, la Defensoría del Pueblo dispone de la línea gratuita 800-10-8004.</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5. Presentar la denuncia formal ante la División de Cibercrimen de la FELCC o ante el Ministerio Público (Fiscalía), que puede recibirse de forma verbal (con obligación de formalizarse por escrito dentro de 24 horas) o directamente por escrito.</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6. Para orientación inmediata y gratuita sobre violencia digital, contactar a S.O.S. Digital (Internet Bolivia) a través del número 62342430, disponible por WhatsApp, Signal y Telegram.</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7. No exponer públicamente el caso ni confrontar directamente al estafador. La exposición pública puede acelerar la difusión del material amenazado, y la confrontación directa rara vez detiene a redes organizadas como las descritas en la sección 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2026-09-13T15:54:55.089Z</dcterms:created>
  <dcterms:modified xsi:type="dcterms:W3CDTF">2026-09-13T15:54:55.103Z</dcterms:modified>
</cp:coreProperties>
</file>

<file path=docProps/custom.xml><?xml version="1.0" encoding="utf-8"?>
<Properties xmlns="http://schemas.openxmlformats.org/officeDocument/2006/custom-properties" xmlns:vt="http://schemas.openxmlformats.org/officeDocument/2006/docPropsVTypes"/>
</file>