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monografía analiza las modalidades de estafa en línea más comunes dirigidas a la población adolescente, un grupo etario que combina alta exposición digital con rasgos psicosociales de desarrollo que lo hacen particularmente vulnerable a la manipulación. Mediante un análisis documental de patrones recurrentes reportados por organismos de ciberseguridad y protección infantil, se sistematizan diez tipologías principales de fraude —entre ellas las estafas en videojuegos, la sextorsión, el fraude de empleo falso, las estafas de criptomonedas y el phishing dirigido— describiendo su mecanismo de operación, sus señales de alerta y su impacto psicológico, social y económico en las víctimas. El trabajo concluye que la respuesta más sostenible frente a este fenómeno no radica en la restricción del acceso tecnológico, sino en el desarrollo de alfabetización digital crítica, la comunicación familiar no punitiva y el fortalecimiento de los marcos legales e institucionales de protección.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educación digital.</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 Introducción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2. Planteamiento del problema y justificación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3. Objetivos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3.1. Objetivo general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3.2. Objetivos específicos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4. Marco teórico y conceptual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4.1. La adolescencia como etapa de vulnerabilidad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4.2. Ingeniería social: fundamentos conceptuales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4.3. La economía digital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5. Metodología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 Estafas en videojuegos y plataformas de juego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6.2. Estafas en redes sociales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6.3. Sextorsión y extorsión sexual financiera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6.4. Estafas de empleo falso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6.5. Estafas de regalos e influencers falsos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6.6. Phishing y suplantación de identidad</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6.7. Estafas de criptomonedas e inversión falsa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6.8. Aplicaciones de citas y catfishing</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6.9. Estafas académicas y de becas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6.10. Smishing y estafas por mensajería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7. Perfil del estafador y modus operandi</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8. Impacto en la víctima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9. Panorama comparado por región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10. Marco legal e institucional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11. Estrategias de prevención y educación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12. Conclusiones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13. Referencias</w:t>
      </w:r>
    </w:p>
    <w:p>
      <w:pPr>
        <w:pageBreakBefore/>
        <w:spacing w:after="0" w:before="0" w:line="480" w:lineRule="auto"/>
        <w:jc w:val="center"/>
      </w:pPr>
      <w:r>
        <w:rPr>
          <w:rFonts w:ascii="Times New Roman" w:cs="Times New Roman" w:eastAsia="Times New Roman" w:hAnsi="Times New Roman"/>
          <w:b/>
          <w:bCs/>
          <w:sz w:val="24"/>
          <w:szCs w:val="24"/>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ha transformado la manera en que los adolescentes se comunican, aprenden, juegan y construyen su identidad social. Sin embargo, ese mismo entorno digital que ofrece oportunidades de conexión y desarrollo se ha convertido también en un terreno fértil para la delincuencia organizada y oportunista, que ha identificado en la población adolescente un blanco particularmente rentable.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adolescentes —comprendidos aquí entre los 12 y los 19 años— destinan una parte considerable de su tiempo diario a dispositivos móviles, redes sociales, plataformas de videojuegos y aplicaciones de mensajería instantánea. Esta hiperconectividad, sumada a rasgos propios del desarrollo cognitivo y emocional de la etapa —la búsqueda de aceptación social, la impulsividad, la necesidad de pertenencia grupal y una confianza aún poco calibrada frente a desconocidos—, genera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presente monografía tiene como propósito analizar de manera sistemática las modalidades de estafa en línea más frecuentes dirigidas a adolescentes, examinando su mecanismo operativo, el perfil de las víctimas, el impacto que generan y las estrategias de prevención disponibles, con el fin de ofrecer una herramienta de referencia útil para familias, educadores e instituciones dedicadas a la protección de menores en el entorno digital.</w:t>
      </w:r>
    </w:p>
    <w:p>
      <w:pPr>
        <w:spacing w:after="0" w:before="0" w:line="480" w:lineRule="auto"/>
        <w:jc w:val="center"/>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Diversos organismos de ciberseguridad y protección infantil han documentado un incremento sostenido de los reportes de fraude dirigidos a menores y adolescentes en la última década. Este crecimiento obedece a factores concurrentes: la expansión del acceso a internet móvil, que ha reducido la supervisión parental directa; la proliferación de sistemas de pago digital (tarjetas prepago, billeteras electrónicas, criptomonedas) que normalizan el manejo autónomo de dinero por parte de menores; la sofisticación creciente de las técnicas de ingeniería social, hoy potenciadas por inteligencia artificial generativa; y una cultura de inmediatez que las estafas explotan ofreciendo soluciones aparentemente instantáneas a deseos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Tradicionalmente, los esfuerzos de concientización sobre fraude digital se han concentrado en niños pequeños, protegidos mediante control parental, y en adultos mayores, considerados vulnerables por brecha tecnológica. Los adolescentes han quedado en un punto ciego relativo: se asume que, por su soltura técnica, están protegidos, cuando en realidad la familiaridad con la tecnología no equivale a criterio crítico frente a la manipulación. Esta falacia de la competencia digital constituye uno de los factores estructurales que explican el crecimiento de las estafas dirigidas a este grupo etario, y justifica un análisis específico y diferenciado del problema.</w:t>
      </w:r>
    </w:p>
    <w:p>
      <w:pPr>
        <w:spacing w:after="0" w:before="0" w:line="480" w:lineRule="auto"/>
        <w:jc w:val="center"/>
      </w:pPr>
      <w:r>
        <w:rPr>
          <w:rFonts w:ascii="Times New Roman" w:cs="Times New Roman" w:eastAsia="Times New Roman" w:hAnsi="Times New Roman"/>
          <w:b/>
          <w:bCs/>
          <w:sz w:val="24"/>
          <w:szCs w:val="24"/>
        </w:rPr>
        <w:t xml:space="preserve">3. Objetivos</w:t>
      </w:r>
    </w:p>
    <w:p>
      <w:pPr>
        <w:spacing w:after="0" w:before="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su impacto y las estrategias de prevención disponibles, con el fin de aportar una herramienta de referencia para la protección digital de este grupo etario.</w:t>
      </w:r>
    </w:p>
    <w:p>
      <w:pPr>
        <w:spacing w:after="0" w:before="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los actores que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el marco legal e institucional disponible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dirigidas a adolescentes, familias, instituciones educativas y plataformas tecnológicas.</w:t>
      </w:r>
    </w:p>
    <w:p>
      <w:pPr>
        <w:pageBreakBefore/>
        <w:spacing w:after="0" w:before="0" w:line="480" w:lineRule="auto"/>
        <w:jc w:val="center"/>
      </w:pPr>
      <w:r>
        <w:rPr>
          <w:rFonts w:ascii="Times New Roman" w:cs="Times New Roman" w:eastAsia="Times New Roman" w:hAnsi="Times New Roman"/>
          <w:b/>
          <w:bCs/>
          <w:sz w:val="24"/>
          <w:szCs w:val="24"/>
        </w:rPr>
        <w:t xml:space="preserve">4. Marco teórico y conceptual</w:t>
      </w:r>
    </w:p>
    <w:p>
      <w:pPr>
        <w:spacing w:after="0" w:before="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en desarrollo hasta bien entrada la juventud adulta. Esto implica que los adolescentes son, en promedio, más propensos a tomar decisiones basadas en la recompensa inmediata que en la evaluación cuidadosa de sus consecuencias a largo plazo (Steinberg, 2008). Una oferta de ganancia rápida activa el sistema de recompensa antes de que el sistema de evaluación de riesgo procese las señales de alerta correspondientes.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esta característica cognitiva se suma la particular sensibilidad de la adolescencia a la aceptación del grupo de pares, la tendencia a confiar en figuras percibidas como autoridad legítima —administradores de plataformas, soporte técnico, cuentas verificadas— y un nivel de alfabetización financiera todavía incipiente, factores que en conjunto explican la eficacia de numerosos esquemas de manipulación digital dirigidos a este público.</w:t>
      </w:r>
    </w:p>
    <w:p>
      <w:pPr>
        <w:spacing w:after="0" w:before="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ingeniería social se define como el conjunto de técnicas de manipulación psicológica orientadas a inducir a una persona a realizar una acción o divulgar información que beneficia al atacante (Mitnick &amp; Simon, 2002). Entre los principios que sustentan su eficacia se encuentran la reciprocidad, la urgencia artificial, la prueba social y la autoridad simulada, principios que se identifican de manera recurrente en las modalidades de fraude analizadas en esta monografía.</w:t>
      </w:r>
    </w:p>
    <w:p>
      <w:pPr>
        <w:spacing w:after="0" w:before="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generado una economía digital adolescente caracterizada por transacciones frecuentes de bajo monto, activos virtuales de valor simbólico y financiero, y un manejo de medios de pago —tarjetas de regalo, billeteras digitales, criptomonedas— que ofrece escasa o nula posibilidad de reversión, condición que resulta especialmente atractiva para quienes diseñan esquemas de fraude.</w:t>
      </w:r>
    </w:p>
    <w:p>
      <w:pPr>
        <w:spacing w:after="0" w:before="0" w:line="480" w:lineRule="auto"/>
        <w:jc w:val="center"/>
      </w:pPr>
      <w:r>
        <w:rPr>
          <w:rFonts w:ascii="Times New Roman" w:cs="Times New Roman" w:eastAsia="Times New Roman" w:hAnsi="Times New Roman"/>
          <w:b/>
          <w:bCs/>
          <w:sz w:val="24"/>
          <w:szCs w:val="24"/>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y de sistematización de patrones. La información se organizó a partir de la revisión de informes institucionales de organismos de ciberseguridad y protección infantil, literatura especializada sobre desarrollo adolescente y manipulación psicológica, y la categorización de las modalidades de fraude según el canal de contacto inicial (redes sociales, videojuegos, mensajería, correo electrónico) y el objetivo final del estafador (obtención de dinero, de datos personales o de material sensible). Se reconstruyó, además, el ciclo típico de una estafa —contacto inicial, generación de confianza, creación de urgencia, solicitud de acción y explotación— como marco analítico transversal a las distintas tipologías.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análisis no sustituye una investigación criminológica primaria ni un estudio estadístico con datos propios, sino que constituye una sistematización orientada a la prevención, útil para familias, docentes, adolescentes y profesionales del área de protección digital.</w:t>
      </w:r>
    </w:p>
    <w:p>
      <w:pPr>
        <w:pageBreakBefore/>
        <w:spacing w:after="0" w:before="0" w:line="480" w:lineRule="auto"/>
        <w:jc w:val="center"/>
      </w:pPr>
      <w:r>
        <w:rPr>
          <w:rFonts w:ascii="Times New Roman" w:cs="Times New Roman" w:eastAsia="Times New Roman" w:hAnsi="Times New Roman"/>
          <w:b/>
          <w:bCs/>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constituyen uno de los ecosistemas más explotados por estafadores que apuntan a adolescentes. Entre los mecanismos identificados se encuentran las estafas de intercambio, en las que el estafador ofrece canjear un objeto de valor y desaparece tras recibir el de la víctima; los sitios falsos de generación gratuita de monedas o artículos virtuales, diseñados para robar credenciales de acceso; los falsos servicios de mejora de rango que solicitan las credenciales de la cuenta con el mismo fin; las estafas de streamers que anuncian sorteos falsos exigiendo una tarifa previa; y los reversos fraudulentos de pago (chargebacks) en mercados de compraventa entre jugadores.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más frecuentes incluyen la presión para actuar de inmediato, la solicitud de enviar primero el objeto o el pago, direcciones web que imitan a las oficiales y solicitudes de credenciales fuera de la plataforma legítima del juego.</w:t>
      </w:r>
    </w:p>
    <w:p>
      <w:pPr>
        <w:spacing w:after="0" w:before="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redes sociales concentran estafas relacionadas con imagen personal, popularidad y monetización de contenido. Se documentan ofertas fraudulentas de aumento de seguidores o verificación de cuenta, propuestas de colaboración de marca falsas dirigidas a adolescentes con perfiles de alcance moderado, enlaces de phishing disfrazados de encuestas virales, esquemas piramidales presentados como oportunidades de emprendimiento digital, y concursos falsos que suplantan marcas reconocidas exigiendo el pago previo de impuestos o gastos de envío para liberar un premio inexistente.</w:t>
      </w:r>
    </w:p>
    <w:p>
      <w:pPr>
        <w:spacing w:after="0" w:before="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sextorsión constituye una de las modalidades de mayor gravedad documentadas contra adolescentes, con un crecimiento particularmente pronunciado entre varones de 14 a 17 años (National Center for Missing &amp; Exploited Children [NCMEC], 2023). El mecanismo típico involucra la creación de un perfil falso que establece contacto romántico acelerado, la obtención de imágenes o videos íntimos, y un cambio abrupto hacia la amenaza de difusión del material si no se realiza un pago inmediato, generalmente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hace que la mayoría de las víctimas no denuncien ni busquen ayuda de un adulto, prolongando su exposición al chantaje. Se han documentado desenlaces trágicos, incluyendo casos de autolesión y suicidio, y una vinculación frecuente de estos esquemas con redes de crimen organizado transnacional que operan con guiones de conversación estandarizados dirigidos simultáneamente a numerosas víctimas (Thorn, 2022).</w:t>
      </w:r>
    </w:p>
    <w:p>
      <w:pPr>
        <w:spacing w:after="0" w:before="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de generar ingresos propios, numerosos adolescentes son blanco de ofertas de empleo fraudulentas. Entre ellas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no reembolsable, y el reclutamiento como intermediarios financieros («mulas de dinero»), que expone a la víctima a responsabilidad legal por delitos de lavado de activos sin que esta comprenda cabalmente la gravedad de la situación.</w:t>
      </w:r>
    </w:p>
    <w:p>
      <w:pPr>
        <w:spacing w:after="0" w:before="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regalos de dispositivos electrónicos o experiencias exclusivas. El uso de comentarios y cuentas automatizadas que simulan ganadores previos genera una prueba social falsa que reduce la sospecha de la víctima, a quien finalmente se solicita el envío de datos personales sensibles o el pago de una tarifa de verificación.</w:t>
      </w:r>
    </w:p>
    <w:p>
      <w:pPr>
        <w:spacing w:after="0" w:before="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ha evolucionado hacia ataques personalizados que aprovechan las plataformas de mayor uso entre este público: suplantación de portales educativos, notificaciones falsas de suspensión de cuentas de entretenimiento, mensajes de texto que solicitan el reenvío de códigos de verificación bajo pretextos engañosos, y enlaces acortados o códigos QR maliciosos que ocultan el destino real de la redirección.</w:t>
      </w:r>
    </w:p>
    <w:p>
      <w:pPr>
        <w:spacing w:after="0" w:before="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creciente de los adolescentes en criptomonedas, impulsado por una cultura de enriquecimiento rápido difundida en redes sociales, ha generado esquemas Ponzi disfrazados de plataformas de inversión automatizada, falsos repartos gratuitos («airdrops») o preventas exclusivas que solicitan un pago previo de «activación», y esquemas de manipulación de precios («pump and dump») coordinados en grupos de mensajería, de los que se benefician los organizadores en perjuicio de los nuevos participantes.</w:t>
      </w:r>
    </w:p>
    <w:p>
      <w:pPr>
        <w:spacing w:after="0" w:before="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Pese a que la mayoría de las aplicaciones de citas establecen una edad mínima de acceso, un número significativo de adolescentes falsea su edad para utilizarlas. Allí se documentan casos de catfishing con fines económicos, mediante identidades completamente falsas orientadas 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spacing w:after="0" w:before="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principalmente a adolescentes en los últimos años de educación secundaria, estas estafas incluyen consultoras de becas falsas que cobran por «garantizar» el acceso a financiamiento educativo, portales falsos que imitan a instituciones u organismos gubernamentales de ayuda financiera, y la venta de exámenes o certificaciones falsas sin ningún valor real.</w:t>
      </w:r>
    </w:p>
    <w:p>
      <w:pPr>
        <w:spacing w:after="0" w:before="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instantánea continúan siendo un canal relevante para estafas que buscan una respuesta impulsiva: mensajes que simulan ser de un familiar en apuros, falsas notificaciones de paquetería que solicitan un pago de aduana, y cadenas de mensajes que ofrecen premios a cambio de datos personales y reenvíos masivos.</w:t>
      </w:r>
    </w:p>
    <w:p>
      <w:pPr>
        <w:pageBreakBefore/>
        <w:spacing w:after="0" w:before="0" w:line="480" w:lineRule="auto"/>
        <w:jc w:val="center"/>
      </w:pPr>
      <w:r>
        <w:rPr>
          <w:rFonts w:ascii="Times New Roman" w:cs="Times New Roman" w:eastAsia="Times New Roman" w:hAnsi="Times New Roman"/>
          <w:b/>
          <w:bCs/>
          <w:sz w:val="24"/>
          <w:szCs w:val="24"/>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apunta de manera creciente hacia estructuras organizadas que operan con división de tareas especializada —creación de perfiles falsos, negociación psicológica y procesamiento del dinero obtenido—, guiones de conversación estandarizados que se replican de manera casi idéntica contra miles de víctimas, uso de herramientas de automatización e inteligencia artificial para la generación de imágenes y voces sintéticas, y una operación frecuentemente transnacional que dificulta la investigación y persecución penal (Europol, 2023). Estos actores explotan además las funcionalidades legítimas de las propias plataformas —sistemas de pago integrados, mensajería directa, contenido efímero— para maximizar su efectividad y minimizar su rastro digital.</w:t>
      </w:r>
    </w:p>
    <w:p>
      <w:pPr>
        <w:spacing w:after="0" w:before="0" w:line="480" w:lineRule="auto"/>
        <w:jc w:val="center"/>
      </w:pPr>
      <w:r>
        <w:rPr>
          <w:rFonts w:ascii="Times New Roman" w:cs="Times New Roman" w:eastAsia="Times New Roman" w:hAnsi="Times New Roman"/>
          <w:b/>
          <w:bCs/>
          <w:sz w:val="24"/>
          <w:szCs w:val="24"/>
        </w:rPr>
        <w:t xml:space="preserve">8. Impacto en la víctima adolescente</w:t>
      </w:r>
    </w:p>
    <w:p>
      <w:pPr>
        <w:spacing w:after="0" w:before="0" w:line="480" w:lineRule="auto"/>
        <w:jc w:val="left"/>
      </w:pPr>
      <w:r>
        <w:rPr>
          <w:rFonts w:ascii="Times New Roman" w:cs="Times New Roman" w:eastAsia="Times New Roman" w:hAnsi="Times New Roman"/>
          <w:b/>
          <w:bCs/>
          <w:sz w:val="24"/>
          <w:szCs w:val="24"/>
        </w:rPr>
        <w:t xml:space="preserve">8.1.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puede generar vergüenza, culpa y humillación —particularmente en casos de sextorsión—, ansiedad e hipervigilancia ante la posibilidad de exposición pública, pérdida de confianza interpersonal y, en los casos más severos, ideación suicida y autolesión cuando la víctima percibe que no existe una salida sin consecuencias sociales devastadoras.</w:t>
      </w:r>
    </w:p>
    <w:p>
      <w:pPr>
        <w:spacing w:after="0" w:before="0" w:line="480" w:lineRule="auto"/>
        <w:jc w:val="left"/>
      </w:pPr>
      <w:r>
        <w:rPr>
          <w:rFonts w:ascii="Times New Roman" w:cs="Times New Roman" w:eastAsia="Times New Roman" w:hAnsi="Times New Roman"/>
          <w:b/>
          <w:bCs/>
          <w:sz w:val="24"/>
          <w:szCs w:val="24"/>
        </w:rPr>
        <w:t xml:space="preserve">8.2.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Entre las consecuencias sociales se identifican el deterioro de las relaciones familiares cuando la víctima oculta la situación por temor a la reacción de sus padres, la estigmatización entre pares y el bajo rendimiento o deserción escolar derivados del estrés emocional asociado.</w:t>
      </w:r>
    </w:p>
    <w:p>
      <w:pPr>
        <w:spacing w:after="0" w:before="0" w:line="480" w:lineRule="auto"/>
        <w:jc w:val="left"/>
      </w:pPr>
      <w:r>
        <w:rPr>
          <w:rFonts w:ascii="Times New Roman" w:cs="Times New Roman" w:eastAsia="Times New Roman" w:hAnsi="Times New Roman"/>
          <w:b/>
          <w:bCs/>
          <w:sz w:val="24"/>
          <w:szCs w:val="24"/>
        </w:rPr>
        <w:t xml:space="preserve">8.3.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involucrar ahorros personales o cuentas familiares a las que el adolescente tiene acceso, mientras que esquemas de cheques falsos o reclutamiento como intermediario financiero pueden derivar en endeudamiento no anticipado y en consecuencias legales inesperadas para la víctima.</w:t>
      </w:r>
    </w:p>
    <w:p>
      <w:pPr>
        <w:spacing w:after="0" w:before="0" w:line="480" w:lineRule="auto"/>
        <w:jc w:val="center"/>
      </w:pPr>
      <w:r>
        <w:rPr>
          <w:rFonts w:ascii="Times New Roman" w:cs="Times New Roman" w:eastAsia="Times New Roman" w:hAnsi="Times New Roman"/>
          <w:b/>
          <w:bCs/>
          <w:sz w:val="24"/>
          <w:szCs w:val="24"/>
        </w:rPr>
        <w:t xml:space="preserve">9.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Si bien las modalidades descritas presentan un patrón global consistente, existen matices regionales relevantes. En América Latina se observa una alta prevalencia de estafas vinculadas a videojuegos y aplicaciones de mensajería, junto con el uso extendido de tarjetas de regalo como método de pago exigido por los estafadores. En Norteamérica destaca la incidencia documentada de sextorsión financiera dirigida a adolescentes varones y esquemas de empleo falso vinculados al crimen organizado internacional. En Europa se registra una fuerte incidencia de fraude relacionado con criptomonedas, en un contexto regulatorio comparativamente más desarrollado. En Asia-Pacífico predominan las estafas vinculadas a comercio electrónico y microtransacciones en videojuegos móviles.</w:t>
      </w:r>
    </w:p>
    <w:p>
      <w:pPr>
        <w:spacing w:after="0" w:before="0" w:line="480" w:lineRule="auto"/>
        <w:jc w:val="center"/>
      </w:pPr>
      <w:r>
        <w:rPr>
          <w:rFonts w:ascii="Times New Roman" w:cs="Times New Roman" w:eastAsia="Times New Roman" w:hAnsi="Times New Roman"/>
          <w:b/>
          <w:bCs/>
          <w:sz w:val="24"/>
          <w:szCs w:val="24"/>
        </w:rPr>
        <w:t xml:space="preserve">10.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Uno de los mayores obstáculos para la persecución efectiva de estos delitos es su naturaleza transnacional, que genera dificultades para determinar la autoridad competente y ralentiza los procesos de cooperación judicial internacional frente a la velocidad con la que operan y desaparecen estas redes. Diversos países han avanzado en los últimos años en legislación específica que tipifica la sextorsión y la difusión no consentida de material íntimo como delitos agravados cuando la víctima es menor de edad, en regulaciones que exigen a las plataformas mecanismos de verificación de edad y reporte obligatorio, y en marcos de protección de datos que restringen el tratamiento de información personal de menores. Persiste, no obstante, un debate abierto sobre el grado de responsabilidad que corresponde a las plataformas tecnológicas en la detección proactiva y la respuesta oportuna ante estos esquemas de fraude.</w:t>
      </w:r>
    </w:p>
    <w:p>
      <w:pPr>
        <w:pageBreakBefore/>
        <w:spacing w:after="0" w:before="0" w:line="480" w:lineRule="auto"/>
        <w:jc w:val="center"/>
      </w:pPr>
      <w:r>
        <w:rPr>
          <w:rFonts w:ascii="Times New Roman" w:cs="Times New Roman" w:eastAsia="Times New Roman" w:hAnsi="Times New Roman"/>
          <w:b/>
          <w:bCs/>
          <w:sz w:val="24"/>
          <w:szCs w:val="24"/>
        </w:rPr>
        <w:t xml:space="preserve">11.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sugiere que las estrategias de prevención más efectivas combinan varios niveles de intervención. En primer lugar, la educación crítica sobre los mecanismos psicológicos de manipulación —urgencia artificial, prueba social falsa, reciprocidad manipulada y autoridad simulada— resulta más efectiva que la memorización de listas de señales de alerta descontextualizadas. En segundo lugar, la normalización de la denuncia sin castigo es determinante para reducir el tiempo de exposición al chantaje en casos de sextorsión, dado que el temor a la reacción parental constituye uno de los principales factores que prolongan el daño. En tercer lugar, la verificación independiente como hábito —antes de actuar frente a cualquier oferta u oportunidad— y la configuración adecuada de la privacidad y seguridad técnica de las cuentas reducen significativamente la superficie de exposición. Finalmente, la educación financiera básica aplicada al entorno digital permite comprender por qué los estafadores exigen métodos de pago irreversibles y de difícil rastreo.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responsabilidad de estas estrategias es compartida: corresponde a la familia el acompañamiento activo y la comunicación abierta y no punitiva; a las instituciones educativas, la incorporación transversal de la alfabetización digital crítica y protocolos claros de atención confidencial; y a las plataformas tecnológicas, el desarrollo de sistemas de detección temprana, advertencias contextuales para usuarios menores de edad y procesos de reporte simplificados y accesibles.</w:t>
      </w:r>
    </w:p>
    <w:p>
      <w:pPr>
        <w:spacing w:after="0" w:before="0" w:line="480" w:lineRule="auto"/>
        <w:jc w:val="center"/>
      </w:pPr>
      <w:r>
        <w:rPr>
          <w:rFonts w:ascii="Times New Roman" w:cs="Times New Roman" w:eastAsia="Times New Roman" w:hAnsi="Times New Roman"/>
          <w:b/>
          <w:bCs/>
          <w:sz w:val="24"/>
          <w:szCs w:val="24"/>
        </w:rPr>
        <w:t xml:space="preserve">12.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análisis realizado permite concluir que las estafas en línea dirigidas a adolescentes no constituyen un fenómeno marginal ni accidental, sino una industria delictiva organizada, adaptativa y en constante evolución, que ha identificado con precisión las vulnerabilidades psicosociales propias de esta etapa del desarrollo humano para diseñar mecanismos de manipulación altamente efectivos.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identificadas —desde el fraude en videojuegos hasta la sextorsión, pasando por esquemas de empleo falso, inversión fraudulenta y suplantación de identidad— revela que ningún espacio digital frecuentado por adolescentes está exento de riesgo. No obstante, existe un patrón común subyacente en todas ellas: la explotación deliberada de la confianza, la urgencia, la necesidad de pertenencia y la falta de experiencia financiera y emocional propia de la adolescencia.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este panorama, la respuesta más efectiva no reside en la prohibición del uso de tecnología ni en el pánico moral, sino en una estrategia integral que combine educación crítica continua, comunicación familiar abierta y no punitiva, protocolos institucionales claros, marcos legales robustos y actualizados, y un compromiso genuino de las plataformas tecnológicas con la protección de sus usuarios más jóvenes. Empoderar a los adolescentes con herramientas de pensamiento crítico constituye la estrategia más sostenible para reducir su vulnerabilidad, permitiéndoles al mismo tiempo aprovechar los beneficios legítimos que la conectividad digital ofrece a su desarrollo personal, social y educativo.</w:t>
      </w:r>
    </w:p>
    <w:p>
      <w:pPr>
        <w:pageBreakBefore/>
        <w:spacing w:after="0" w:before="0" w:line="480" w:lineRule="auto"/>
        <w:jc w:val="center"/>
      </w:pPr>
      <w:r>
        <w:rPr>
          <w:rFonts w:ascii="Times New Roman" w:cs="Times New Roman" w:eastAsia="Times New Roman" w:hAnsi="Times New Roman"/>
          <w:b/>
          <w:bCs/>
          <w:sz w:val="24"/>
          <w:szCs w:val="24"/>
        </w:rPr>
        <w:t xml:space="preserve">13.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Federal Bureau of Investigation, Internet Crime Complaint Center [IC3]. (2023). </w:t>
      </w:r>
      <w:r>
        <w:rPr>
          <w:rFonts w:ascii="Times New Roman" w:cs="Times New Roman" w:eastAsia="Times New Roman" w:hAnsi="Times New Roman"/>
          <w:i/>
          <w:iCs/>
          <w:sz w:val="24"/>
          <w:szCs w:val="24"/>
        </w:rPr>
        <w:t xml:space="preserve">Internet Crime Report 2023.</w:t>
      </w:r>
      <w:r>
        <w:rPr>
          <w:rFonts w:ascii="Times New Roman" w:cs="Times New Roman" w:eastAsia="Times New Roman" w:hAnsi="Times New Roman"/>
          <w:i w:val="false"/>
          <w:iCs w:val="false"/>
          <w:sz w:val="24"/>
          <w:szCs w:val="24"/>
        </w:rPr>
        <w:t xml:space="preserve"> Departamento de Justicia de los Estados Unidos.</w:t>
      </w:r>
    </w:p>
    <w:p>
      <w:pPr>
        <w:spacing w:after="0" w:before="0" w:line="480" w:lineRule="auto"/>
        <w:ind w:left="720" w:hanging="720"/>
      </w:pPr>
      <w:r>
        <w:rPr>
          <w:rFonts w:ascii="Times New Roman" w:cs="Times New Roman" w:eastAsia="Times New Roman" w:hAnsi="Times New Roman"/>
          <w:i w:val="false"/>
          <w:iCs w:val="false"/>
          <w:sz w:val="24"/>
          <w:szCs w:val="24"/>
        </w:rPr>
        <w:t xml:space="preserve">Federal Trade Commission. (2023). </w:t>
      </w:r>
      <w:r>
        <w:rPr>
          <w:rFonts w:ascii="Times New Roman" w:cs="Times New Roman" w:eastAsia="Times New Roman" w:hAnsi="Times New Roman"/>
          <w:i/>
          <w:iCs/>
          <w:sz w:val="24"/>
          <w:szCs w:val="24"/>
        </w:rPr>
        <w:t xml:space="preserve">Consumer Sentinel Network Data Book 2023.</w:t>
      </w:r>
      <w:r>
        <w:rPr>
          <w:rFonts w:ascii="Times New Roman" w:cs="Times New Roman" w:eastAsia="Times New Roman" w:hAnsi="Times New Roman"/>
          <w:i w:val="false"/>
          <w:iCs w:val="false"/>
          <w:sz w:val="24"/>
          <w:szCs w:val="24"/>
        </w:rPr>
        <w:t xml:space="preserve"> Federal Trade Commission.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(2023). </w:t>
      </w:r>
      <w:r>
        <w:rPr>
          <w:rFonts w:ascii="Times New Roman" w:cs="Times New Roman" w:eastAsia="Times New Roman" w:hAnsi="Times New Roman"/>
          <w:i/>
          <w:iCs/>
          <w:sz w:val="24"/>
          <w:szCs w:val="24"/>
        </w:rPr>
        <w:t xml:space="preserve">CyberTipline 2023 Report.</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(2022). </w:t>
      </w:r>
      <w:r>
        <w:rPr>
          <w:rFonts w:ascii="Times New Roman" w:cs="Times New Roman" w:eastAsia="Times New Roman" w:hAnsi="Times New Roman"/>
          <w:i/>
          <w:iCs/>
          <w:sz w:val="24"/>
          <w:szCs w:val="24"/>
        </w:rPr>
        <w:t xml:space="preserve">Teens, social media and technology 2022.</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(2022). </w:t>
      </w:r>
      <w:r>
        <w:rPr>
          <w:rFonts w:ascii="Times New Roman" w:cs="Times New Roman" w:eastAsia="Times New Roman" w:hAnsi="Times New Roman"/>
          <w:i/>
          <w:iCs/>
          <w:sz w:val="24"/>
          <w:szCs w:val="24"/>
        </w:rPr>
        <w:t xml:space="preserve">A report on financial sextortion: Trends and impacts on minors.</w:t>
      </w:r>
      <w:r>
        <w:rPr>
          <w:rFonts w:ascii="Times New Roman" w:cs="Times New Roman" w:eastAsia="Times New Roman" w:hAnsi="Times New Roman"/>
          <w:i w:val="false"/>
          <w:iCs w:val="false"/>
          <w:sz w:val="24"/>
          <w:szCs w:val="24"/>
        </w:rPr>
        <w:t xml:space="preserve"> Thorn.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2026-09-13T08:57:34.440Z</dcterms:created>
  <dcterms:modified xsi:type="dcterms:W3CDTF">2026-09-13T08:57:34.441Z</dcterms:modified>
</cp:coreProperties>
</file>

<file path=docProps/custom.xml><?xml version="1.0" encoding="utf-8"?>
<Properties xmlns="http://schemas.openxmlformats.org/officeDocument/2006/custom-properties" xmlns:vt="http://schemas.openxmlformats.org/officeDocument/2006/docPropsVTypes"/>
</file>