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360" w:lineRule="auto"/>
      </w:pPr>
      <w:r>
        <w:t xml:space="preserve"/>
      </w:r>
    </w:p>
    <w:p>
      <w:pPr>
        <w:spacing w:after="120" w:before="0" w:line="360" w:lineRule="auto"/>
      </w:pPr>
      <w:r>
        <w:t xml:space="preserve"/>
      </w:r>
    </w:p>
    <w:p>
      <w:pPr>
        <w:spacing w:after="120" w:before="0" w:line="360" w:lineRule="auto"/>
        <w:jc w:val="center"/>
      </w:pPr>
      <w:r>
        <w:rPr>
          <w:rFonts w:ascii="Times New Roman" w:cs="Times New Roman" w:eastAsia="Times New Roman" w:hAnsi="Times New Roman"/>
          <w:sz w:val="24"/>
          <w:szCs w:val="24"/>
        </w:rPr>
        <w:t xml:space="preserve">[Nombre de la institución educativa]</w:t>
      </w:r>
    </w:p>
    <w:p>
      <w:pPr>
        <w:spacing w:after="120" w:before="0" w:line="360" w:lineRule="auto"/>
      </w:pPr>
      <w:r>
        <w:t xml:space="preserve"/>
      </w:r>
    </w:p>
    <w:p>
      <w:pPr>
        <w:spacing w:after="120" w:before="0" w:line="360" w:lineRule="auto"/>
        <w:jc w:val="center"/>
      </w:pPr>
      <w:r>
        <w:rPr>
          <w:rFonts w:ascii="Times New Roman" w:cs="Times New Roman" w:eastAsia="Times New Roman" w:hAnsi="Times New Roman"/>
          <w:sz w:val="24"/>
          <w:szCs w:val="24"/>
        </w:rPr>
        <w:t xml:space="preserve">Área: Lenguaje y Biología</w:t>
      </w:r>
    </w:p>
    <w:p>
      <w:pPr>
        <w:spacing w:after="120" w:before="0" w:line="360" w:lineRule="auto"/>
      </w:pPr>
      <w:r>
        <w:t xml:space="preserve"/>
      </w:r>
    </w:p>
    <w:p>
      <w:pPr>
        <w:spacing w:after="120" w:before="0" w:line="360" w:lineRule="auto"/>
      </w:pPr>
      <w:r>
        <w:t xml:space="preserve"/>
      </w:r>
    </w:p>
    <w:p>
      <w:pPr>
        <w:spacing w:after="120" w:before="0" w:line="360" w:lineRule="auto"/>
      </w:pPr>
      <w:r>
        <w:t xml:space="preserve"/>
      </w:r>
    </w:p>
    <w:p>
      <w:pPr>
        <w:spacing w:after="120" w:before="0" w:line="360" w:lineRule="auto"/>
        <w:jc w:val="center"/>
      </w:pPr>
      <w:r>
        <w:rPr>
          <w:rFonts w:ascii="Times New Roman" w:cs="Times New Roman" w:eastAsia="Times New Roman" w:hAnsi="Times New Roman"/>
          <w:b/>
          <w:bCs/>
          <w:sz w:val="24"/>
          <w:szCs w:val="24"/>
        </w:rPr>
        <w:t xml:space="preserve">"Estafas en línea dirigidas a adolescentes: análisis del problema y difusión mediante textos científicos y argumentativos"</w:t>
      </w:r>
    </w:p>
    <w:p>
      <w:pPr>
        <w:spacing w:after="120" w:before="0" w:line="360" w:lineRule="auto"/>
      </w:pPr>
      <w:r>
        <w:t xml:space="preserve"/>
      </w:r>
    </w:p>
    <w:p>
      <w:pPr>
        <w:spacing w:after="120" w:before="0" w:line="360" w:lineRule="auto"/>
      </w:pPr>
      <w:r>
        <w:t xml:space="preserve"/>
      </w:r>
    </w:p>
    <w:p>
      <w:pPr>
        <w:spacing w:after="120" w:before="0" w:line="360" w:lineRule="auto"/>
      </w:pPr>
      <w:r>
        <w:t xml:space="preserve"/>
      </w:r>
    </w:p>
    <w:p>
      <w:pPr>
        <w:spacing w:after="120" w:before="0" w:line="360" w:lineRule="auto"/>
        <w:jc w:val="center"/>
      </w:pPr>
      <w:r>
        <w:rPr>
          <w:rFonts w:ascii="Times New Roman" w:cs="Times New Roman" w:eastAsia="Times New Roman" w:hAnsi="Times New Roman"/>
          <w:sz w:val="24"/>
          <w:szCs w:val="24"/>
        </w:rPr>
        <w:t xml:space="preserve">Estudiante: [Nombre del estudiante]</w:t>
      </w:r>
    </w:p>
    <w:p>
      <w:pPr>
        <w:spacing w:after="120" w:before="0" w:line="360" w:lineRule="auto"/>
        <w:jc w:val="center"/>
      </w:pPr>
      <w:r>
        <w:rPr>
          <w:rFonts w:ascii="Times New Roman" w:cs="Times New Roman" w:eastAsia="Times New Roman" w:hAnsi="Times New Roman"/>
          <w:sz w:val="24"/>
          <w:szCs w:val="24"/>
        </w:rPr>
        <w:t xml:space="preserve">Curso: Sexto de Secundaria</w:t>
      </w:r>
    </w:p>
    <w:p>
      <w:pPr>
        <w:spacing w:after="120" w:before="0" w:line="360" w:lineRule="auto"/>
        <w:jc w:val="center"/>
      </w:pPr>
      <w:r>
        <w:rPr>
          <w:rFonts w:ascii="Times New Roman" w:cs="Times New Roman" w:eastAsia="Times New Roman" w:hAnsi="Times New Roman"/>
          <w:sz w:val="24"/>
          <w:szCs w:val="24"/>
        </w:rPr>
        <w:t xml:space="preserve">Docentes: Rudy Beltrán — Silvia Barriga Shimokawa</w:t>
      </w:r>
    </w:p>
    <w:p>
      <w:pPr>
        <w:spacing w:after="120" w:before="0" w:line="360" w:lineRule="auto"/>
      </w:pPr>
      <w:r>
        <w:t xml:space="preserve"/>
      </w:r>
    </w:p>
    <w:p>
      <w:pPr>
        <w:spacing w:after="120" w:before="0" w:line="360" w:lineRule="auto"/>
      </w:pPr>
      <w:r>
        <w:t xml:space="preserve"/>
      </w:r>
    </w:p>
    <w:p>
      <w:pPr>
        <w:spacing w:after="120" w:before="0" w:line="360" w:lineRule="auto"/>
      </w:pPr>
      <w:r>
        <w:t xml:space="preserve"/>
      </w:r>
    </w:p>
    <w:p>
      <w:pPr>
        <w:spacing w:after="120" w:before="0" w:line="360" w:lineRule="auto"/>
        <w:jc w:val="center"/>
      </w:pPr>
      <w:r>
        <w:rPr>
          <w:rFonts w:ascii="Times New Roman" w:cs="Times New Roman" w:eastAsia="Times New Roman" w:hAnsi="Times New Roman"/>
          <w:sz w:val="24"/>
          <w:szCs w:val="24"/>
        </w:rPr>
        <w:t xml:space="preserve">[Lugar y fecha]</w:t>
      </w:r>
    </w:p>
    <w:p>
      <w:pPr>
        <w:pageBreakBefore/>
        <w:spacing w:after="200" w:before="360" w:line="360" w:lineRule="auto"/>
        <w:jc w:val="center"/>
      </w:pPr>
      <w:r>
        <w:rPr>
          <w:rFonts w:ascii="Times New Roman" w:cs="Times New Roman" w:eastAsia="Times New Roman" w:hAnsi="Times New Roman"/>
          <w:b/>
          <w:bCs/>
          <w:sz w:val="24"/>
          <w:szCs w:val="24"/>
        </w:rPr>
        <w:t xml:space="preserve">Índice</w:t>
      </w:r>
    </w:p>
    <w:p>
      <w:pPr>
        <w:tabs>
          <w:tab w:val="right" w:pos="9360" w:leader="dot"/>
        </w:tabs>
        <w:spacing w:after="120" w:before="0" w:line="360" w:lineRule="auto"/>
        <w:ind w:left="0"/>
      </w:pPr>
      <w:r>
        <w:rPr>
          <w:rFonts w:ascii="Times New Roman" w:cs="Times New Roman" w:eastAsia="Times New Roman" w:hAnsi="Times New Roman"/>
          <w:b/>
          <w:bCs/>
          <w:sz w:val="24"/>
          <w:szCs w:val="24"/>
        </w:rPr>
        <w:t xml:space="preserve">Introducción</w:t>
      </w:r>
      <w:r>
        <w:rPr>
          <w:rFonts w:ascii="Times New Roman" w:cs="Times New Roman" w:eastAsia="Times New Roman" w:hAnsi="Times New Roman"/>
          <w:b/>
          <w:bCs/>
          <w:sz w:val="24"/>
          <w:szCs w:val="24"/>
        </w:rPr>
        <w:t xml:space="preserve">	1</w:t>
      </w:r>
    </w:p>
    <w:p>
      <w:pPr>
        <w:tabs>
          <w:tab w:val="right" w:pos="9360" w:leader="dot"/>
        </w:tabs>
        <w:spacing w:after="120" w:before="0" w:line="360" w:lineRule="auto"/>
        <w:ind w:left="0"/>
      </w:pPr>
      <w:r>
        <w:rPr>
          <w:rFonts w:ascii="Times New Roman" w:cs="Times New Roman" w:eastAsia="Times New Roman" w:hAnsi="Times New Roman"/>
          <w:b/>
          <w:bCs/>
          <w:sz w:val="24"/>
          <w:szCs w:val="24"/>
        </w:rPr>
        <w:t xml:space="preserve">Capítulo I: Planteamiento del problema</w:t>
      </w:r>
      <w:r>
        <w:rPr>
          <w:rFonts w:ascii="Times New Roman" w:cs="Times New Roman" w:eastAsia="Times New Roman" w:hAnsi="Times New Roman"/>
          <w:b/>
          <w:bCs/>
          <w:sz w:val="24"/>
          <w:szCs w:val="24"/>
        </w:rPr>
        <w:t xml:space="preserve">	2</w:t>
      </w:r>
    </w:p>
    <w:p>
      <w:pPr>
        <w:tabs>
          <w:tab w:val="right" w:pos="9360" w:leader="dot"/>
        </w:tabs>
        <w:spacing w:after="120" w:before="0" w:line="360" w:lineRule="auto"/>
        <w:ind w:left="360"/>
      </w:pPr>
      <w:r>
        <w:rPr>
          <w:rFonts w:ascii="Times New Roman" w:cs="Times New Roman" w:eastAsia="Times New Roman" w:hAnsi="Times New Roman"/>
          <w:b w:val="false"/>
          <w:bCs w:val="false"/>
          <w:sz w:val="24"/>
          <w:szCs w:val="24"/>
        </w:rPr>
        <w:t xml:space="preserve">1.1. Problema de investigación</w:t>
      </w:r>
      <w:r>
        <w:rPr>
          <w:rFonts w:ascii="Times New Roman" w:cs="Times New Roman" w:eastAsia="Times New Roman" w:hAnsi="Times New Roman"/>
          <w:b w:val="false"/>
          <w:bCs w:val="false"/>
          <w:sz w:val="24"/>
          <w:szCs w:val="24"/>
        </w:rPr>
        <w:t xml:space="preserve">	2</w:t>
      </w:r>
    </w:p>
    <w:p>
      <w:pPr>
        <w:tabs>
          <w:tab w:val="right" w:pos="9360" w:leader="dot"/>
        </w:tabs>
        <w:spacing w:after="120" w:before="0" w:line="360" w:lineRule="auto"/>
        <w:ind w:left="360"/>
      </w:pPr>
      <w:r>
        <w:rPr>
          <w:rFonts w:ascii="Times New Roman" w:cs="Times New Roman" w:eastAsia="Times New Roman" w:hAnsi="Times New Roman"/>
          <w:b w:val="false"/>
          <w:bCs w:val="false"/>
          <w:sz w:val="24"/>
          <w:szCs w:val="24"/>
        </w:rPr>
        <w:t xml:space="preserve">1.2. Justificación</w:t>
      </w:r>
      <w:r>
        <w:rPr>
          <w:rFonts w:ascii="Times New Roman" w:cs="Times New Roman" w:eastAsia="Times New Roman" w:hAnsi="Times New Roman"/>
          <w:b w:val="false"/>
          <w:bCs w:val="false"/>
          <w:sz w:val="24"/>
          <w:szCs w:val="24"/>
        </w:rPr>
        <w:t xml:space="preserve">	2</w:t>
      </w:r>
    </w:p>
    <w:p>
      <w:pPr>
        <w:tabs>
          <w:tab w:val="right" w:pos="9360" w:leader="dot"/>
        </w:tabs>
        <w:spacing w:after="120" w:before="0" w:line="360" w:lineRule="auto"/>
        <w:ind w:left="360"/>
      </w:pPr>
      <w:r>
        <w:rPr>
          <w:rFonts w:ascii="Times New Roman" w:cs="Times New Roman" w:eastAsia="Times New Roman" w:hAnsi="Times New Roman"/>
          <w:b w:val="false"/>
          <w:bCs w:val="false"/>
          <w:sz w:val="24"/>
          <w:szCs w:val="24"/>
        </w:rPr>
        <w:t xml:space="preserve">1.3. Objetivos</w:t>
      </w:r>
      <w:r>
        <w:rPr>
          <w:rFonts w:ascii="Times New Roman" w:cs="Times New Roman" w:eastAsia="Times New Roman" w:hAnsi="Times New Roman"/>
          <w:b w:val="false"/>
          <w:bCs w:val="false"/>
          <w:sz w:val="24"/>
          <w:szCs w:val="24"/>
        </w:rPr>
        <w:t xml:space="preserve">	2</w:t>
      </w:r>
    </w:p>
    <w:p>
      <w:pPr>
        <w:tabs>
          <w:tab w:val="right" w:pos="9360" w:leader="dot"/>
        </w:tabs>
        <w:spacing w:after="120" w:before="0" w:line="360" w:lineRule="auto"/>
        <w:ind w:left="0"/>
      </w:pPr>
      <w:r>
        <w:rPr>
          <w:rFonts w:ascii="Times New Roman" w:cs="Times New Roman" w:eastAsia="Times New Roman" w:hAnsi="Times New Roman"/>
          <w:b/>
          <w:bCs/>
          <w:sz w:val="24"/>
          <w:szCs w:val="24"/>
        </w:rPr>
        <w:t xml:space="preserve">Capítulo II: Marco teórico</w:t>
      </w:r>
      <w:r>
        <w:rPr>
          <w:rFonts w:ascii="Times New Roman" w:cs="Times New Roman" w:eastAsia="Times New Roman" w:hAnsi="Times New Roman"/>
          <w:b/>
          <w:bCs/>
          <w:sz w:val="24"/>
          <w:szCs w:val="24"/>
        </w:rPr>
        <w:t xml:space="preserve">	3</w:t>
      </w:r>
    </w:p>
    <w:p>
      <w:pPr>
        <w:tabs>
          <w:tab w:val="right" w:pos="9360" w:leader="dot"/>
        </w:tabs>
        <w:spacing w:after="120" w:before="0" w:line="360" w:lineRule="auto"/>
        <w:ind w:left="360"/>
      </w:pPr>
      <w:r>
        <w:rPr>
          <w:rFonts w:ascii="Times New Roman" w:cs="Times New Roman" w:eastAsia="Times New Roman" w:hAnsi="Times New Roman"/>
          <w:b w:val="false"/>
          <w:bCs w:val="false"/>
          <w:sz w:val="24"/>
          <w:szCs w:val="24"/>
        </w:rPr>
        <w:t xml:space="preserve">2.1. Conceptos principales</w:t>
      </w:r>
      <w:r>
        <w:rPr>
          <w:rFonts w:ascii="Times New Roman" w:cs="Times New Roman" w:eastAsia="Times New Roman" w:hAnsi="Times New Roman"/>
          <w:b w:val="false"/>
          <w:bCs w:val="false"/>
          <w:sz w:val="24"/>
          <w:szCs w:val="24"/>
        </w:rPr>
        <w:t xml:space="preserve">	3</w:t>
      </w:r>
    </w:p>
    <w:p>
      <w:pPr>
        <w:tabs>
          <w:tab w:val="right" w:pos="9360" w:leader="dot"/>
        </w:tabs>
        <w:spacing w:after="120" w:before="0" w:line="360" w:lineRule="auto"/>
        <w:ind w:left="360"/>
      </w:pPr>
      <w:r>
        <w:rPr>
          <w:rFonts w:ascii="Times New Roman" w:cs="Times New Roman" w:eastAsia="Times New Roman" w:hAnsi="Times New Roman"/>
          <w:b w:val="false"/>
          <w:bCs w:val="false"/>
          <w:sz w:val="24"/>
          <w:szCs w:val="24"/>
        </w:rPr>
        <w:t xml:space="preserve">2.2. Fundamentación biológica</w:t>
      </w:r>
      <w:r>
        <w:rPr>
          <w:rFonts w:ascii="Times New Roman" w:cs="Times New Roman" w:eastAsia="Times New Roman" w:hAnsi="Times New Roman"/>
          <w:b w:val="false"/>
          <w:bCs w:val="false"/>
          <w:sz w:val="24"/>
          <w:szCs w:val="24"/>
        </w:rPr>
        <w:t xml:space="preserve">	3</w:t>
      </w:r>
    </w:p>
    <w:p>
      <w:pPr>
        <w:tabs>
          <w:tab w:val="right" w:pos="9360" w:leader="dot"/>
        </w:tabs>
        <w:spacing w:after="120" w:before="0" w:line="360" w:lineRule="auto"/>
        <w:ind w:left="360"/>
      </w:pPr>
      <w:r>
        <w:rPr>
          <w:rFonts w:ascii="Times New Roman" w:cs="Times New Roman" w:eastAsia="Times New Roman" w:hAnsi="Times New Roman"/>
          <w:b w:val="false"/>
          <w:bCs w:val="false"/>
          <w:sz w:val="24"/>
          <w:szCs w:val="24"/>
        </w:rPr>
        <w:t xml:space="preserve">2.3. Fundamentación desde Lenguaje</w:t>
      </w:r>
      <w:r>
        <w:rPr>
          <w:rFonts w:ascii="Times New Roman" w:cs="Times New Roman" w:eastAsia="Times New Roman" w:hAnsi="Times New Roman"/>
          <w:b w:val="false"/>
          <w:bCs w:val="false"/>
          <w:sz w:val="24"/>
          <w:szCs w:val="24"/>
        </w:rPr>
        <w:t xml:space="preserve">	3</w:t>
      </w:r>
    </w:p>
    <w:p>
      <w:pPr>
        <w:tabs>
          <w:tab w:val="right" w:pos="9360" w:leader="dot"/>
        </w:tabs>
        <w:spacing w:after="120" w:before="0" w:line="360" w:lineRule="auto"/>
        <w:ind w:left="0"/>
      </w:pPr>
      <w:r>
        <w:rPr>
          <w:rFonts w:ascii="Times New Roman" w:cs="Times New Roman" w:eastAsia="Times New Roman" w:hAnsi="Times New Roman"/>
          <w:b/>
          <w:bCs/>
          <w:sz w:val="24"/>
          <w:szCs w:val="24"/>
        </w:rPr>
        <w:t xml:space="preserve">Capítulo III: Metodología de investigación</w:t>
      </w:r>
      <w:r>
        <w:rPr>
          <w:rFonts w:ascii="Times New Roman" w:cs="Times New Roman" w:eastAsia="Times New Roman" w:hAnsi="Times New Roman"/>
          <w:b/>
          <w:bCs/>
          <w:sz w:val="24"/>
          <w:szCs w:val="24"/>
        </w:rPr>
        <w:t xml:space="preserve">	5</w:t>
      </w:r>
    </w:p>
    <w:p>
      <w:pPr>
        <w:tabs>
          <w:tab w:val="right" w:pos="9360" w:leader="dot"/>
        </w:tabs>
        <w:spacing w:after="120" w:before="0" w:line="360" w:lineRule="auto"/>
        <w:ind w:left="360"/>
      </w:pPr>
      <w:r>
        <w:rPr>
          <w:rFonts w:ascii="Times New Roman" w:cs="Times New Roman" w:eastAsia="Times New Roman" w:hAnsi="Times New Roman"/>
          <w:b w:val="false"/>
          <w:bCs w:val="false"/>
          <w:sz w:val="24"/>
          <w:szCs w:val="24"/>
        </w:rPr>
        <w:t xml:space="preserve">3.1. Tipo de investigación</w:t>
      </w:r>
      <w:r>
        <w:rPr>
          <w:rFonts w:ascii="Times New Roman" w:cs="Times New Roman" w:eastAsia="Times New Roman" w:hAnsi="Times New Roman"/>
          <w:b w:val="false"/>
          <w:bCs w:val="false"/>
          <w:sz w:val="24"/>
          <w:szCs w:val="24"/>
        </w:rPr>
        <w:t xml:space="preserve">	5</w:t>
      </w:r>
    </w:p>
    <w:p>
      <w:pPr>
        <w:tabs>
          <w:tab w:val="right" w:pos="9360" w:leader="dot"/>
        </w:tabs>
        <w:spacing w:after="120" w:before="0" w:line="360" w:lineRule="auto"/>
        <w:ind w:left="360"/>
      </w:pPr>
      <w:r>
        <w:rPr>
          <w:rFonts w:ascii="Times New Roman" w:cs="Times New Roman" w:eastAsia="Times New Roman" w:hAnsi="Times New Roman"/>
          <w:b w:val="false"/>
          <w:bCs w:val="false"/>
          <w:sz w:val="24"/>
          <w:szCs w:val="24"/>
        </w:rPr>
        <w:t xml:space="preserve">3.2. Método</w:t>
      </w:r>
      <w:r>
        <w:rPr>
          <w:rFonts w:ascii="Times New Roman" w:cs="Times New Roman" w:eastAsia="Times New Roman" w:hAnsi="Times New Roman"/>
          <w:b w:val="false"/>
          <w:bCs w:val="false"/>
          <w:sz w:val="24"/>
          <w:szCs w:val="24"/>
        </w:rPr>
        <w:t xml:space="preserve">	5</w:t>
      </w:r>
    </w:p>
    <w:p>
      <w:pPr>
        <w:tabs>
          <w:tab w:val="right" w:pos="9360" w:leader="dot"/>
        </w:tabs>
        <w:spacing w:after="120" w:before="0" w:line="360" w:lineRule="auto"/>
        <w:ind w:left="360"/>
      </w:pPr>
      <w:r>
        <w:rPr>
          <w:rFonts w:ascii="Times New Roman" w:cs="Times New Roman" w:eastAsia="Times New Roman" w:hAnsi="Times New Roman"/>
          <w:b w:val="false"/>
          <w:bCs w:val="false"/>
          <w:sz w:val="24"/>
          <w:szCs w:val="24"/>
        </w:rPr>
        <w:t xml:space="preserve">3.3. Técnicas e instrumentos</w:t>
      </w:r>
      <w:r>
        <w:rPr>
          <w:rFonts w:ascii="Times New Roman" w:cs="Times New Roman" w:eastAsia="Times New Roman" w:hAnsi="Times New Roman"/>
          <w:b w:val="false"/>
          <w:bCs w:val="false"/>
          <w:sz w:val="24"/>
          <w:szCs w:val="24"/>
        </w:rPr>
        <w:t xml:space="preserve">	5</w:t>
      </w:r>
    </w:p>
    <w:p>
      <w:pPr>
        <w:tabs>
          <w:tab w:val="right" w:pos="9360" w:leader="dot"/>
        </w:tabs>
        <w:spacing w:after="120" w:before="0" w:line="360" w:lineRule="auto"/>
        <w:ind w:left="0"/>
      </w:pPr>
      <w:r>
        <w:rPr>
          <w:rFonts w:ascii="Times New Roman" w:cs="Times New Roman" w:eastAsia="Times New Roman" w:hAnsi="Times New Roman"/>
          <w:b/>
          <w:bCs/>
          <w:sz w:val="24"/>
          <w:szCs w:val="24"/>
        </w:rPr>
        <w:t xml:space="preserve">Capítulo IV: Desarrollo de la investigación</w:t>
      </w:r>
      <w:r>
        <w:rPr>
          <w:rFonts w:ascii="Times New Roman" w:cs="Times New Roman" w:eastAsia="Times New Roman" w:hAnsi="Times New Roman"/>
          <w:b/>
          <w:bCs/>
          <w:sz w:val="24"/>
          <w:szCs w:val="24"/>
        </w:rPr>
        <w:t xml:space="preserve">	6</w:t>
      </w:r>
    </w:p>
    <w:p>
      <w:pPr>
        <w:tabs>
          <w:tab w:val="right" w:pos="9360" w:leader="dot"/>
        </w:tabs>
        <w:spacing w:after="120" w:before="0" w:line="360" w:lineRule="auto"/>
        <w:ind w:left="0"/>
      </w:pPr>
      <w:r>
        <w:rPr>
          <w:rFonts w:ascii="Times New Roman" w:cs="Times New Roman" w:eastAsia="Times New Roman" w:hAnsi="Times New Roman"/>
          <w:b/>
          <w:bCs/>
          <w:sz w:val="24"/>
          <w:szCs w:val="24"/>
        </w:rPr>
        <w:t xml:space="preserve">Capítulo V: Resultados</w:t>
      </w:r>
      <w:r>
        <w:rPr>
          <w:rFonts w:ascii="Times New Roman" w:cs="Times New Roman" w:eastAsia="Times New Roman" w:hAnsi="Times New Roman"/>
          <w:b/>
          <w:bCs/>
          <w:sz w:val="24"/>
          <w:szCs w:val="24"/>
        </w:rPr>
        <w:t xml:space="preserve">	7</w:t>
      </w:r>
    </w:p>
    <w:p>
      <w:pPr>
        <w:tabs>
          <w:tab w:val="right" w:pos="9360" w:leader="dot"/>
        </w:tabs>
        <w:spacing w:after="120" w:before="0" w:line="360" w:lineRule="auto"/>
        <w:ind w:left="0"/>
      </w:pPr>
      <w:r>
        <w:rPr>
          <w:rFonts w:ascii="Times New Roman" w:cs="Times New Roman" w:eastAsia="Times New Roman" w:hAnsi="Times New Roman"/>
          <w:b/>
          <w:bCs/>
          <w:sz w:val="24"/>
          <w:szCs w:val="24"/>
        </w:rPr>
        <w:t xml:space="preserve">Conclusiones</w:t>
      </w:r>
      <w:r>
        <w:rPr>
          <w:rFonts w:ascii="Times New Roman" w:cs="Times New Roman" w:eastAsia="Times New Roman" w:hAnsi="Times New Roman"/>
          <w:b/>
          <w:bCs/>
          <w:sz w:val="24"/>
          <w:szCs w:val="24"/>
        </w:rPr>
        <w:t xml:space="preserve">	8</w:t>
      </w:r>
    </w:p>
    <w:p>
      <w:pPr>
        <w:tabs>
          <w:tab w:val="right" w:pos="9360" w:leader="dot"/>
        </w:tabs>
        <w:spacing w:after="120" w:before="0" w:line="360" w:lineRule="auto"/>
        <w:ind w:left="0"/>
      </w:pPr>
      <w:r>
        <w:rPr>
          <w:rFonts w:ascii="Times New Roman" w:cs="Times New Roman" w:eastAsia="Times New Roman" w:hAnsi="Times New Roman"/>
          <w:b/>
          <w:bCs/>
          <w:sz w:val="24"/>
          <w:szCs w:val="24"/>
        </w:rPr>
        <w:t xml:space="preserve">Recomendaciones</w:t>
      </w:r>
      <w:r>
        <w:rPr>
          <w:rFonts w:ascii="Times New Roman" w:cs="Times New Roman" w:eastAsia="Times New Roman" w:hAnsi="Times New Roman"/>
          <w:b/>
          <w:bCs/>
          <w:sz w:val="24"/>
          <w:szCs w:val="24"/>
        </w:rPr>
        <w:t xml:space="preserve">	8</w:t>
      </w:r>
    </w:p>
    <w:p>
      <w:pPr>
        <w:tabs>
          <w:tab w:val="right" w:pos="9360" w:leader="dot"/>
        </w:tabs>
        <w:spacing w:after="120" w:before="0" w:line="360" w:lineRule="auto"/>
        <w:ind w:left="0"/>
      </w:pPr>
      <w:r>
        <w:rPr>
          <w:rFonts w:ascii="Times New Roman" w:cs="Times New Roman" w:eastAsia="Times New Roman" w:hAnsi="Times New Roman"/>
          <w:b/>
          <w:bCs/>
          <w:sz w:val="24"/>
          <w:szCs w:val="24"/>
        </w:rPr>
        <w:t xml:space="preserve">Bibliografía</w:t>
      </w:r>
      <w:r>
        <w:rPr>
          <w:rFonts w:ascii="Times New Roman" w:cs="Times New Roman" w:eastAsia="Times New Roman" w:hAnsi="Times New Roman"/>
          <w:b/>
          <w:bCs/>
          <w:sz w:val="24"/>
          <w:szCs w:val="24"/>
        </w:rPr>
        <w:t xml:space="preserve">	9</w:t>
      </w:r>
    </w:p>
    <w:p>
      <w:pPr>
        <w:tabs>
          <w:tab w:val="right" w:pos="9360" w:leader="dot"/>
        </w:tabs>
        <w:spacing w:after="120" w:before="0" w:line="360" w:lineRule="auto"/>
        <w:ind w:left="0"/>
      </w:pPr>
      <w:r>
        <w:rPr>
          <w:rFonts w:ascii="Times New Roman" w:cs="Times New Roman" w:eastAsia="Times New Roman" w:hAnsi="Times New Roman"/>
          <w:b/>
          <w:bCs/>
          <w:sz w:val="24"/>
          <w:szCs w:val="24"/>
        </w:rPr>
        <w:t xml:space="preserve">Anexos</w:t>
      </w:r>
      <w:r>
        <w:rPr>
          <w:rFonts w:ascii="Times New Roman" w:cs="Times New Roman" w:eastAsia="Times New Roman" w:hAnsi="Times New Roman"/>
          <w:b/>
          <w:bCs/>
          <w:sz w:val="24"/>
          <w:szCs w:val="24"/>
        </w:rPr>
        <w:t xml:space="preserve">	10</w:t>
      </w:r>
    </w:p>
    <w:p>
      <w:pPr>
        <w:sectPr>
          <w:headerReference w:type="default" r:id="rId7"/>
          <w:pgSz w:w="12240" w:h="15840" w:orient="portrait"/>
          <w:pgMar w:top="1440" w:right="1440" w:bottom="1440" w:left="1440" w:header="708" w:footer="708" w:gutter="0"/>
          <w:pgNumType/>
          <w:docGrid w:linePitch="360"/>
        </w:sectPr>
      </w:pPr>
    </w:p>
    <w:p>
      <w:pPr>
        <w:pStyle w:val="Heading1"/>
        <w:pageBreakBefore/>
        <w:spacing w:after="200" w:before="360" w:line="360" w:lineRule="auto"/>
        <w:jc w:val="center"/>
      </w:pPr>
      <w:r>
        <w:rPr>
          <w:rFonts w:ascii="Times New Roman" w:cs="Times New Roman" w:eastAsia="Times New Roman" w:hAnsi="Times New Roman"/>
          <w:b/>
          <w:bCs/>
          <w:sz w:val="26"/>
          <w:szCs w:val="26"/>
        </w:rPr>
        <w:t xml:space="preserve">Introducción</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Esta investigación analiza las estafas en línea dirigidas a adolescentes, un problema cada vez más frecuente debido al uso constante de redes sociales, videojuegos y aplicaciones de mensajería por parte de este grupo de edad. El estudio aborda tanto las causas psicológicas y biológicas que explican por qué los adolescentes son un blanco fácil para los estafadores, como la elaboración de textos científicos y argumentativos que permitan comunicar este problema de manera clara y contribuir a su prevención.</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El trabajo se organiza en cinco capítulos: el planteamiento del problema, el marco teórico que sustenta la investigación desde la biología y el lenguaje, la metodología empleada, el desarrollo de la investigación con las principales modalidades de estafa identificadas, y los resultados obtenidos a partir de la revisión de fuentes confiables.</w:t>
      </w:r>
    </w:p>
    <w:p>
      <w:pPr>
        <w:pStyle w:val="Heading1"/>
        <w:pageBreakBefore/>
        <w:spacing w:after="200" w:before="360" w:line="360" w:lineRule="auto"/>
        <w:jc w:val="center"/>
      </w:pPr>
      <w:r>
        <w:rPr>
          <w:rFonts w:ascii="Times New Roman" w:cs="Times New Roman" w:eastAsia="Times New Roman" w:hAnsi="Times New Roman"/>
          <w:b/>
          <w:bCs/>
          <w:sz w:val="26"/>
          <w:szCs w:val="26"/>
        </w:rPr>
        <w:t xml:space="preserve">Capítulo I: Planteamiento del problema</w:t>
      </w:r>
    </w:p>
    <w:p>
      <w:pPr>
        <w:pStyle w:val="Heading2"/>
        <w:spacing w:after="160" w:before="260" w:line="360" w:lineRule="auto"/>
        <w:jc w:val="left"/>
      </w:pPr>
      <w:r>
        <w:rPr>
          <w:rFonts w:ascii="Times New Roman" w:cs="Times New Roman" w:eastAsia="Times New Roman" w:hAnsi="Times New Roman"/>
          <w:b/>
          <w:bCs/>
          <w:sz w:val="24"/>
          <w:szCs w:val="24"/>
        </w:rPr>
        <w:t xml:space="preserve">1.1. Problema de investigación</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¿Por qué los adolescentes son especialmente vulnerables a las estafas en línea y cómo puede comunicarse este problema mediante textos científicos y argumentativos que contribuyan a prevenirlo?</w:t>
      </w:r>
    </w:p>
    <w:p>
      <w:pPr>
        <w:pStyle w:val="Heading2"/>
        <w:spacing w:after="160" w:before="260" w:line="360" w:lineRule="auto"/>
        <w:jc w:val="left"/>
      </w:pPr>
      <w:r>
        <w:rPr>
          <w:rFonts w:ascii="Times New Roman" w:cs="Times New Roman" w:eastAsia="Times New Roman" w:hAnsi="Times New Roman"/>
          <w:b/>
          <w:bCs/>
          <w:sz w:val="24"/>
          <w:szCs w:val="24"/>
        </w:rPr>
        <w:t xml:space="preserve">1.2. Justificación</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Esta investigación es importante porque permite comprender por qué los adolescentes son un blanco frecuente de las estafas digitales, y porque fortalece la capacidad de comunicar esta información de manera clara y responsable, contribuyendo a la prevención de estos delitos entre los propios compañeros de curso y la comunidad educativa.</w:t>
      </w:r>
    </w:p>
    <w:p>
      <w:pPr>
        <w:pStyle w:val="Heading2"/>
        <w:spacing w:after="160" w:before="260" w:line="360" w:lineRule="auto"/>
        <w:jc w:val="left"/>
      </w:pPr>
      <w:r>
        <w:rPr>
          <w:rFonts w:ascii="Times New Roman" w:cs="Times New Roman" w:eastAsia="Times New Roman" w:hAnsi="Times New Roman"/>
          <w:b/>
          <w:bCs/>
          <w:sz w:val="24"/>
          <w:szCs w:val="24"/>
        </w:rPr>
        <w:t xml:space="preserve">1.3. Objetivos</w:t>
      </w:r>
    </w:p>
    <w:p>
      <w:pPr>
        <w:spacing w:after="120" w:before="0" w:line="360" w:lineRule="auto"/>
        <w:jc w:val="left"/>
      </w:pPr>
      <w:r>
        <w:rPr>
          <w:rFonts w:ascii="Times New Roman" w:cs="Times New Roman" w:eastAsia="Times New Roman" w:hAnsi="Times New Roman"/>
          <w:b/>
          <w:bCs/>
          <w:i w:val="false"/>
          <w:iCs w:val="false"/>
          <w:sz w:val="24"/>
          <w:szCs w:val="24"/>
        </w:rPr>
        <w:t xml:space="preserve">Objetivo general:</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Analizar las causas psicológicas y biológicas de la vulnerabilidad adolescente frente a las estafas en línea, y elaborar textos informativos y argumentativos que contribuyan a su prevención.</w:t>
      </w:r>
    </w:p>
    <w:p>
      <w:pPr>
        <w:spacing w:after="120" w:before="0" w:line="360" w:lineRule="auto"/>
        <w:jc w:val="left"/>
      </w:pPr>
      <w:r>
        <w:rPr>
          <w:rFonts w:ascii="Times New Roman" w:cs="Times New Roman" w:eastAsia="Times New Roman" w:hAnsi="Times New Roman"/>
          <w:b/>
          <w:bCs/>
          <w:i w:val="false"/>
          <w:iCs w:val="false"/>
          <w:sz w:val="24"/>
          <w:szCs w:val="24"/>
        </w:rPr>
        <w:t xml:space="preserve">Objetivos específicos: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Identificar las principales modalidades de estafa en línea dirigidas a adolescentes.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Explicar los procesos biológicos y psicológicos que ayudan a entender la vulnerabilidad adolescente ante la manipulación digital.</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Recopilar información científica confiable sobre el tema.</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Elaborar textos argumentativos que difundan la importancia de la prevención digital entre adolescentes.</w:t>
      </w:r>
    </w:p>
    <w:p>
      <w:pPr>
        <w:pStyle w:val="Heading1"/>
        <w:pageBreakBefore/>
        <w:spacing w:after="200" w:before="360" w:line="360" w:lineRule="auto"/>
        <w:jc w:val="center"/>
      </w:pPr>
      <w:r>
        <w:rPr>
          <w:rFonts w:ascii="Times New Roman" w:cs="Times New Roman" w:eastAsia="Times New Roman" w:hAnsi="Times New Roman"/>
          <w:b/>
          <w:bCs/>
          <w:sz w:val="26"/>
          <w:szCs w:val="26"/>
        </w:rPr>
        <w:t xml:space="preserve">Capítulo II: Marco teórico</w:t>
      </w:r>
    </w:p>
    <w:p>
      <w:pPr>
        <w:pStyle w:val="Heading2"/>
        <w:spacing w:after="160" w:before="260" w:line="360" w:lineRule="auto"/>
        <w:jc w:val="left"/>
      </w:pPr>
      <w:r>
        <w:rPr>
          <w:rFonts w:ascii="Times New Roman" w:cs="Times New Roman" w:eastAsia="Times New Roman" w:hAnsi="Times New Roman"/>
          <w:b/>
          <w:bCs/>
          <w:sz w:val="24"/>
          <w:szCs w:val="24"/>
        </w:rPr>
        <w:t xml:space="preserve">2.1. Conceptos principales</w:t>
      </w:r>
    </w:p>
    <w:p>
      <w:pPr>
        <w:spacing w:after="120" w:before="0" w:line="360" w:lineRule="auto"/>
        <w:jc w:val="left"/>
      </w:pPr>
      <w:r>
        <w:rPr>
          <w:rFonts w:ascii="Times New Roman" w:cs="Times New Roman" w:eastAsia="Times New Roman" w:hAnsi="Times New Roman"/>
          <w:b/>
          <w:bCs/>
          <w:i w:val="false"/>
          <w:iCs w:val="false"/>
          <w:sz w:val="24"/>
          <w:szCs w:val="24"/>
        </w:rPr>
        <w:t xml:space="preserve">Estafa en línea</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Es un engaño realizado a través de internet, mediante el cual una persona busca obtener dinero, datos personales o contenido sensible de otra persona, utilizando técnicas de manipulación.</w:t>
      </w:r>
    </w:p>
    <w:p>
      <w:pPr>
        <w:spacing w:after="120" w:before="0" w:line="360" w:lineRule="auto"/>
        <w:jc w:val="left"/>
      </w:pPr>
      <w:r>
        <w:rPr>
          <w:rFonts w:ascii="Times New Roman" w:cs="Times New Roman" w:eastAsia="Times New Roman" w:hAnsi="Times New Roman"/>
          <w:b/>
          <w:bCs/>
          <w:i w:val="false"/>
          <w:iCs w:val="false"/>
          <w:sz w:val="24"/>
          <w:szCs w:val="24"/>
        </w:rPr>
        <w:t xml:space="preserve">Adolescencia</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Es la etapa del desarrollo humano comprendida aproximadamente entre los 12 y los 19 años, caracterizada por cambios físicos, cognitivos y emocionales importantes.</w:t>
      </w:r>
    </w:p>
    <w:p>
      <w:pPr>
        <w:spacing w:after="120" w:before="0" w:line="360" w:lineRule="auto"/>
        <w:jc w:val="left"/>
      </w:pPr>
      <w:r>
        <w:rPr>
          <w:rFonts w:ascii="Times New Roman" w:cs="Times New Roman" w:eastAsia="Times New Roman" w:hAnsi="Times New Roman"/>
          <w:b/>
          <w:bCs/>
          <w:i w:val="false"/>
          <w:iCs w:val="false"/>
          <w:sz w:val="24"/>
          <w:szCs w:val="24"/>
        </w:rPr>
        <w:t xml:space="preserve">Ingeniería social</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Es el conjunto de técnicas de manipulación psicológica que utiliza un estafador para conseguir que otra persona realice una acción o entregue información que lo beneficia.</w:t>
      </w:r>
    </w:p>
    <w:p>
      <w:pPr>
        <w:pStyle w:val="Heading2"/>
        <w:spacing w:after="160" w:before="260" w:line="360" w:lineRule="auto"/>
        <w:jc w:val="left"/>
      </w:pPr>
      <w:r>
        <w:rPr>
          <w:rFonts w:ascii="Times New Roman" w:cs="Times New Roman" w:eastAsia="Times New Roman" w:hAnsi="Times New Roman"/>
          <w:b/>
          <w:bCs/>
          <w:sz w:val="24"/>
          <w:szCs w:val="24"/>
        </w:rPr>
        <w:t xml:space="preserve">2.2. Fundamentación biológica</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El cerebro humano no termina de desarrollarse en la adolescencia, sino varios años después. La corteza prefrontal —la zona encargada de planificar, evaluar riesgos y controlar impulsos— es una de las últimas en madurar por completo. Al mismo tiempo, el sistema de recompensa del cerebro adolescente responde con mucha intensidad ante estímulos como el dinero fácil, la atención de otra persona o la posibilidad de ganar algo rápido (Steinberg, 2008). Esta diferencia en la velocidad de maduración explica por qué, ante una oferta atractiva en internet, muchos adolescentes actúan primero y evalúan el riesgo después, lo que los vuelve un blanco especialmente vulnerable frente a los estafadores.</w:t>
      </w:r>
    </w:p>
    <w:p>
      <w:pPr>
        <w:pStyle w:val="Heading2"/>
        <w:spacing w:after="160" w:before="260" w:line="360" w:lineRule="auto"/>
        <w:jc w:val="left"/>
      </w:pPr>
      <w:r>
        <w:rPr>
          <w:rFonts w:ascii="Times New Roman" w:cs="Times New Roman" w:eastAsia="Times New Roman" w:hAnsi="Times New Roman"/>
          <w:b/>
          <w:bCs/>
          <w:sz w:val="24"/>
          <w:szCs w:val="24"/>
        </w:rPr>
        <w:t xml:space="preserve">2.3. Fundamentación desde Lenguaje</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Para comunicar este problema de manera efectiva se emplean distintos tipos de texto. El texto expositivo permite explicar de forma clara cómo funcionan las estafas y por qué ocurren, sin exagerar ni alarmar innecesariamente. El texto científico exige el uso de información verificable y de un lenguaje preciso, evitando afirmaciones que no puedan respaldarse con fuentes confiables. El texto argumentativo, por su parte, se utiliza para convencer al lector de la importancia de tomar medidas de prevención, presentando razones y evidencia que sustenten esa postura. El uso correcto del lenguaje científico —citar fuentes, distinguir un dato verificado de una opinión— es lo que da credibilidad a cualquier texto de divulgación sobre este tema.</w:t>
      </w:r>
    </w:p>
    <w:p>
      <w:pPr>
        <w:pStyle w:val="Heading1"/>
        <w:pageBreakBefore/>
        <w:spacing w:after="200" w:before="360" w:line="360" w:lineRule="auto"/>
        <w:jc w:val="center"/>
      </w:pPr>
      <w:r>
        <w:rPr>
          <w:rFonts w:ascii="Times New Roman" w:cs="Times New Roman" w:eastAsia="Times New Roman" w:hAnsi="Times New Roman"/>
          <w:b/>
          <w:bCs/>
          <w:sz w:val="26"/>
          <w:szCs w:val="26"/>
        </w:rPr>
        <w:t xml:space="preserve">Capítulo III: Metodología de investigación</w:t>
      </w:r>
    </w:p>
    <w:p>
      <w:pPr>
        <w:pStyle w:val="Heading2"/>
        <w:spacing w:after="160" w:before="260" w:line="360" w:lineRule="auto"/>
        <w:jc w:val="left"/>
      </w:pPr>
      <w:r>
        <w:rPr>
          <w:rFonts w:ascii="Times New Roman" w:cs="Times New Roman" w:eastAsia="Times New Roman" w:hAnsi="Times New Roman"/>
          <w:b/>
          <w:bCs/>
          <w:sz w:val="24"/>
          <w:szCs w:val="24"/>
        </w:rPr>
        <w:t xml:space="preserve">3.1. Tipo de investigación</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Investigación documental: basada en informes de organismos de protección infantil y ciberseguridad, artículos científicos sobre desarrollo adolescente, y fuentes periodísticas confiables.</w:t>
      </w:r>
    </w:p>
    <w:p>
      <w:pPr>
        <w:pStyle w:val="Heading2"/>
        <w:spacing w:after="160" w:before="260" w:line="360" w:lineRule="auto"/>
        <w:jc w:val="left"/>
      </w:pPr>
      <w:r>
        <w:rPr>
          <w:rFonts w:ascii="Times New Roman" w:cs="Times New Roman" w:eastAsia="Times New Roman" w:hAnsi="Times New Roman"/>
          <w:b/>
          <w:bCs/>
          <w:sz w:val="24"/>
          <w:szCs w:val="24"/>
        </w:rPr>
        <w:t xml:space="preserve">3.2. Método</w:t>
      </w:r>
    </w:p>
    <w:p>
      <w:pPr>
        <w:spacing w:after="120" w:before="0" w:line="360" w:lineRule="auto"/>
        <w:jc w:val="left"/>
      </w:pPr>
      <w:r>
        <w:rPr>
          <w:rFonts w:ascii="Times New Roman" w:cs="Times New Roman" w:eastAsia="Times New Roman" w:hAnsi="Times New Roman"/>
          <w:b/>
          <w:bCs/>
          <w:i w:val="false"/>
          <w:iCs w:val="false"/>
          <w:sz w:val="24"/>
          <w:szCs w:val="24"/>
        </w:rPr>
        <w:t xml:space="preserve">Método científico:</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Observación del problema: aumento de casos de estafas en línea contra adolescentes.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Planteamiento de preguntas: por qué este grupo es especialmente vulnerable.</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Búsqueda de información en fuentes confiables.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Análisis de los resultados encontrados.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Elaboración de conclusiones y recomendaciones.</w:t>
      </w:r>
    </w:p>
    <w:p>
      <w:pPr>
        <w:pStyle w:val="Heading2"/>
        <w:spacing w:after="160" w:before="260" w:line="360" w:lineRule="auto"/>
        <w:jc w:val="left"/>
      </w:pPr>
      <w:r>
        <w:rPr>
          <w:rFonts w:ascii="Times New Roman" w:cs="Times New Roman" w:eastAsia="Times New Roman" w:hAnsi="Times New Roman"/>
          <w:b/>
          <w:bCs/>
          <w:sz w:val="24"/>
          <w:szCs w:val="24"/>
        </w:rPr>
        <w:t xml:space="preserve">3.3. Técnicas e instrumentos</w:t>
      </w:r>
    </w:p>
    <w:p>
      <w:pPr>
        <w:spacing w:after="120" w:before="0" w:line="360" w:lineRule="auto"/>
        <w:jc w:val="left"/>
      </w:pPr>
      <w:r>
        <w:rPr>
          <w:rFonts w:ascii="Times New Roman" w:cs="Times New Roman" w:eastAsia="Times New Roman" w:hAnsi="Times New Roman"/>
          <w:b/>
          <w:bCs/>
          <w:i w:val="false"/>
          <w:iCs w:val="false"/>
          <w:sz w:val="24"/>
          <w:szCs w:val="24"/>
        </w:rPr>
        <w:t xml:space="preserve">Técnicas: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Revisión bibliográfica.</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Observación de casos reportados en medios de comunicación.</w:t>
      </w:r>
    </w:p>
    <w:p>
      <w:pPr>
        <w:spacing w:after="120" w:before="0" w:line="360" w:lineRule="auto"/>
        <w:jc w:val="left"/>
      </w:pPr>
      <w:r>
        <w:rPr>
          <w:rFonts w:ascii="Times New Roman" w:cs="Times New Roman" w:eastAsia="Times New Roman" w:hAnsi="Times New Roman"/>
          <w:b/>
          <w:bCs/>
          <w:i w:val="false"/>
          <w:iCs w:val="false"/>
          <w:sz w:val="24"/>
          <w:szCs w:val="24"/>
        </w:rPr>
        <w:t xml:space="preserve">Instrumentos: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Fichas bibliográficas.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Guía de observación de casos.</w:t>
      </w:r>
    </w:p>
    <w:p>
      <w:pPr>
        <w:pStyle w:val="Heading1"/>
        <w:pageBreakBefore/>
        <w:spacing w:after="200" w:before="360" w:line="360" w:lineRule="auto"/>
        <w:jc w:val="center"/>
      </w:pPr>
      <w:r>
        <w:rPr>
          <w:rFonts w:ascii="Times New Roman" w:cs="Times New Roman" w:eastAsia="Times New Roman" w:hAnsi="Times New Roman"/>
          <w:b/>
          <w:bCs/>
          <w:sz w:val="26"/>
          <w:szCs w:val="26"/>
        </w:rPr>
        <w:t xml:space="preserve">Capítulo IV: Desarrollo de la investigación</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La revisión de fuentes permitió identificar varias modalidades de estafa en línea dirigidas específicamente a adolescentes. A continuación se describen las más frecuentes.</w:t>
      </w:r>
    </w:p>
    <w:p>
      <w:pPr>
        <w:spacing w:after="120" w:before="0" w:line="360" w:lineRule="auto"/>
        <w:jc w:val="left"/>
      </w:pPr>
      <w:r>
        <w:rPr>
          <w:rFonts w:ascii="Times New Roman" w:cs="Times New Roman" w:eastAsia="Times New Roman" w:hAnsi="Times New Roman"/>
          <w:b/>
          <w:bCs/>
          <w:i w:val="false"/>
          <w:iCs w:val="false"/>
          <w:sz w:val="24"/>
          <w:szCs w:val="24"/>
        </w:rPr>
        <w:t xml:space="preserve">Estafas en videojuegos</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Ocurren cuando un desconocido ofrece objetos virtuales gratis o intercambios ventajosos a cambio de que la víctima entregue la contraseña de su cuenta o realice un pago por adelantado que nunca se compensa.</w:t>
      </w:r>
    </w:p>
    <w:p>
      <w:pPr>
        <w:spacing w:after="120" w:before="0" w:line="360" w:lineRule="auto"/>
        <w:jc w:val="left"/>
      </w:pPr>
      <w:r>
        <w:rPr>
          <w:rFonts w:ascii="Times New Roman" w:cs="Times New Roman" w:eastAsia="Times New Roman" w:hAnsi="Times New Roman"/>
          <w:b/>
          <w:bCs/>
          <w:i w:val="false"/>
          <w:iCs w:val="false"/>
          <w:sz w:val="24"/>
          <w:szCs w:val="24"/>
        </w:rPr>
        <w:t xml:space="preserve">Sextorsión</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Un desconocido inicia una conversación de tipo romántico, obtiene una imagen íntima de la víctima y luego la amenaza con difundirla si no recibe un pago. Es una de las modalidades más graves, ya que puede generar consecuencias emocionales severas.</w:t>
      </w:r>
    </w:p>
    <w:p>
      <w:pPr>
        <w:spacing w:after="120" w:before="0" w:line="360" w:lineRule="auto"/>
        <w:jc w:val="left"/>
      </w:pPr>
      <w:r>
        <w:rPr>
          <w:rFonts w:ascii="Times New Roman" w:cs="Times New Roman" w:eastAsia="Times New Roman" w:hAnsi="Times New Roman"/>
          <w:b/>
          <w:bCs/>
          <w:i w:val="false"/>
          <w:iCs w:val="false"/>
          <w:sz w:val="24"/>
          <w:szCs w:val="24"/>
        </w:rPr>
        <w:t xml:space="preserve">Estafas en redes sociales</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Incluyen sorteos falsos, ofertas de aumento de seguidores y cuentas que suplantan a personas conocidas para pedir dinero o datos personales.</w:t>
      </w:r>
    </w:p>
    <w:p>
      <w:pPr>
        <w:spacing w:after="120" w:before="0" w:line="360" w:lineRule="auto"/>
        <w:jc w:val="left"/>
      </w:pPr>
      <w:r>
        <w:rPr>
          <w:rFonts w:ascii="Times New Roman" w:cs="Times New Roman" w:eastAsia="Times New Roman" w:hAnsi="Times New Roman"/>
          <w:b/>
          <w:bCs/>
          <w:i w:val="false"/>
          <w:iCs w:val="false"/>
          <w:sz w:val="24"/>
          <w:szCs w:val="24"/>
        </w:rPr>
        <w:t xml:space="preserve">Estafas de empleo o inversión falsa</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Ofrecen trabajos fáciles o inversiones en criptomonedas con ganancias garantizadas, pidiendo un pago inicial que el estafador nunca devuelve.</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En todos los casos se repite un mismo patrón: el estafador genera confianza rápidamente, crea una sensación de urgencia y pide una acción —un pago, una contraseña, una imagen— antes de que la víctima tenga tiempo de dudar. Esto coincide con lo explicado en el marco teórico sobre la dificultad del cerebro adolescente para frenar una decisión impulsiva.</w:t>
      </w:r>
    </w:p>
    <w:p>
      <w:pPr>
        <w:pStyle w:val="Heading1"/>
        <w:pageBreakBefore/>
        <w:spacing w:after="200" w:before="360" w:line="360" w:lineRule="auto"/>
        <w:jc w:val="center"/>
      </w:pPr>
      <w:r>
        <w:rPr>
          <w:rFonts w:ascii="Times New Roman" w:cs="Times New Roman" w:eastAsia="Times New Roman" w:hAnsi="Times New Roman"/>
          <w:b/>
          <w:bCs/>
          <w:sz w:val="26"/>
          <w:szCs w:val="26"/>
        </w:rPr>
        <w:t xml:space="preserve">Capítulo V: Resultados</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A partir de la revisión documental se obtuvieron los siguientes datos, publicados por organismos de protección infantil y de seguridad digital:</w:t>
      </w:r>
    </w:p>
    <w:tbl>
      <w:tblPr>
        <w:tblW w:type="dxa" w:w="8860"/>
        <w:tblBorders>
          <w:top w:val="single" w:color="auto" w:sz="4"/>
          <w:left w:val="single" w:color="auto" w:sz="4"/>
          <w:bottom w:val="single" w:color="auto" w:sz="4"/>
          <w:right w:val="single" w:color="auto" w:sz="4"/>
          <w:insideH w:val="single" w:color="auto" w:sz="4"/>
          <w:insideV w:val="single" w:color="auto" w:sz="4"/>
        </w:tblBorders>
      </w:tblPr>
      <w:tblGrid>
        <w:gridCol w:w="4200"/>
        <w:gridCol w:w="2100"/>
        <w:gridCol w:w="2560"/>
      </w:tblGrid>
      <w:tr>
        <w:tc>
          <w:tcPr>
            <w:tcW w:type="dxa" w:w="4200"/>
            <w:tcBorders>
              <w:top w:val="single" w:color="000000" w:sz="6"/>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bCs/>
                <w:sz w:val="22"/>
                <w:szCs w:val="22"/>
              </w:rPr>
              <w:t xml:space="preserve">Dato</w:t>
            </w:r>
          </w:p>
        </w:tc>
        <w:tc>
          <w:tcPr>
            <w:tcW w:type="dxa" w:w="2100"/>
            <w:tcBorders>
              <w:top w:val="single" w:color="000000" w:sz="6"/>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bCs/>
                <w:sz w:val="22"/>
                <w:szCs w:val="22"/>
              </w:rPr>
              <w:t xml:space="preserve">Cifra</w:t>
            </w:r>
          </w:p>
        </w:tc>
        <w:tc>
          <w:tcPr>
            <w:tcW w:type="dxa" w:w="2560"/>
            <w:tcBorders>
              <w:top w:val="single" w:color="000000" w:sz="6"/>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bCs/>
                <w:sz w:val="22"/>
                <w:szCs w:val="22"/>
              </w:rPr>
              <w:t xml:space="preserve">Fuente</w:t>
            </w:r>
          </w:p>
        </w:tc>
      </w:tr>
      <w:tr>
        <w:tc>
          <w:tcPr>
            <w:tcW w:type="dxa" w:w="42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Reportes de sextorsión a menores en Estados Unidos (2022)</w:t>
            </w:r>
          </w:p>
        </w:tc>
        <w:tc>
          <w:tcPr>
            <w:tcW w:type="dxa" w:w="21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10.731</w:t>
            </w:r>
          </w:p>
        </w:tc>
        <w:tc>
          <w:tcPr>
            <w:tcW w:type="dxa" w:w="256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NCMEC (2024)</w:t>
            </w:r>
          </w:p>
        </w:tc>
      </w:tr>
      <w:tr>
        <w:tc>
          <w:tcPr>
            <w:tcW w:type="dxa" w:w="42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Reportes de sextorsión a menores en Estados Unidos (2023)</w:t>
            </w:r>
          </w:p>
        </w:tc>
        <w:tc>
          <w:tcPr>
            <w:tcW w:type="dxa" w:w="21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26.718</w:t>
            </w:r>
          </w:p>
        </w:tc>
        <w:tc>
          <w:tcPr>
            <w:tcW w:type="dxa" w:w="256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NCMEC (2024)</w:t>
            </w:r>
          </w:p>
        </w:tc>
      </w:tr>
      <w:tr>
        <w:tc>
          <w:tcPr>
            <w:tcW w:type="dxa" w:w="42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Adolescentes con acceso a teléfono inteligente (EE. UU.)</w:t>
            </w:r>
          </w:p>
        </w:tc>
        <w:tc>
          <w:tcPr>
            <w:tcW w:type="dxa" w:w="21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95%</w:t>
            </w:r>
          </w:p>
        </w:tc>
        <w:tc>
          <w:tcPr>
            <w:tcW w:type="dxa" w:w="256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Pew Research Center (2024)</w:t>
            </w:r>
          </w:p>
        </w:tc>
      </w:tr>
      <w:tr>
        <w:tc>
          <w:tcPr>
            <w:tcW w:type="dxa" w:w="42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Denuncias diarias de estafas en línea en Bolivia</w:t>
            </w:r>
          </w:p>
        </w:tc>
        <w:tc>
          <w:tcPr>
            <w:tcW w:type="dxa" w:w="21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Entre 6 y 10</w:t>
            </w:r>
          </w:p>
        </w:tc>
        <w:tc>
          <w:tcPr>
            <w:tcW w:type="dxa" w:w="256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FELCC, en El País (2023)</w:t>
            </w:r>
          </w:p>
        </w:tc>
      </w:tr>
      <w:tr>
        <w:tc>
          <w:tcPr>
            <w:tcW w:type="dxa" w:w="4200"/>
            <w:tcBorders>
              <w:top w:val="none" w:color="FFFFFF" w:sz="0"/>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Víctimas de ciberdelitos de 15 a 20 años en Bolivia</w:t>
            </w:r>
          </w:p>
        </w:tc>
        <w:tc>
          <w:tcPr>
            <w:tcW w:type="dxa" w:w="2100"/>
            <w:tcBorders>
              <w:top w:val="none" w:color="FFFFFF" w:sz="0"/>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Mayoría de los casos</w:t>
            </w:r>
          </w:p>
        </w:tc>
        <w:tc>
          <w:tcPr>
            <w:tcW w:type="dxa" w:w="2560"/>
            <w:tcBorders>
              <w:top w:val="none" w:color="FFFFFF" w:sz="0"/>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FELCC, en El País (2023)</w:t>
            </w:r>
          </w:p>
        </w:tc>
      </w:tr>
    </w:tbl>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Estos datos muestran que la sextorsión contra menores más que se duplicó en un año en Estados Unidos, y que en Bolivia las estafas en línea ya se denuncian a diario, con adolescentes y jóvenes como principales víctimas. La combinación de un acceso casi total a internet móvil con una etapa de desarrollo cerebral todavía en formación explica buena parte de este panorama.</w:t>
      </w:r>
    </w:p>
    <w:p>
      <w:pPr>
        <w:pStyle w:val="Heading1"/>
        <w:pageBreakBefore/>
        <w:spacing w:after="200" w:before="360" w:line="360" w:lineRule="auto"/>
        <w:jc w:val="center"/>
      </w:pPr>
      <w:r>
        <w:rPr>
          <w:rFonts w:ascii="Times New Roman" w:cs="Times New Roman" w:eastAsia="Times New Roman" w:hAnsi="Times New Roman"/>
          <w:b/>
          <w:bCs/>
          <w:sz w:val="26"/>
          <w:szCs w:val="26"/>
        </w:rPr>
        <w:t xml:space="preserve">Conclusiones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Las estafas en línea dirigidas a adolescentes aprovechan características propias del desarrollo cerebral de esta etapa, en especial la dificultad para frenar decisiones impulsivas.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La información científica disponible permite comprender mejor este problema y dimensionar su magnitud real.</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El uso de un lenguaje claro, preciso y argumentativo es una herramienta importante para comunicar este problema y contribuir a prevenirlo.</w:t>
      </w:r>
    </w:p>
    <w:p>
      <w:pPr>
        <w:pStyle w:val="Heading1"/>
        <w:spacing w:after="200" w:before="360" w:line="360" w:lineRule="auto"/>
        <w:jc w:val="center"/>
      </w:pPr>
      <w:r>
        <w:rPr>
          <w:rFonts w:ascii="Times New Roman" w:cs="Times New Roman" w:eastAsia="Times New Roman" w:hAnsi="Times New Roman"/>
          <w:b/>
          <w:bCs/>
          <w:sz w:val="26"/>
          <w:szCs w:val="26"/>
        </w:rPr>
        <w:t xml:space="preserve">Recomendaciones</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Promover campañas educativas sobre seguridad digital dentro del colegio.</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Fomentar la verificación de cualquier oferta u oportunidad antes de aceptarla o pagar por ella.</w:t>
      </w:r>
    </w:p>
    <w:p>
      <w:pPr>
        <w:pStyle w:val="ListParagraph"/>
        <w:numPr>
          <w:ilvl w:val="0"/>
          <w:numId w:val="1"/>
        </w:numPr>
        <w:spacing w:after="120" w:before="0" w:line="360" w:lineRule="auto"/>
      </w:pPr>
      <w:r>
        <w:rPr>
          <w:rFonts w:ascii="Times New Roman" w:cs="Times New Roman" w:eastAsia="Times New Roman" w:hAnsi="Times New Roman"/>
          <w:sz w:val="24"/>
          <w:szCs w:val="24"/>
        </w:rPr>
        <w:t xml:space="preserve">Mantener una comunicación abierta con un adulto de confianza ante cualquier situación sospechosa en internet.</w:t>
      </w:r>
    </w:p>
    <w:p>
      <w:pPr>
        <w:pStyle w:val="Heading1"/>
        <w:pageBreakBefore/>
        <w:spacing w:after="200" w:before="360" w:line="360" w:lineRule="auto"/>
        <w:jc w:val="center"/>
      </w:pPr>
      <w:r>
        <w:rPr>
          <w:rFonts w:ascii="Times New Roman" w:cs="Times New Roman" w:eastAsia="Times New Roman" w:hAnsi="Times New Roman"/>
          <w:b/>
          <w:bCs/>
          <w:sz w:val="26"/>
          <w:szCs w:val="26"/>
        </w:rPr>
        <w:t xml:space="preserve">Bibliografía</w:t>
      </w:r>
    </w:p>
    <w:p>
      <w:pPr>
        <w:spacing w:after="120" w:before="0" w:line="360" w:lineRule="auto"/>
        <w:ind w:left="720" w:hanging="720"/>
      </w:pPr>
      <w:r>
        <w:rPr>
          <w:rFonts w:ascii="Times New Roman" w:cs="Times New Roman" w:eastAsia="Times New Roman" w:hAnsi="Times New Roman"/>
          <w:sz w:val="24"/>
          <w:szCs w:val="24"/>
        </w:rPr>
        <w:t xml:space="preserve">Mitnick, K. y Simon, W. (2002). El arte del engaño. Wiley.</w:t>
      </w:r>
    </w:p>
    <w:p>
      <w:pPr>
        <w:spacing w:after="120" w:before="0" w:line="360" w:lineRule="auto"/>
        <w:ind w:left="720" w:hanging="720"/>
      </w:pPr>
      <w:r>
        <w:rPr>
          <w:rFonts w:ascii="Times New Roman" w:cs="Times New Roman" w:eastAsia="Times New Roman" w:hAnsi="Times New Roman"/>
          <w:sz w:val="24"/>
          <w:szCs w:val="24"/>
        </w:rPr>
        <w:t xml:space="preserve">National Center for Missing &amp; Exploited Children [NCMEC]. (2024). Datos sobre sextorsión. NCMEC.</w:t>
      </w:r>
    </w:p>
    <w:p>
      <w:pPr>
        <w:spacing w:after="120" w:before="0" w:line="360" w:lineRule="auto"/>
        <w:ind w:left="720" w:hanging="720"/>
      </w:pPr>
      <w:r>
        <w:rPr>
          <w:rFonts w:ascii="Times New Roman" w:cs="Times New Roman" w:eastAsia="Times New Roman" w:hAnsi="Times New Roman"/>
          <w:sz w:val="24"/>
          <w:szCs w:val="24"/>
        </w:rPr>
        <w:t xml:space="preserve">Pew Research Center. (2024). Teens, social media and technology 2024. Pew Research Center.</w:t>
      </w:r>
    </w:p>
    <w:p>
      <w:pPr>
        <w:spacing w:after="120" w:before="0" w:line="360" w:lineRule="auto"/>
        <w:ind w:left="720" w:hanging="720"/>
      </w:pPr>
      <w:r>
        <w:rPr>
          <w:rFonts w:ascii="Times New Roman" w:cs="Times New Roman" w:eastAsia="Times New Roman" w:hAnsi="Times New Roman"/>
          <w:sz w:val="24"/>
          <w:szCs w:val="24"/>
        </w:rPr>
        <w:t xml:space="preserve">El País (Bolivia). (2023). La estafa, trata de personas y extorsiones, los delitos cibernéticos más denunciados en Bolivia.</w:t>
      </w:r>
    </w:p>
    <w:p>
      <w:pPr>
        <w:spacing w:after="120" w:before="0" w:line="360" w:lineRule="auto"/>
        <w:ind w:left="720" w:hanging="720"/>
      </w:pPr>
      <w:r>
        <w:rPr>
          <w:rFonts w:ascii="Times New Roman" w:cs="Times New Roman" w:eastAsia="Times New Roman" w:hAnsi="Times New Roman"/>
          <w:sz w:val="24"/>
          <w:szCs w:val="24"/>
        </w:rPr>
        <w:t xml:space="preserve">Steinberg, L. (2008). A social neuroscience perspective on adolescent risk-taking. Developmental Review, 28(1), 78-106.</w:t>
      </w:r>
    </w:p>
    <w:p>
      <w:pPr>
        <w:pStyle w:val="Heading1"/>
        <w:pageBreakBefore/>
        <w:spacing w:after="200" w:before="360" w:line="360" w:lineRule="auto"/>
        <w:jc w:val="center"/>
      </w:pPr>
      <w:r>
        <w:rPr>
          <w:rFonts w:ascii="Times New Roman" w:cs="Times New Roman" w:eastAsia="Times New Roman" w:hAnsi="Times New Roman"/>
          <w:b/>
          <w:bCs/>
          <w:sz w:val="26"/>
          <w:szCs w:val="26"/>
        </w:rPr>
        <w:t xml:space="preserve">Anexos</w:t>
      </w:r>
    </w:p>
    <w:p>
      <w:pPr>
        <w:spacing w:after="120" w:before="0" w:line="360" w:lineRule="auto"/>
        <w:jc w:val="left"/>
      </w:pPr>
      <w:r>
        <w:rPr>
          <w:rFonts w:ascii="Times New Roman" w:cs="Times New Roman" w:eastAsia="Times New Roman" w:hAnsi="Times New Roman"/>
          <w:b/>
          <w:bCs/>
          <w:i w:val="false"/>
          <w:iCs w:val="false"/>
          <w:sz w:val="24"/>
          <w:szCs w:val="24"/>
        </w:rPr>
        <w:t xml:space="preserve">Anexo 1. Cuadro comparativo de modalidades de estafa</w:t>
      </w:r>
    </w:p>
    <w:tbl>
      <w:tblPr>
        <w:tblW w:type="dxa" w:w="8860"/>
        <w:tblBorders>
          <w:top w:val="single" w:color="auto" w:sz="4"/>
          <w:left w:val="single" w:color="auto" w:sz="4"/>
          <w:bottom w:val="single" w:color="auto" w:sz="4"/>
          <w:right w:val="single" w:color="auto" w:sz="4"/>
          <w:insideH w:val="single" w:color="auto" w:sz="4"/>
          <w:insideV w:val="single" w:color="auto" w:sz="4"/>
        </w:tblBorders>
      </w:tblPr>
      <w:tblGrid>
        <w:gridCol w:w="2800"/>
        <w:gridCol w:w="3400"/>
        <w:gridCol w:w="2660"/>
      </w:tblGrid>
      <w:tr>
        <w:tc>
          <w:tcPr>
            <w:tcW w:type="dxa" w:w="2800"/>
            <w:tcBorders>
              <w:top w:val="single" w:color="000000" w:sz="6"/>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bCs/>
                <w:sz w:val="22"/>
                <w:szCs w:val="22"/>
              </w:rPr>
              <w:t xml:space="preserve">Modalidad</w:t>
            </w:r>
          </w:p>
        </w:tc>
        <w:tc>
          <w:tcPr>
            <w:tcW w:type="dxa" w:w="3400"/>
            <w:tcBorders>
              <w:top w:val="single" w:color="000000" w:sz="6"/>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bCs/>
                <w:sz w:val="22"/>
                <w:szCs w:val="22"/>
              </w:rPr>
              <w:t xml:space="preserve">Cómo actúa el estafador</w:t>
            </w:r>
          </w:p>
        </w:tc>
        <w:tc>
          <w:tcPr>
            <w:tcW w:type="dxa" w:w="2660"/>
            <w:tcBorders>
              <w:top w:val="single" w:color="000000" w:sz="6"/>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bCs/>
                <w:sz w:val="22"/>
                <w:szCs w:val="22"/>
              </w:rPr>
              <w:t xml:space="preserve">Señal de alerta</w:t>
            </w:r>
          </w:p>
        </w:tc>
      </w:tr>
      <w:tr>
        <w:tc>
          <w:tcPr>
            <w:tcW w:type="dxa" w:w="28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Videojuegos</w:t>
            </w:r>
          </w:p>
        </w:tc>
        <w:tc>
          <w:tcPr>
            <w:tcW w:type="dxa" w:w="34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Ofrece objetos gratis a cambio de la contraseña</w:t>
            </w:r>
          </w:p>
        </w:tc>
        <w:tc>
          <w:tcPr>
            <w:tcW w:type="dxa" w:w="266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Pide datos de la cuenta fuera del juego</w:t>
            </w:r>
          </w:p>
        </w:tc>
      </w:tr>
      <w:tr>
        <w:tc>
          <w:tcPr>
            <w:tcW w:type="dxa" w:w="28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Sextorsión</w:t>
            </w:r>
          </w:p>
        </w:tc>
        <w:tc>
          <w:tcPr>
            <w:tcW w:type="dxa" w:w="34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Genera confianza y luego amenaza</w:t>
            </w:r>
          </w:p>
        </w:tc>
        <w:tc>
          <w:tcPr>
            <w:tcW w:type="dxa" w:w="266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Cambio brusco a la amenaza</w:t>
            </w:r>
          </w:p>
        </w:tc>
      </w:tr>
      <w:tr>
        <w:tc>
          <w:tcPr>
            <w:tcW w:type="dxa" w:w="28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Redes sociales</w:t>
            </w:r>
          </w:p>
        </w:tc>
        <w:tc>
          <w:tcPr>
            <w:tcW w:type="dxa" w:w="340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Sorteos o cuentas falsas</w:t>
            </w:r>
          </w:p>
        </w:tc>
        <w:tc>
          <w:tcPr>
            <w:tcW w:type="dxa" w:w="2660"/>
            <w:tcBorders>
              <w:top w:val="none" w:color="FFFFFF" w:sz="0"/>
              <w:left w:val="none" w:color="FFFFFF" w:sz="0"/>
              <w:bottom w:val="none" w:color="FFFFFF" w:sz="0"/>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Pide pago para recibir un premio</w:t>
            </w:r>
          </w:p>
        </w:tc>
      </w:tr>
      <w:tr>
        <w:tc>
          <w:tcPr>
            <w:tcW w:type="dxa" w:w="2800"/>
            <w:tcBorders>
              <w:top w:val="none" w:color="FFFFFF" w:sz="0"/>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Empleo/inversión falsa</w:t>
            </w:r>
          </w:p>
        </w:tc>
        <w:tc>
          <w:tcPr>
            <w:tcW w:type="dxa" w:w="3400"/>
            <w:tcBorders>
              <w:top w:val="none" w:color="FFFFFF" w:sz="0"/>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Promete ganancias fáciles</w:t>
            </w:r>
          </w:p>
        </w:tc>
        <w:tc>
          <w:tcPr>
            <w:tcW w:type="dxa" w:w="2660"/>
            <w:tcBorders>
              <w:top w:val="none" w:color="FFFFFF" w:sz="0"/>
              <w:left w:val="none" w:color="FFFFFF" w:sz="0"/>
              <w:bottom w:val="single" w:color="000000" w:sz="6"/>
              <w:right w:val="none" w:color="FFFFFF" w:sz="0"/>
            </w:tcBorders>
          </w:tcPr>
          <w:p>
            <w:pPr>
              <w:spacing w:after="120" w:before="0" w:line="360" w:lineRule="auto"/>
            </w:pPr>
            <w:r>
              <w:rPr>
                <w:rFonts w:ascii="Times New Roman" w:cs="Times New Roman" w:eastAsia="Times New Roman" w:hAnsi="Times New Roman"/>
                <w:b w:val="false"/>
                <w:bCs w:val="false"/>
                <w:sz w:val="22"/>
                <w:szCs w:val="22"/>
              </w:rPr>
              <w:t xml:space="preserve">Pide un pago inicial</w:t>
            </w:r>
          </w:p>
        </w:tc>
      </w:tr>
    </w:tbl>
    <w:p>
      <w:pPr>
        <w:spacing w:after="120" w:before="0" w:line="360" w:lineRule="auto"/>
        <w:jc w:val="left"/>
      </w:pPr>
      <w:r>
        <w:rPr>
          <w:rFonts w:ascii="Times New Roman" w:cs="Times New Roman" w:eastAsia="Times New Roman" w:hAnsi="Times New Roman"/>
          <w:b/>
          <w:bCs/>
          <w:i w:val="false"/>
          <w:iCs w:val="false"/>
          <w:sz w:val="24"/>
          <w:szCs w:val="24"/>
        </w:rPr>
        <w:t xml:space="preserve">Anexo 2. Glosario breve</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Phishing: mensaje o correo falso que busca robar datos personales.</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Catfishing: creación de una identidad falsa en internet para engañar a otra persona.</w:t>
      </w:r>
    </w:p>
    <w:p>
      <w:pPr>
        <w:spacing w:after="120" w:before="0" w:line="360" w:lineRule="auto"/>
        <w:ind w:firstLine="720"/>
        <w:jc w:val="left"/>
      </w:pPr>
      <w:r>
        <w:rPr>
          <w:rFonts w:ascii="Times New Roman" w:cs="Times New Roman" w:eastAsia="Times New Roman" w:hAnsi="Times New Roman"/>
          <w:b w:val="false"/>
          <w:bCs w:val="false"/>
          <w:i w:val="false"/>
          <w:iCs w:val="false"/>
          <w:sz w:val="24"/>
          <w:szCs w:val="24"/>
        </w:rPr>
        <w:t xml:space="preserve">Corteza prefrontal: parte del cerebro encargada de planificar y controlar impulsos.</w:t>
      </w:r>
    </w:p>
    <w:sectPr>
      <w:head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before="0" w:line="36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line="360" w:lineRule="auto"/>
      <w:jc w:val="center"/>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160" w:before="260" w:line="360" w:lineRule="auto"/>
      <w:jc w:val="left"/>
      <w:outlineLvl w:val="1"/>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2026-09-15T08:21:19.645Z</dcterms:created>
  <dcterms:modified xsi:type="dcterms:W3CDTF">2026-09-15T08:21:19.656Z</dcterms:modified>
</cp:coreProperties>
</file>

<file path=docProps/custom.xml><?xml version="1.0" encoding="utf-8"?>
<Properties xmlns="http://schemas.openxmlformats.org/officeDocument/2006/custom-properties" xmlns:vt="http://schemas.openxmlformats.org/officeDocument/2006/docPropsVTypes"/>
</file>