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  <w:b/>
          <w:sz w:val="36"/>
        </w:rPr>
        <w:t>数据分析 / 报表人员使用手册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i/>
          <w:color w:val="555555"/>
          <w:sz w:val="22"/>
        </w:rPr>
        <w:t>版本</w:t>
      </w:r>
      <w:r>
        <w:rPr>
          <w:rFonts w:ascii="微软雅黑" w:hAnsi="微软雅黑" w:eastAsia="微软雅黑"/>
          <w:b w:val="0"/>
          <w:i/>
          <w:color w:val="555555"/>
          <w:sz w:val="22"/>
        </w:rPr>
        <w:t xml:space="preserve">：2026-09-20 | </w:t>
      </w:r>
      <w:r>
        <w:rPr>
          <w:rFonts w:ascii="微软雅黑" w:hAnsi="微软雅黑" w:eastAsia="微软雅黑"/>
          <w:b/>
          <w:i/>
          <w:color w:val="555555"/>
          <w:sz w:val="22"/>
        </w:rPr>
        <w:t>角色</w:t>
      </w:r>
      <w:r>
        <w:rPr>
          <w:rFonts w:ascii="微软雅黑" w:hAnsi="微软雅黑" w:eastAsia="微软雅黑"/>
          <w:b w:val="0"/>
          <w:i/>
          <w:color w:val="555555"/>
          <w:sz w:val="22"/>
        </w:rPr>
        <w:t>：数据分析师、运营管理者（读报表）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i/>
          <w:color w:val="555555"/>
          <w:sz w:val="22"/>
        </w:rPr>
        <w:t>详细步骤 SSOT</w:t>
      </w:r>
      <w:r>
        <w:rPr>
          <w:rFonts w:ascii="微软雅黑" w:hAnsi="微软雅黑" w:eastAsia="微软雅黑"/>
          <w:b w:val="0"/>
          <w:i/>
          <w:color w:val="555555"/>
          <w:sz w:val="22"/>
        </w:rPr>
        <w:t>：[</w:t>
      </w:r>
      <w:r>
        <w:rPr>
          <w:rFonts w:ascii="Consolas" w:hAnsi="Consolas" w:eastAsia="Consolas"/>
          <w:b w:val="0"/>
          <w:i/>
          <w:color w:val="555555"/>
          <w:sz w:val="20"/>
        </w:rPr>
        <w:t>../产品使用操作手册.md</w:t>
      </w:r>
      <w:r>
        <w:rPr>
          <w:rFonts w:ascii="微软雅黑" w:hAnsi="微软雅黑" w:eastAsia="微软雅黑"/>
          <w:b w:val="0"/>
          <w:i/>
          <w:color w:val="555555"/>
          <w:sz w:val="22"/>
        </w:rPr>
        <w:t>](../产品使用操作手册.md) 第 7、12 章；PRD M6/M7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1. 你能做什么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b/>
          <w:sz w:val="22"/>
        </w:rPr>
        <w:t>作品监测</w:t>
      </w:r>
      <w:r>
        <w:rPr>
          <w:rFonts w:ascii="微软雅黑" w:hAnsi="微软雅黑" w:eastAsia="微软雅黑"/>
          <w:b w:val="0"/>
          <w:sz w:val="22"/>
        </w:rPr>
        <w:t>：内部/外部作品、爆款、低分、高低粉账号等（依赖已落库数据）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b/>
          <w:sz w:val="22"/>
        </w:rPr>
        <w:t>数据分析</w:t>
      </w:r>
      <w:r>
        <w:rPr>
          <w:rFonts w:ascii="微软雅黑" w:hAnsi="微软雅黑" w:eastAsia="微软雅黑"/>
          <w:b w:val="0"/>
          <w:sz w:val="22"/>
        </w:rPr>
        <w:t>：指标、</w:t>
      </w:r>
      <w:r>
        <w:rPr>
          <w:rFonts w:ascii="微软雅黑" w:hAnsi="微软雅黑" w:eastAsia="微软雅黑"/>
          <w:b/>
          <w:sz w:val="22"/>
        </w:rPr>
        <w:t>8 张标准报表</w:t>
      </w:r>
      <w:r>
        <w:rPr>
          <w:rFonts w:ascii="微软雅黑" w:hAnsi="微软雅黑" w:eastAsia="微软雅黑"/>
          <w:b w:val="0"/>
          <w:sz w:val="22"/>
        </w:rPr>
        <w:t>、漏斗、自定义查询、大屏、微信数据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b/>
          <w:sz w:val="22"/>
        </w:rPr>
        <w:t>运营管理分析页</w:t>
      </w:r>
      <w:r>
        <w:rPr>
          <w:rFonts w:ascii="微软雅黑" w:hAnsi="微软雅黑" w:eastAsia="微软雅黑"/>
          <w:b w:val="0"/>
          <w:sz w:val="22"/>
        </w:rPr>
        <w:t>：账号/粉丝/作品/内部内容/人效（M1）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2. 数据前提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现象</w:t>
            </w:r>
          </w:p>
        </w:tc>
        <w:tc>
          <w:tcPr>
            <w:tcW w:type="dxa" w:w="481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监测列表为空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often 无采集落库或未达阈值（FAQ Q12）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报表无数据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确认指标周期、IP 组筛选、权限范围</w:t>
            </w:r>
          </w:p>
        </w:tc>
      </w:tr>
    </w:tbl>
    <w:p/>
    <w:p>
      <w:pPr>
        <w:spacing w:after="120" w:line="240" w:lineRule="auto"/>
      </w:pPr>
      <w:r>
        <w:rPr>
          <w:rFonts w:ascii="微软雅黑" w:hAnsi="微软雅黑" w:eastAsia="微软雅黑"/>
          <w:b w:val="0"/>
          <w:sz w:val="22"/>
        </w:rPr>
        <w:t>采集执行层 Out of Scope 见附录 B；配置台账见配置管理 §15。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3. 关键入口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monitor-hot-work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微软雅黑" w:hAnsi="微软雅黑" w:eastAsia="微软雅黑"/>
          <w:b w:val="0"/>
          <w:color w:val="666666"/>
          <w:sz w:val="18"/>
        </w:rPr>
        <w:t>图 爆款分析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data-repo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微软雅黑" w:hAnsi="微软雅黑" w:eastAsia="微软雅黑"/>
          <w:b w:val="0"/>
          <w:color w:val="666666"/>
          <w:sz w:val="18"/>
        </w:rPr>
        <w:t>图 数据报表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页面</w:t>
            </w:r>
          </w:p>
        </w:tc>
        <w:tc>
          <w:tcPr>
            <w:tcW w:type="dxa" w:w="3213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URL</w:t>
            </w:r>
          </w:p>
        </w:tc>
        <w:tc>
          <w:tcPr>
            <w:tcW w:type="dxa" w:w="3213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手册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数据报表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/ops/analysis/data-report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§12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爆款作品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作品监测子菜单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§12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人效盘点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运营管理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§7</w:t>
            </w:r>
          </w:p>
        </w:tc>
      </w:tr>
    </w:tbl>
    <w:p/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注意</w:t>
      </w:r>
      <w:r>
        <w:rPr>
          <w:rFonts w:ascii="微软雅黑" w:hAnsi="微软雅黑" w:eastAsia="微软雅黑"/>
          <w:b w:val="0"/>
          <w:sz w:val="22"/>
        </w:rPr>
        <w:t xml:space="preserve">：报表中心卡片可能跳相对路径 </w:t>
      </w:r>
      <w:r>
        <w:rPr>
          <w:rFonts w:ascii="Consolas" w:hAnsi="Consolas" w:eastAsia="Consolas"/>
          <w:b w:val="0"/>
          <w:color w:val="333399"/>
          <w:sz w:val="20"/>
        </w:rPr>
        <w:t>/analysis/report/...</w:t>
      </w:r>
      <w:r>
        <w:rPr>
          <w:rFonts w:ascii="微软雅黑" w:hAnsi="微软雅黑" w:eastAsia="微软雅黑"/>
          <w:b w:val="0"/>
          <w:sz w:val="22"/>
        </w:rPr>
        <w:t xml:space="preserve">；建议从侧栏 </w:t>
      </w:r>
      <w:r>
        <w:rPr>
          <w:rFonts w:ascii="Consolas" w:hAnsi="Consolas" w:eastAsia="Consolas"/>
          <w:b w:val="0"/>
          <w:color w:val="333399"/>
          <w:sz w:val="20"/>
        </w:rPr>
        <w:t>/ops/analysis/data-report</w:t>
      </w:r>
      <w:r>
        <w:rPr>
          <w:rFonts w:ascii="微软雅黑" w:hAnsi="微软雅黑" w:eastAsia="微软雅黑"/>
          <w:b w:val="0"/>
          <w:sz w:val="22"/>
        </w:rPr>
        <w:t xml:space="preserve"> 进入（操作手册附录 B）。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4. 权限</w:t>
      </w:r>
    </w:p>
    <w:p>
      <w:pPr>
        <w:spacing w:after="120" w:line="240" w:lineRule="auto"/>
      </w:pPr>
      <w:r>
        <w:rPr>
          <w:rFonts w:ascii="微软雅黑" w:hAnsi="微软雅黑" w:eastAsia="微软雅黑"/>
          <w:b w:val="0"/>
          <w:sz w:val="22"/>
        </w:rPr>
        <w:t>数据可见范围：全部 / 本部门 / 本 IP 组 / 仅本人（PRD §4.2）。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5. 相关截图</w:t>
      </w:r>
    </w:p>
    <w:p>
      <w:pPr>
        <w:spacing w:after="120" w:line="240" w:lineRule="auto"/>
      </w:pPr>
      <w:r>
        <w:rPr>
          <w:rFonts w:ascii="Consolas" w:hAnsi="Consolas" w:eastAsia="Consolas"/>
          <w:b w:val="0"/>
          <w:color w:val="333399"/>
          <w:sz w:val="20"/>
        </w:rPr>
        <w:t>11-monitor-hot-works.png</w:t>
      </w:r>
      <w:r>
        <w:rPr>
          <w:rFonts w:ascii="微软雅黑" w:hAnsi="微软雅黑" w:eastAsia="微软雅黑"/>
          <w:b w:val="0"/>
          <w:sz w:val="22"/>
        </w:rPr>
        <w:t>、</w:t>
      </w:r>
      <w:r>
        <w:rPr>
          <w:rFonts w:ascii="Consolas" w:hAnsi="Consolas" w:eastAsia="Consolas"/>
          <w:b w:val="0"/>
          <w:color w:val="333399"/>
          <w:sz w:val="20"/>
        </w:rPr>
        <w:t>15-data-report.png</w:t>
      </w:r>
      <w:r>
        <w:rPr>
          <w:rFonts w:ascii="微软雅黑" w:hAnsi="微软雅黑" w:eastAsia="微软雅黑"/>
          <w:b w:val="0"/>
          <w:sz w:val="22"/>
        </w:rPr>
        <w:t>、</w:t>
      </w:r>
      <w:r>
        <w:rPr>
          <w:rFonts w:ascii="Consolas" w:hAnsi="Consolas" w:eastAsia="Consolas"/>
          <w:b w:val="0"/>
          <w:color w:val="333399"/>
          <w:sz w:val="20"/>
        </w:rPr>
        <w:t>04-dashboard.png</w:t>
      </w:r>
      <w:r>
        <w:rPr>
          <w:rFonts w:ascii="微软雅黑" w:hAnsi="微软雅黑" w:eastAsia="微软雅黑"/>
          <w:b w:val="0"/>
          <w:sz w:val="22"/>
        </w:rPr>
        <w:t>。</w:t>
      </w:r>
    </w:p>
    <w:p>
      <w:r>
        <w:rPr>
          <w:rFonts w:ascii="微软雅黑" w:hAnsi="微软雅黑" w:eastAsia="微软雅黑"/>
          <w:b w:val="0"/>
          <w:color w:val="888888"/>
          <w:sz w:val="18"/>
        </w:rPr>
        <w:br/>
        <w:t>—— 截图于本地联调环境（http://127.0.0.1:5777）采集，数据为空属演示环境常态；账号口令请以实际环境为准，勿将密钥写入手册。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