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6"/>
        </w:rPr>
        <w:t>系统管理员使用手册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版本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：2026-09-20 | </w:t>
      </w:r>
      <w:r>
        <w:rPr>
          <w:rFonts w:ascii="微软雅黑" w:hAnsi="微软雅黑" w:eastAsia="微软雅黑"/>
          <w:b/>
          <w:i/>
          <w:color w:val="555555"/>
          <w:sz w:val="22"/>
        </w:rPr>
        <w:t>角色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：租户管理员、IT 运维（业务配置向）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详细步骤 SSOT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../产品使用操作手册.md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](../产品使用操作手册.md) 第 8、15、16、17 章；部署 [</w:t>
      </w:r>
      <w:r>
        <w:rPr>
          <w:rFonts w:ascii="Consolas" w:hAnsi="Consolas" w:eastAsia="Consolas"/>
          <w:b w:val="0"/>
          <w:i/>
          <w:color w:val="555555"/>
          <w:sz w:val="20"/>
        </w:rPr>
        <w:t>../../delivery/product-handover/OPS产品交付-部署运维手册.md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](../../delivery/product-handover/OPS产品交付-部署运维手册.md)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你能做什么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ystem-pa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系统参数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系统参数</w:t>
      </w:r>
      <w:r>
        <w:rPr>
          <w:rFonts w:ascii="微软雅黑" w:hAnsi="微软雅黑" w:eastAsia="微软雅黑"/>
          <w:b w:val="0"/>
          <w:sz w:val="22"/>
        </w:rPr>
        <w:t>：基础配置、钉钉、内容审核层级（</w:t>
      </w:r>
      <w:r>
        <w:rPr>
          <w:rFonts w:ascii="Consolas" w:hAnsi="Consolas" w:eastAsia="Consolas"/>
          <w:b w:val="0"/>
          <w:color w:val="333399"/>
          <w:sz w:val="20"/>
        </w:rPr>
        <w:t>/ops/system/sys-param</w:t>
      </w:r>
      <w:r>
        <w:rPr>
          <w:rFonts w:ascii="微软雅黑" w:hAnsi="微软雅黑" w:eastAsia="微软雅黑"/>
          <w:b w:val="0"/>
          <w:sz w:val="22"/>
        </w:rPr>
        <w:t>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配置管理</w:t>
      </w:r>
      <w:r>
        <w:rPr>
          <w:rFonts w:ascii="微软雅黑" w:hAnsi="微软雅黑" w:eastAsia="微软雅黑"/>
          <w:b w:val="0"/>
          <w:sz w:val="22"/>
        </w:rPr>
        <w:t>：AI 模型、提示词、阈值、内外部采集配置、订单采集等（§15）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系统管理（OA）</w:t>
      </w:r>
      <w:r>
        <w:rPr>
          <w:rFonts w:ascii="微软雅黑" w:hAnsi="微软雅黑" w:eastAsia="微软雅黑"/>
          <w:b w:val="0"/>
          <w:sz w:val="22"/>
        </w:rPr>
        <w:t>：用户/角色/租户/字典/日志（Football 体系，菜单以侧栏为准）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配合运维：环境变量、Nacos、Gateway 路由（</w:t>
      </w:r>
      <w:r>
        <w:rPr>
          <w:rFonts w:ascii="微软雅黑" w:hAnsi="微软雅黑" w:eastAsia="微软雅黑"/>
          <w:b/>
          <w:sz w:val="22"/>
        </w:rPr>
        <w:t>非</w:t>
      </w:r>
      <w:r>
        <w:rPr>
          <w:rFonts w:ascii="微软雅黑" w:hAnsi="微软雅黑" w:eastAsia="微软雅黑"/>
          <w:b w:val="0"/>
          <w:sz w:val="22"/>
        </w:rPr>
        <w:t>本手册逐步安装，见部署运维手册）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 AI 模型配置要点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-system-param-dingtal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钉钉配置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配置位置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jingcai 内容/scheme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环境变量 FOOTBALL_AI_* / AUTHOR_AI_SCHEME_*（生产）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排版语义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配置管理 · AI 模型，场景 AI_TYPESET_SEMANTIC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一键排版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无需模型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详见 §15.1 与 [</w:t>
      </w:r>
      <w:r>
        <w:rPr>
          <w:rFonts w:ascii="Consolas" w:hAnsi="Consolas" w:eastAsia="Consolas"/>
          <w:b w:val="0"/>
          <w:color w:val="333399"/>
          <w:sz w:val="20"/>
        </w:rPr>
        <w:t>env-variables.md</w:t>
      </w:r>
      <w:r>
        <w:rPr>
          <w:rFonts w:ascii="微软雅黑" w:hAnsi="微软雅黑" w:eastAsia="微软雅黑"/>
          <w:b w:val="0"/>
          <w:sz w:val="22"/>
        </w:rPr>
        <w:t>](../../deploy/ops-greenfield-production/config/env-variables.md)。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 采集与 Collector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变量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COLLECTOR_BASE_URL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统一采集服务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COLLECTOR_API_TOKEN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 collector 侧 token 一致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M10 </w:t>
      </w:r>
      <w:r>
        <w:rPr>
          <w:rFonts w:ascii="微软雅黑" w:hAnsi="微软雅黑" w:eastAsia="微软雅黑"/>
          <w:b/>
          <w:sz w:val="22"/>
        </w:rPr>
        <w:t>任务调度运维</w:t>
      </w:r>
      <w:r>
        <w:rPr>
          <w:rFonts w:ascii="微软雅黑" w:hAnsi="微软雅黑" w:eastAsia="微软雅黑"/>
          <w:b w:val="0"/>
          <w:sz w:val="22"/>
        </w:rPr>
        <w:t xml:space="preserve"> Phase 2；本期在配置管理维护凭证与外部账号台账即可。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 安全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`OA_AES_KEY`</w:t>
      </w:r>
      <w:r>
        <w:rPr>
          <w:rFonts w:ascii="微软雅黑" w:hAnsi="微软雅黑" w:eastAsia="微软雅黑"/>
          <w:b w:val="0"/>
          <w:sz w:val="22"/>
        </w:rPr>
        <w:t xml:space="preserve">：敏感字段加密；轮换需重加密，勿随意变更。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权限与菜单：在 </w:t>
      </w:r>
      <w:r>
        <w:rPr>
          <w:rFonts w:ascii="微软雅黑" w:hAnsi="微软雅黑" w:eastAsia="微软雅黑"/>
          <w:b/>
          <w:sz w:val="22"/>
        </w:rPr>
        <w:t>shenyu-system</w:t>
      </w:r>
      <w:r>
        <w:rPr>
          <w:rFonts w:ascii="微软雅黑" w:hAnsi="微软雅黑" w:eastAsia="微软雅黑"/>
          <w:b w:val="0"/>
          <w:sz w:val="22"/>
        </w:rPr>
        <w:t xml:space="preserve"> 维护（Greenfield SQL </w:t>
      </w:r>
      <w:r>
        <w:rPr>
          <w:rFonts w:ascii="Consolas" w:hAnsi="Consolas" w:eastAsia="Consolas"/>
          <w:b w:val="0"/>
          <w:color w:val="333399"/>
          <w:sz w:val="20"/>
        </w:rPr>
        <w:t>02-shenyu-system-menus.sql</w:t>
      </w:r>
      <w:r>
        <w:rPr>
          <w:rFonts w:ascii="微软雅黑" w:hAnsi="微软雅黑" w:eastAsia="微软雅黑"/>
          <w:b w:val="0"/>
          <w:sz w:val="22"/>
        </w:rPr>
        <w:t xml:space="preserve">）。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用户 ID SSOT：ADR-056（Football </w:t>
      </w:r>
      <w:r>
        <w:rPr>
          <w:rFonts w:ascii="Consolas" w:hAnsi="Consolas" w:eastAsia="Consolas"/>
          <w:b w:val="0"/>
          <w:color w:val="333399"/>
          <w:sz w:val="20"/>
        </w:rPr>
        <w:t>system_users.id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 健康检查（运维协作）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检查项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URL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ops-server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http://127.0.0.1:48094/actuator/health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集成栈日志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scripts/logs/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6. 相关截图</w:t>
      </w:r>
    </w:p>
    <w:p>
      <w:pPr>
        <w:spacing w:after="120" w:line="240" w:lineRule="auto"/>
      </w:pPr>
      <w:r>
        <w:rPr>
          <w:rFonts w:ascii="Consolas" w:hAnsi="Consolas" w:eastAsia="Consolas"/>
          <w:b w:val="0"/>
          <w:color w:val="333399"/>
          <w:sz w:val="20"/>
        </w:rPr>
        <w:t>12-system-param.png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color w:val="333399"/>
          <w:sz w:val="20"/>
        </w:rPr>
        <w:t>12b-system-param-dingtalk.png</w:t>
      </w:r>
      <w:r>
        <w:rPr>
          <w:rFonts w:ascii="微软雅黑" w:hAnsi="微软雅黑" w:eastAsia="微软雅黑"/>
          <w:b w:val="0"/>
          <w:sz w:val="22"/>
        </w:rPr>
        <w:t>、</w:t>
      </w:r>
      <w:r>
        <w:rPr>
          <w:rFonts w:ascii="Consolas" w:hAnsi="Consolas" w:eastAsia="Consolas"/>
          <w:b w:val="0"/>
          <w:color w:val="333399"/>
          <w:sz w:val="20"/>
        </w:rPr>
        <w:t>12c-system-param-review.png</w:t>
      </w:r>
      <w:r>
        <w:rPr>
          <w:rFonts w:ascii="微软雅黑" w:hAnsi="微软雅黑" w:eastAsia="微软雅黑"/>
          <w:b w:val="0"/>
          <w:sz w:val="22"/>
        </w:rPr>
        <w:t>；配置管理子页</w:t>
      </w:r>
      <w:r>
        <w:rPr>
          <w:rFonts w:ascii="微软雅黑" w:hAnsi="微软雅黑" w:eastAsia="微软雅黑"/>
          <w:b/>
          <w:sz w:val="22"/>
        </w:rPr>
        <w:t>无独立交付截图</w:t>
      </w:r>
      <w:r>
        <w:rPr>
          <w:rFonts w:ascii="微软雅黑" w:hAnsi="微软雅黑" w:eastAsia="微软雅黑"/>
          <w:b w:val="0"/>
          <w:sz w:val="22"/>
        </w:rPr>
        <w:t>（以表单字段为准）。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br/>
        <w:t>—— 截图于本地联调环境（http://127.0.0.1:5777）采集，数据为空属演示环境常态；账号口令请以实际环境为准，勿将密钥写入手册。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