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财务人员 · 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：v2.1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线上环境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 ·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：财务、成本核算、ROI 分析岗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Spec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../PRD-业务版-v9.2.md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](../PRD-业务版-v9.2.md) · 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§14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账号成本管理维护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与 ROI / 报表的衔接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角色定位与适用人员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财务人员</w:t>
      </w:r>
      <w:r>
        <w:rPr>
          <w:rFonts w:ascii="微软雅黑" w:hAnsi="微软雅黑" w:eastAsia="微软雅黑"/>
          <w:b w:val="0"/>
          <w:sz w:val="22"/>
        </w:rPr>
        <w:t xml:space="preserve">在 OPS 中主要负责 </w:t>
      </w:r>
      <w:r>
        <w:rPr>
          <w:rFonts w:ascii="微软雅黑" w:hAnsi="微软雅黑" w:eastAsia="微软雅黑"/>
          <w:b/>
          <w:sz w:val="22"/>
        </w:rPr>
        <w:t>账号维度成本台账</w:t>
      </w:r>
      <w:r>
        <w:rPr>
          <w:rFonts w:ascii="微软雅黑" w:hAnsi="微软雅黑" w:eastAsia="微软雅黑"/>
          <w:b w:val="0"/>
          <w:sz w:val="22"/>
        </w:rPr>
        <w:t xml:space="preserve">（采购成本 + 过程成本），为 ROI 分析、人效盘点、管理报表提供 </w:t>
      </w:r>
      <w:r>
        <w:rPr>
          <w:rFonts w:ascii="微软雅黑" w:hAnsi="微软雅黑" w:eastAsia="微软雅黑"/>
          <w:b/>
          <w:sz w:val="22"/>
        </w:rPr>
        <w:t>投入侧数据</w:t>
      </w:r>
      <w:r>
        <w:rPr>
          <w:rFonts w:ascii="微软雅黑" w:hAnsi="微软雅黑" w:eastAsia="微软雅黑"/>
          <w:b w:val="0"/>
          <w:sz w:val="22"/>
        </w:rPr>
        <w:t>。一般不参与内容审核与任务执行。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产品业务价值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价值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成本归集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按平台账号汇总采购/过程/总成本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决策支持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与订单营收、ROI 分析、数据报表卡片联动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审计追溯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过程成本明细含类型、金额、日期、支付方式、归属周期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整体操作流程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 </w:t>
      </w:r>
      <w:r>
        <w:rPr>
          <w:rFonts w:ascii="微软雅黑" w:hAnsi="微软雅黑" w:eastAsia="微软雅黑"/>
          <w:b/>
          <w:sz w:val="22"/>
        </w:rPr>
        <w:t>平台账号</w:t>
      </w:r>
      <w:r>
        <w:rPr>
          <w:rFonts w:ascii="微软雅黑" w:hAnsi="微软雅黑" w:eastAsia="微软雅黑"/>
          <w:b w:val="0"/>
          <w:sz w:val="22"/>
        </w:rPr>
        <w:t xml:space="preserve"> 已由账号管理员建档（§账号管理员手册）。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微软雅黑" w:hAnsi="微软雅黑" w:eastAsia="微软雅黑"/>
          <w:b/>
          <w:sz w:val="22"/>
        </w:rPr>
        <w:t>账号成本管理</w:t>
      </w:r>
      <w:r>
        <w:rPr>
          <w:rFonts w:ascii="微软雅黑" w:hAnsi="微软雅黑" w:eastAsia="微软雅黑"/>
          <w:b w:val="0"/>
          <w:sz w:val="22"/>
        </w:rPr>
        <w:t>，按平台 Tab 找到账号。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成本管理</w:t>
      </w:r>
      <w:r>
        <w:rPr>
          <w:rFonts w:ascii="微软雅黑" w:hAnsi="微软雅黑" w:eastAsia="微软雅黑"/>
          <w:b w:val="0"/>
          <w:sz w:val="22"/>
        </w:rPr>
        <w:t xml:space="preserve"> 弹窗维护 </w:t>
      </w:r>
      <w:r>
        <w:rPr>
          <w:rFonts w:ascii="微软雅黑" w:hAnsi="微软雅黑" w:eastAsia="微软雅黑"/>
          <w:b/>
          <w:sz w:val="22"/>
        </w:rPr>
        <w:t>采购成本</w:t>
      </w:r>
      <w:r>
        <w:rPr>
          <w:rFonts w:ascii="微软雅黑" w:hAnsi="微软雅黑" w:eastAsia="微软雅黑"/>
          <w:b w:val="0"/>
          <w:sz w:val="22"/>
        </w:rPr>
        <w:t xml:space="preserve"> 与 </w:t>
      </w:r>
      <w:r>
        <w:rPr>
          <w:rFonts w:ascii="微软雅黑" w:hAnsi="微软雅黑" w:eastAsia="微软雅黑"/>
          <w:b/>
          <w:sz w:val="22"/>
        </w:rPr>
        <w:t>过程成本</w:t>
      </w:r>
      <w:r>
        <w:rPr>
          <w:rFonts w:ascii="微软雅黑" w:hAnsi="微软雅黑" w:eastAsia="微软雅黑"/>
          <w:b w:val="0"/>
          <w:sz w:val="22"/>
        </w:rPr>
        <w:t xml:space="preserve"> 明细。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查看</w:t>
      </w:r>
      <w:r>
        <w:rPr>
          <w:rFonts w:ascii="微软雅黑" w:hAnsi="微软雅黑" w:eastAsia="微软雅黑"/>
          <w:b w:val="0"/>
          <w:sz w:val="22"/>
        </w:rPr>
        <w:t xml:space="preserve"> 抽屉核对 ROI/LTV/CAC 类指标与趋势。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需要对比分析时打开 </w:t>
      </w:r>
      <w:r>
        <w:rPr>
          <w:rFonts w:ascii="微软雅黑" w:hAnsi="微软雅黑" w:eastAsia="微软雅黑"/>
          <w:b/>
          <w:sz w:val="22"/>
        </w:rPr>
        <w:t>ROI 分析</w:t>
      </w:r>
      <w:r>
        <w:rPr>
          <w:rFonts w:ascii="微软雅黑" w:hAnsi="微软雅黑" w:eastAsia="微软雅黑"/>
          <w:b w:val="0"/>
          <w:sz w:val="22"/>
        </w:rPr>
        <w:t xml:space="preserve">（财务菜单）或 </w:t>
      </w:r>
      <w:r>
        <w:rPr>
          <w:rFonts w:ascii="微软雅黑" w:hAnsi="微软雅黑" w:eastAsia="微软雅黑"/>
          <w:b/>
          <w:sz w:val="22"/>
        </w:rPr>
        <w:t>数据报表/订单归因</w:t>
      </w:r>
      <w:r>
        <w:rPr>
          <w:rFonts w:ascii="微软雅黑" w:hAnsi="微软雅黑" w:eastAsia="微软雅黑"/>
          <w:b w:val="0"/>
          <w:sz w:val="22"/>
        </w:rPr>
        <w:t>（与运营主管协作解读）。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LR</w:t>
        <w:br/>
        <w:t xml:space="preserve">  A[账号台账] --&gt; B[录入采购/过程成本]</w:t>
        <w:br/>
        <w:t xml:space="preserve">  B --&gt; C[账号成本列表刷新]</w:t>
        <w:br/>
        <w:t xml:space="preserve">  C --&gt; D[ROI分析/人效/报表]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与其他角色衔接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提供账号主数据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读报表决策，不录成本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一般不录财务成本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数据采集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订单/营收数据依赖订单采集配置（配置岗）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账号成本管理维护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count-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账号成本管理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统一维护单账号 </w:t>
      </w:r>
      <w:r>
        <w:rPr>
          <w:rFonts w:ascii="微软雅黑" w:hAnsi="微软雅黑" w:eastAsia="微软雅黑"/>
          <w:b/>
          <w:sz w:val="22"/>
        </w:rPr>
        <w:t>采购成本</w:t>
      </w:r>
      <w:r>
        <w:rPr>
          <w:rFonts w:ascii="微软雅黑" w:hAnsi="微软雅黑" w:eastAsia="微软雅黑"/>
          <w:b w:val="0"/>
          <w:sz w:val="22"/>
        </w:rPr>
        <w:t xml:space="preserve">（通常一次性）与 </w:t>
      </w:r>
      <w:r>
        <w:rPr>
          <w:rFonts w:ascii="微软雅黑" w:hAnsi="微软雅黑" w:eastAsia="微软雅黑"/>
          <w:b/>
          <w:sz w:val="22"/>
        </w:rPr>
        <w:t>过程成本</w:t>
      </w:r>
      <w:r>
        <w:rPr>
          <w:rFonts w:ascii="微软雅黑" w:hAnsi="微软雅黑" w:eastAsia="微软雅黑"/>
          <w:b w:val="0"/>
          <w:sz w:val="22"/>
        </w:rPr>
        <w:t xml:space="preserve">（租赁、投流、认证等多笔），自动汇总 </w:t>
      </w:r>
      <w:r>
        <w:rPr>
          <w:rFonts w:ascii="微软雅黑" w:hAnsi="微软雅黑" w:eastAsia="微软雅黑"/>
          <w:b/>
          <w:sz w:val="22"/>
        </w:rPr>
        <w:t>总成本</w:t>
      </w:r>
      <w:r>
        <w:rPr>
          <w:rFonts w:ascii="微软雅黑" w:hAnsi="微软雅黑" w:eastAsia="微软雅黑"/>
          <w:b w:val="0"/>
          <w:sz w:val="22"/>
        </w:rPr>
        <w:t>，供 ROI 与人效计算。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财务管理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账号成本管理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/ops/finance/account-cost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https://saas.shenyu.com/#/ops/finance/account-cost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!账号成本管理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操作流程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查看汇总：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</w:t>
      </w:r>
      <w:r>
        <w:rPr>
          <w:rFonts w:ascii="微软雅黑" w:hAnsi="微软雅黑" w:eastAsia="微软雅黑"/>
          <w:b/>
          <w:sz w:val="22"/>
        </w:rPr>
        <w:t>平台 Tab</w:t>
      </w:r>
      <w:r>
        <w:rPr>
          <w:rFonts w:ascii="微软雅黑" w:hAnsi="微软雅黑" w:eastAsia="微软雅黑"/>
          <w:b w:val="0"/>
          <w:sz w:val="22"/>
        </w:rPr>
        <w:t>，按账号名称筛选。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列表查看 </w:t>
      </w:r>
      <w:r>
        <w:rPr>
          <w:rFonts w:ascii="微软雅黑" w:hAnsi="微软雅黑" w:eastAsia="微软雅黑"/>
          <w:b/>
          <w:sz w:val="22"/>
        </w:rPr>
        <w:t>采购成本、过程成本、总成本</w:t>
      </w:r>
      <w:r>
        <w:rPr>
          <w:rFonts w:ascii="微软雅黑" w:hAnsi="微软雅黑" w:eastAsia="微软雅黑"/>
          <w:b w:val="0"/>
          <w:sz w:val="22"/>
        </w:rPr>
        <w:t xml:space="preserve"> 列。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查看</w:t>
      </w:r>
      <w:r>
        <w:rPr>
          <w:rFonts w:ascii="微软雅黑" w:hAnsi="微软雅黑" w:eastAsia="微软雅黑"/>
          <w:b w:val="0"/>
          <w:sz w:val="22"/>
        </w:rPr>
        <w:t xml:space="preserve"> → 抽屉内看账号信息、周期 </w:t>
      </w:r>
      <w:r>
        <w:rPr>
          <w:rFonts w:ascii="微软雅黑" w:hAnsi="微软雅黑" w:eastAsia="微软雅黑"/>
          <w:b/>
          <w:sz w:val="22"/>
        </w:rPr>
        <w:t>ROI/LTV/CAC</w:t>
      </w:r>
      <w:r>
        <w:rPr>
          <w:rFonts w:ascii="微软雅黑" w:hAnsi="微软雅黑" w:eastAsia="微软雅黑"/>
          <w:b w:val="0"/>
          <w:sz w:val="22"/>
        </w:rPr>
        <w:t>、成本结构与明细趋势。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维护成本：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 </w:t>
      </w:r>
      <w:r>
        <w:rPr>
          <w:rFonts w:ascii="微软雅黑" w:hAnsi="微软雅黑" w:eastAsia="微软雅黑"/>
          <w:b/>
          <w:sz w:val="22"/>
        </w:rPr>
        <w:t>成本管理</w:t>
      </w:r>
      <w:r>
        <w:rPr>
          <w:rFonts w:ascii="微软雅黑" w:hAnsi="微软雅黑" w:eastAsia="微软雅黑"/>
          <w:b w:val="0"/>
          <w:sz w:val="22"/>
        </w:rPr>
        <w:t>（或等价按钮）。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采购成本</w:t>
      </w:r>
      <w:r>
        <w:rPr>
          <w:rFonts w:ascii="微软雅黑" w:hAnsi="微软雅黑" w:eastAsia="微软雅黑"/>
          <w:b w:val="0"/>
          <w:sz w:val="22"/>
        </w:rPr>
        <w:t>：维护/更新单条采购类记录（金额、日期等以表单为准）。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过程成本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新增</w:t>
      </w:r>
      <w:r>
        <w:rPr>
          <w:rFonts w:ascii="微软雅黑" w:hAnsi="微软雅黑" w:eastAsia="微软雅黑"/>
          <w:b w:val="0"/>
          <w:sz w:val="22"/>
        </w:rPr>
        <w:t xml:space="preserve"> 行 — 类型、金额、发生日期、支付方式、归属周期；可 </w:t>
      </w:r>
      <w:r>
        <w:rPr>
          <w:rFonts w:ascii="微软雅黑" w:hAnsi="微软雅黑" w:eastAsia="微软雅黑"/>
          <w:b/>
          <w:sz w:val="22"/>
        </w:rPr>
        <w:t>编辑/删除</w:t>
      </w:r>
      <w:r>
        <w:rPr>
          <w:rFonts w:ascii="微软雅黑" w:hAnsi="微软雅黑" w:eastAsia="微软雅黑"/>
          <w:b w:val="0"/>
          <w:sz w:val="22"/>
        </w:rPr>
        <w:t xml:space="preserve"> 非采购条目。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关闭弹窗，列表数字刷新。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需要台账文件时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成本数据按 </w:t>
      </w:r>
      <w:r>
        <w:rPr>
          <w:rFonts w:ascii="微软雅黑" w:hAnsi="微软雅黑" w:eastAsia="微软雅黑"/>
          <w:b/>
          <w:sz w:val="22"/>
        </w:rPr>
        <w:t>租户隔离</w:t>
      </w:r>
      <w:r>
        <w:rPr>
          <w:rFonts w:ascii="微软雅黑" w:hAnsi="微软雅黑" w:eastAsia="微软雅黑"/>
          <w:b w:val="0"/>
          <w:sz w:val="22"/>
        </w:rPr>
        <w:t>；仅能看到权限范围内账号（常与 IP 组/数据权限相关）。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删除过程成本不可恢复，删除前核对周期归属。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无订单/营收时 ROI 显示为 0 或空 — 先确认订单采集与归因数据是否入库。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与分析菜单 </w:t>
      </w:r>
      <w:r>
        <w:rPr>
          <w:rFonts w:ascii="微软雅黑" w:hAnsi="微软雅黑" w:eastAsia="微软雅黑"/>
          <w:b/>
          <w:sz w:val="22"/>
        </w:rPr>
        <w:t>总体财务分析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99"/>
          <w:sz w:val="20"/>
        </w:rPr>
        <w:t>/ops/analysis/financial-analysis</w:t>
      </w:r>
      <w:r>
        <w:rPr>
          <w:rFonts w:ascii="微软雅黑" w:hAnsi="微软雅黑" w:eastAsia="微软雅黑"/>
          <w:b w:val="0"/>
          <w:sz w:val="22"/>
        </w:rPr>
        <w:t xml:space="preserve"> 互补，口径以页面说明为准。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待补截图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：账号成本「成本管理」弹窗内过程成本明细表单。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API-M5-财务管理.md</w:t>
      </w:r>
      <w:r>
        <w:rPr>
          <w:rFonts w:ascii="微软雅黑" w:hAnsi="微软雅黑" w:eastAsia="微软雅黑"/>
          <w:b w:val="0"/>
          <w:sz w:val="22"/>
        </w:rPr>
        <w:t xml:space="preserve">](../../engineering/API-M5-财务管理.md) §1.2 </w:t>
      </w:r>
      <w:r>
        <w:rPr>
          <w:rFonts w:ascii="Consolas" w:hAnsi="Consolas" w:eastAsia="Consolas"/>
          <w:b w:val="0"/>
          <w:color w:val="333399"/>
          <w:sz w:val="20"/>
        </w:rPr>
        <w:t>POST /finance/cost/create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平台账号选择器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costType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dict_cost_type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≥0.01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payMethod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dict_cost_pay_method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dict_cost_period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payDate / remark / attachmentId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采购成本 UI 单条 vs 过程成本多行</w:t>
      </w:r>
      <w:r>
        <w:rPr>
          <w:rFonts w:ascii="微软雅黑" w:hAnsi="微软雅黑" w:eastAsia="微软雅黑"/>
          <w:b w:val="0"/>
          <w:sz w:val="22"/>
        </w:rPr>
        <w:t xml:space="preserve">：前端表单细分 — </w:t>
      </w:r>
      <w:r>
        <w:rPr>
          <w:rFonts w:ascii="微软雅黑" w:hAnsi="微软雅黑" w:eastAsia="微软雅黑"/>
          <w:b/>
          <w:sz w:val="22"/>
        </w:rPr>
        <w:t>待 Spec 确认</w:t>
      </w:r>
      <w:r>
        <w:rPr>
          <w:rFonts w:ascii="微软雅黑" w:hAnsi="微软雅黑" w:eastAsia="微软雅黑"/>
          <w:b w:val="0"/>
          <w:sz w:val="22"/>
        </w:rPr>
        <w:t>（UX-M5 未逐字段与 API 对齐表）。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与 ROI / 报表的衔接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财务常用动作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ROI 分析（财务）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https://saas.shenyu.com/#/ops/finance/roi-analysis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 IP 组/账号/日期 → 查 ROI 对比、成本结构 → 导出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订单归因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https://saas.shenyu.com/#/ops/performance/order-attribution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核对成交与投入、ROI Tab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数据报表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https://saas.shenyu.com/#/ops/analysis/data-report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 ROI/成本分摊类卡片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人效盘点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https://saas.shenyu.com/#/ops/operations/efficiency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只读核对人力侧 ROI（运营菜单）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步骤示例（ROI 分析）：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打开 ROI 分析，选 IP 组、账号、日期、聚合维度。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 → 看汇总卡（总成本、营收、ROI）。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 </w:t>
      </w:r>
      <w:r>
        <w:rPr>
          <w:rFonts w:ascii="微软雅黑" w:hAnsi="微软雅黑" w:eastAsia="微软雅黑"/>
          <w:b/>
          <w:sz w:val="22"/>
        </w:rPr>
        <w:t>ROI对比 / 成本结构</w:t>
      </w:r>
      <w:r>
        <w:rPr>
          <w:rFonts w:ascii="微软雅黑" w:hAnsi="微软雅黑" w:eastAsia="微软雅黑"/>
          <w:b w:val="0"/>
          <w:sz w:val="22"/>
        </w:rPr>
        <w:t xml:space="preserve"> Tab →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附录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完整财务章节：[</w:t>
      </w:r>
      <w:r>
        <w:rPr>
          <w:rFonts w:ascii="Consolas" w:hAnsi="Consolas" w:eastAsia="Consolas"/>
          <w:b w:val="0"/>
          <w:color w:val="333399"/>
          <w:sz w:val="20"/>
        </w:rPr>
        <w:t>../产品使用操作手册.md</w:t>
      </w:r>
      <w:r>
        <w:rPr>
          <w:rFonts w:ascii="微软雅黑" w:hAnsi="微软雅黑" w:eastAsia="微软雅黑"/>
          <w:b w:val="0"/>
          <w:sz w:val="22"/>
        </w:rPr>
        <w:t xml:space="preserve">](../产品使用操作手册.md) §14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错误码与权限：业务 1500–1504；菜单 </w:t>
      </w:r>
      <w:r>
        <w:rPr>
          <w:rFonts w:ascii="Consolas" w:hAnsi="Consolas" w:eastAsia="Consolas"/>
          <w:b w:val="0"/>
          <w:color w:val="333399"/>
          <w:sz w:val="20"/>
        </w:rPr>
        <w:t>oa:cost:list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v2.0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