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b/>
          <w:sz w:val="36"/>
        </w:rPr>
        <w:t>账号 / 资产管理员使用手册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i/>
          <w:color w:val="555555"/>
          <w:sz w:val="22"/>
        </w:rPr>
        <w:t>版本</w:t>
      </w:r>
      <w:r>
        <w:rPr>
          <w:rFonts w:ascii="微软雅黑" w:hAnsi="微软雅黑" w:eastAsia="微软雅黑"/>
          <w:b w:val="0"/>
          <w:i/>
          <w:color w:val="555555"/>
          <w:sz w:val="22"/>
        </w:rPr>
        <w:t xml:space="preserve">：2026-09-20 | </w:t>
      </w:r>
      <w:r>
        <w:rPr>
          <w:rFonts w:ascii="微软雅黑" w:hAnsi="微软雅黑" w:eastAsia="微软雅黑"/>
          <w:b/>
          <w:i/>
          <w:color w:val="555555"/>
          <w:sz w:val="22"/>
        </w:rPr>
        <w:t>角色</w:t>
      </w:r>
      <w:r>
        <w:rPr>
          <w:rFonts w:ascii="微软雅黑" w:hAnsi="微软雅黑" w:eastAsia="微软雅黑"/>
          <w:b w:val="0"/>
          <w:i/>
          <w:color w:val="555555"/>
          <w:sz w:val="22"/>
        </w:rPr>
        <w:t>：账号管理员、资产台账维护、系统管理员（账号域）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i/>
          <w:color w:val="555555"/>
          <w:sz w:val="22"/>
        </w:rPr>
        <w:t>详细步骤 SSOT</w:t>
      </w:r>
      <w:r>
        <w:rPr>
          <w:rFonts w:ascii="微软雅黑" w:hAnsi="微软雅黑" w:eastAsia="微软雅黑"/>
          <w:b w:val="0"/>
          <w:i/>
          <w:color w:val="555555"/>
          <w:sz w:val="22"/>
        </w:rPr>
        <w:t>：[</w:t>
      </w:r>
      <w:r>
        <w:rPr>
          <w:rFonts w:ascii="Consolas" w:hAnsi="Consolas" w:eastAsia="Consolas"/>
          <w:b w:val="0"/>
          <w:i/>
          <w:color w:val="555555"/>
          <w:sz w:val="20"/>
        </w:rPr>
        <w:t>../产品使用操作手册.md</w:t>
      </w:r>
      <w:r>
        <w:rPr>
          <w:rFonts w:ascii="微软雅黑" w:hAnsi="微软雅黑" w:eastAsia="微软雅黑"/>
          <w:b w:val="0"/>
          <w:i/>
          <w:color w:val="555555"/>
          <w:sz w:val="22"/>
        </w:rPr>
        <w:t>](../产品使用操作手册.md) 第 7、11 章；PRD M4 [</w:t>
      </w:r>
      <w:r>
        <w:rPr>
          <w:rFonts w:ascii="Consolas" w:hAnsi="Consolas" w:eastAsia="Consolas"/>
          <w:b w:val="0"/>
          <w:i/>
          <w:color w:val="555555"/>
          <w:sz w:val="20"/>
        </w:rPr>
        <w:t>../../product/PRD-M4-账号管理.md</w:t>
      </w:r>
      <w:r>
        <w:rPr>
          <w:rFonts w:ascii="微软雅黑" w:hAnsi="微软雅黑" w:eastAsia="微软雅黑"/>
          <w:b w:val="0"/>
          <w:i/>
          <w:color w:val="555555"/>
          <w:sz w:val="22"/>
        </w:rPr>
        <w:t>](../../product/PRD-M4-账号管理.md)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1. 你能做什么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 xml:space="preserve">维护 </w:t>
      </w:r>
      <w:r>
        <w:rPr>
          <w:rFonts w:ascii="微软雅黑" w:hAnsi="微软雅黑" w:eastAsia="微软雅黑"/>
          <w:b/>
          <w:sz w:val="22"/>
        </w:rPr>
        <w:t>公司 → 实名人 → 手机/手机卡 → 平台账号/个人账号 → IP 组</w:t>
      </w:r>
      <w:r>
        <w:rPr>
          <w:rFonts w:ascii="微软雅黑" w:hAnsi="微软雅黑" w:eastAsia="微软雅黑"/>
          <w:b w:val="0"/>
          <w:sz w:val="22"/>
        </w:rPr>
        <w:t xml:space="preserve"> 关联链路，以及：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>• 公司管理、实名人、手机、手机卡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>• 平台账号 / 个人账号、三方关联统计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平台账号详情中的 </w:t>
      </w:r>
      <w:r>
        <w:rPr>
          <w:rFonts w:ascii="微软雅黑" w:hAnsi="微软雅黑" w:eastAsia="微软雅黑"/>
          <w:b/>
          <w:sz w:val="22"/>
        </w:rPr>
        <w:t>采集 Tab</w:t>
      </w:r>
      <w:r>
        <w:rPr>
          <w:rFonts w:ascii="微软雅黑" w:hAnsi="微软雅黑" w:eastAsia="微软雅黑"/>
          <w:b w:val="0"/>
          <w:sz w:val="22"/>
        </w:rPr>
        <w:t>（账号级绑定/探活，非全量 M10 调度）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2. 推荐建档顺序</w:t>
      </w:r>
    </w:p>
    <w:p>
      <w:pPr>
        <w:spacing w:after="160"/>
        <w:ind w:left="227"/>
      </w:pPr>
      <w:r>
        <w:rPr>
          <w:rFonts w:ascii="Consolas" w:hAnsi="Consolas" w:eastAsia="Consolas"/>
          <w:b w:val="0"/>
          <w:color w:val="222222"/>
          <w:sz w:val="18"/>
        </w:rPr>
        <w:t>公司主体 → IP 组（大组/小组）→ 手机卡/手机 → 实名人</w:t>
        <w:br/>
        <w:t>→ 各平台账号并关联 IP 组 → 微信-视频号-企微三方关联（如适用）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>业务规则见 PRD BR-019~BR-023（IP 层级、容量管理、三方关联）。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3. 关键页面（代表）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ip-grou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图 IP 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internal-accou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图 平台账号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能力</w:t>
            </w:r>
          </w:p>
        </w:tc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典型路径</w:t>
            </w:r>
          </w:p>
        </w:tc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手册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IP 组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/ops/operations/ip-group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§7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平台账号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/ops/account/...（见菜单）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§11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公司/实名人/手机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账号管理子菜单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§11</w:t>
            </w:r>
          </w:p>
        </w:tc>
      </w:tr>
    </w:tbl>
    <w:p/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>完整路由：[</w:t>
      </w:r>
      <w:r>
        <w:rPr>
          <w:rFonts w:ascii="Consolas" w:hAnsi="Consolas" w:eastAsia="Consolas"/>
          <w:b w:val="0"/>
          <w:color w:val="333399"/>
          <w:sz w:val="20"/>
        </w:rPr>
        <w:t>OPS-MENU-ROUTE-INDEX.md</w:t>
      </w:r>
      <w:r>
        <w:rPr>
          <w:rFonts w:ascii="微软雅黑" w:hAnsi="微软雅黑" w:eastAsia="微软雅黑"/>
          <w:b w:val="0"/>
          <w:sz w:val="22"/>
        </w:rPr>
        <w:t>](../../delivery/OPS-MENU-ROUTE-INDEX.md)。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4. 与采集的边界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配置管理</w:t>
      </w:r>
      <w:r>
        <w:rPr>
          <w:rFonts w:ascii="微软雅黑" w:hAnsi="微软雅黑" w:eastAsia="微软雅黑"/>
          <w:b w:val="0"/>
          <w:sz w:val="22"/>
        </w:rPr>
        <w:t xml:space="preserve"> 可维护外部账号/关键词等台账（§15）。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采集任务/日志</w:t>
      </w:r>
      <w:r>
        <w:rPr>
          <w:rFonts w:ascii="微软雅黑" w:hAnsi="微软雅黑" w:eastAsia="微软雅黑"/>
          <w:b w:val="0"/>
          <w:sz w:val="22"/>
        </w:rPr>
        <w:t xml:space="preserve"> 菜单 Phase 2 不写标准运维流程（§17、附录 B）。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日常账号级操作使用 </w:t>
      </w:r>
      <w:r>
        <w:rPr>
          <w:rFonts w:ascii="微软雅黑" w:hAnsi="微软雅黑" w:eastAsia="微软雅黑"/>
          <w:b/>
          <w:sz w:val="22"/>
        </w:rPr>
        <w:t>平台账号 · 采集 Tab</w:t>
      </w:r>
      <w:r>
        <w:rPr>
          <w:rFonts w:ascii="微软雅黑" w:hAnsi="微软雅黑" w:eastAsia="微软雅黑"/>
          <w:b w:val="0"/>
          <w:sz w:val="22"/>
        </w:rPr>
        <w:t>（§11）。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5. 相关截图</w:t>
      </w:r>
    </w:p>
    <w:p>
      <w:pPr>
        <w:spacing w:after="120" w:line="240" w:lineRule="auto"/>
      </w:pPr>
      <w:r>
        <w:rPr>
          <w:rFonts w:ascii="Consolas" w:hAnsi="Consolas" w:eastAsia="Consolas"/>
          <w:b w:val="0"/>
          <w:color w:val="333399"/>
          <w:sz w:val="20"/>
        </w:rPr>
        <w:t>09-ip-group.png</w:t>
      </w:r>
      <w:r>
        <w:rPr>
          <w:rFonts w:ascii="微软雅黑" w:hAnsi="微软雅黑" w:eastAsia="微软雅黑"/>
          <w:b w:val="0"/>
          <w:sz w:val="22"/>
        </w:rPr>
        <w:t>、</w:t>
      </w:r>
      <w:r>
        <w:rPr>
          <w:rFonts w:ascii="Consolas" w:hAnsi="Consolas" w:eastAsia="Consolas"/>
          <w:b w:val="0"/>
          <w:color w:val="333399"/>
          <w:sz w:val="20"/>
        </w:rPr>
        <w:t>10-internal-account.png</w:t>
      </w:r>
      <w:r>
        <w:rPr>
          <w:rFonts w:ascii="微软雅黑" w:hAnsi="微软雅黑" w:eastAsia="微软雅黑"/>
          <w:b w:val="0"/>
          <w:sz w:val="22"/>
        </w:rPr>
        <w:t>；workflow：</w:t>
      </w:r>
      <w:r>
        <w:rPr>
          <w:rFonts w:ascii="Consolas" w:hAnsi="Consolas" w:eastAsia="Consolas"/>
          <w:b w:val="0"/>
          <w:color w:val="333399"/>
          <w:sz w:val="20"/>
        </w:rPr>
        <w:t>A01-ip-group-tree.png</w:t>
      </w:r>
      <w:r>
        <w:rPr>
          <w:rFonts w:ascii="微软雅黑" w:hAnsi="微软雅黑" w:eastAsia="微软雅黑"/>
          <w:b w:val="0"/>
          <w:sz w:val="22"/>
        </w:rPr>
        <w:t xml:space="preserve"> ~ </w:t>
      </w:r>
      <w:r>
        <w:rPr>
          <w:rFonts w:ascii="Consolas" w:hAnsi="Consolas" w:eastAsia="Consolas"/>
          <w:b w:val="0"/>
          <w:color w:val="333399"/>
          <w:sz w:val="20"/>
        </w:rPr>
        <w:t>A05-ip-group-anchors.png</w:t>
      </w:r>
      <w:r>
        <w:rPr>
          <w:rFonts w:ascii="微软雅黑" w:hAnsi="微软雅黑" w:eastAsia="微软雅黑"/>
          <w:b w:val="0"/>
          <w:sz w:val="22"/>
        </w:rPr>
        <w:t>。</w:t>
      </w:r>
    </w:p>
    <w:p>
      <w:r>
        <w:rPr>
          <w:rFonts w:ascii="微软雅黑" w:hAnsi="微软雅黑" w:eastAsia="微软雅黑"/>
          <w:b w:val="0"/>
          <w:color w:val="888888"/>
          <w:sz w:val="18"/>
        </w:rPr>
        <w:br/>
        <w:t>—— 截图于本地联调环境（http://127.0.0.1:5777）采集，数据为空属演示环境常态；账号口令请以实际环境为准，勿将密钥写入手册。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