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通用入门与权限说明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：v1.0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线上登录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](https://saas.shenyu.com)（Football 管理端；登录后侧栏 </w:t>
      </w:r>
      <w:r>
        <w:rPr>
          <w:rFonts w:ascii="微软雅黑" w:hAnsi="微软雅黑" w:eastAsia="微软雅黑"/>
          <w:b/>
          <w:i/>
          <w:color w:val="555555"/>
          <w:sz w:val="22"/>
        </w:rPr>
        <w:t>运营数据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Hash 路由基址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https://saas.shenyu.com/#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+ 下文各功能路径（见 [</w:t>
      </w:r>
      <w:r>
        <w:rPr>
          <w:rFonts w:ascii="Consolas" w:hAnsi="Consolas" w:eastAsia="Consolas"/>
          <w:b w:val="0"/>
          <w:i/>
          <w:color w:val="555555"/>
          <w:sz w:val="20"/>
        </w:rPr>
        <w:t>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](./ROUTE-线上地址索引.md)）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本地联调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</w:t>
      </w:r>
      <w:r>
        <w:rPr>
          <w:rFonts w:ascii="Consolas" w:hAnsi="Consolas" w:eastAsia="Consolas"/>
          <w:b w:val="0"/>
          <w:i/>
          <w:color w:val="555555"/>
          <w:sz w:val="20"/>
        </w:rPr>
        <w:t>http://localhost:5777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+ 同路径（history，</w:t>
      </w:r>
      <w:r>
        <w:rPr>
          <w:rFonts w:ascii="微软雅黑" w:hAnsi="微软雅黑" w:eastAsia="微软雅黑"/>
          <w:b/>
          <w:i/>
          <w:color w:val="555555"/>
          <w:sz w:val="22"/>
        </w:rPr>
        <w:t>无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 </w:t>
      </w:r>
      <w:r>
        <w:rPr>
          <w:rFonts w:ascii="Consolas" w:hAnsi="Consolas" w:eastAsia="Consolas"/>
          <w:b w:val="0"/>
          <w:i/>
          <w:color w:val="555555"/>
          <w:sz w:val="20"/>
        </w:rPr>
        <w:t>#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）— 见 [</w:t>
      </w:r>
      <w:r>
        <w:rPr>
          <w:rFonts w:ascii="Consolas" w:hAnsi="Consolas" w:eastAsia="Consolas"/>
          <w:b w:val="0"/>
          <w:i/>
          <w:color w:val="555555"/>
          <w:sz w:val="20"/>
        </w:rPr>
        <w:t>../../delivery/OPS-DEV-DEPLOY-GUIDE.md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](../../delivery/OPS-DEV-DEPLOY-GUIDE.md)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登录与租户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菜单与路由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IP 组与数据权限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常见错误与排查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附录：待 Spec 确认项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登录与租户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1-1 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s-side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1-2 侧栏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线上入口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地址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登录方式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统一账号（非 OPS 独立登录页；Phase 2 Out of Scope）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租户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多租户 SaaS；请求头/会话携带 tenant_id，数据 全表隔离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登录后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侧栏一级 运营数据（menu_id 6100）→ 展开业务菜单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!登录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!侧栏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看不到「运营数据」？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账号未分配 OPS 菜单块（6100–6999）— 联系租户管理员在 Football </w:t>
      </w:r>
      <w:r>
        <w:rPr>
          <w:rFonts w:ascii="微软雅黑" w:hAnsi="微软雅黑" w:eastAsia="微软雅黑"/>
          <w:b/>
          <w:sz w:val="22"/>
        </w:rPr>
        <w:t>角色/菜单</w:t>
      </w:r>
      <w:r>
        <w:rPr>
          <w:rFonts w:ascii="微软雅黑" w:hAnsi="微软雅黑" w:eastAsia="微软雅黑"/>
          <w:b w:val="0"/>
          <w:sz w:val="22"/>
        </w:rPr>
        <w:t xml:space="preserve"> 中授权。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使用了错误环境（仅前端空壳、未接 Gateway/ops-server）。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浏览器缓存旧菜单 — 重新登录或清缓存。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Dev Token（仅开发）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本地联调可用 Dev Token 替代登录来源；</w:t>
      </w:r>
      <w:r>
        <w:rPr>
          <w:rFonts w:ascii="微软雅黑" w:hAnsi="微软雅黑" w:eastAsia="微软雅黑"/>
          <w:b/>
          <w:sz w:val="22"/>
        </w:rPr>
        <w:t>权限仍从 DB 读取</w:t>
      </w:r>
      <w:r>
        <w:rPr>
          <w:rFonts w:ascii="微软雅黑" w:hAnsi="微软雅黑" w:eastAsia="微软雅黑"/>
          <w:b w:val="0"/>
          <w:sz w:val="22"/>
        </w:rPr>
        <w:t>（ADR-003），不得硬编码 userId/tenantId。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菜单与路由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首页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路由规则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线上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https://saas.shenyu.com/#/ops/{分组}/{页面}</w:t>
      </w:r>
      <w:r>
        <w:rPr>
          <w:rFonts w:ascii="微软雅黑" w:hAnsi="微软雅黑" w:eastAsia="微软雅黑"/>
          <w:b w:val="0"/>
          <w:sz w:val="22"/>
        </w:rPr>
        <w:t xml:space="preserve">，例如手机管理：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  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https://saas.shenyu.com/#/ops/internal/phone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SSOT</w:t>
      </w:r>
      <w:r>
        <w:rPr>
          <w:rFonts w:ascii="微软雅黑" w:hAnsi="微软雅黑" w:eastAsia="微软雅黑"/>
          <w:b w:val="0"/>
          <w:sz w:val="22"/>
        </w:rPr>
        <w:t>：seed 菜单嵌套拼接 — [</w:t>
      </w:r>
      <w:r>
        <w:rPr>
          <w:rFonts w:ascii="Consolas" w:hAnsi="Consolas" w:eastAsia="Consolas"/>
          <w:b w:val="0"/>
          <w:color w:val="333399"/>
          <w:sz w:val="20"/>
        </w:rPr>
        <w:t>../../delivery/OPS-MENU-ROUTE-INDEX.md</w:t>
      </w:r>
      <w:r>
        <w:rPr>
          <w:rFonts w:ascii="微软雅黑" w:hAnsi="微软雅黑" w:eastAsia="微软雅黑"/>
          <w:b w:val="0"/>
          <w:sz w:val="22"/>
        </w:rPr>
        <w:t xml:space="preserve">](../../delivery/OPS-MENU-ROUTE-INDEX.md)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交付速查</w:t>
      </w:r>
      <w:r>
        <w:rPr>
          <w:rFonts w:ascii="微软雅黑" w:hAnsi="微软雅黑" w:eastAsia="微软雅黑"/>
          <w:b w:val="0"/>
          <w:sz w:val="22"/>
        </w:rPr>
        <w:t>：[</w:t>
      </w:r>
      <w:r>
        <w:rPr>
          <w:rFonts w:ascii="Consolas" w:hAnsi="Consolas" w:eastAsia="Consolas"/>
          <w:b w:val="0"/>
          <w:color w:val="333399"/>
          <w:sz w:val="20"/>
        </w:rPr>
        <w:t>ROUTE-线上地址索引.md</w:t>
      </w:r>
      <w:r>
        <w:rPr>
          <w:rFonts w:ascii="微软雅黑" w:hAnsi="微软雅黑" w:eastAsia="微软雅黑"/>
          <w:b w:val="0"/>
          <w:sz w:val="22"/>
        </w:rPr>
        <w:t>](./ROUTE-线上地址索引.md)（</w:t>
      </w:r>
      <w:r>
        <w:rPr>
          <w:rFonts w:ascii="微软雅黑" w:hAnsi="微软雅黑" w:eastAsia="微软雅黑"/>
          <w:b/>
          <w:sz w:val="22"/>
        </w:rPr>
        <w:t>70</w:t>
      </w:r>
      <w:r>
        <w:rPr>
          <w:rFonts w:ascii="微软雅黑" w:hAnsi="微软雅黑" w:eastAsia="微软雅黑"/>
          <w:b w:val="0"/>
          <w:sz w:val="22"/>
        </w:rPr>
        <w:t xml:space="preserve"> 条可导航页）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权限与按钮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菜单 type=2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permission 则侧栏不显示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按钮 type=3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无权限则按钮隐藏/禁用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@PreAuthorize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 API 二次校验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角色手册中的权限码（如 </w:t>
      </w:r>
      <w:r>
        <w:rPr>
          <w:rFonts w:ascii="Consolas" w:hAnsi="Consolas" w:eastAsia="Consolas"/>
          <w:b w:val="0"/>
          <w:color w:val="333399"/>
          <w:sz w:val="20"/>
        </w:rPr>
        <w:t>oa:ip-group:list</w:t>
      </w:r>
      <w:r>
        <w:rPr>
          <w:rFonts w:ascii="微软雅黑" w:hAnsi="微软雅黑" w:eastAsia="微软雅黑"/>
          <w:b w:val="0"/>
          <w:sz w:val="22"/>
        </w:rPr>
        <w:t xml:space="preserve">）为 </w:t>
      </w:r>
      <w:r>
        <w:rPr>
          <w:rFonts w:ascii="微软雅黑" w:hAnsi="微软雅黑" w:eastAsia="微软雅黑"/>
          <w:b/>
          <w:sz w:val="22"/>
        </w:rPr>
        <w:t>参考</w:t>
      </w:r>
      <w:r>
        <w:rPr>
          <w:rFonts w:ascii="微软雅黑" w:hAnsi="微软雅黑" w:eastAsia="微软雅黑"/>
          <w:b w:val="0"/>
          <w:sz w:val="22"/>
        </w:rPr>
        <w:t>；以登录账号实际菜单为准。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首页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首页仪表盘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/ops/dashboard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https://saas.shenyu.com/#/ops/dashboard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!首页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IP 组与数据权限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IP 组是什么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IP 组（大组/小组）是 </w:t>
      </w:r>
      <w:r>
        <w:rPr>
          <w:rFonts w:ascii="微软雅黑" w:hAnsi="微软雅黑" w:eastAsia="微软雅黑"/>
          <w:b/>
          <w:sz w:val="22"/>
        </w:rPr>
        <w:t>计划多选、工作任务登记、一级内容审核、部分报表/成本</w:t>
      </w:r>
      <w:r>
        <w:rPr>
          <w:rFonts w:ascii="微软雅黑" w:hAnsi="微软雅黑" w:eastAsia="微软雅黑"/>
          <w:b w:val="0"/>
          <w:sz w:val="22"/>
        </w:rPr>
        <w:t xml:space="preserve"> 的数据范围单元。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维护入口：</w:t>
      </w:r>
      <w:r>
        <w:rPr>
          <w:rFonts w:ascii="微软雅黑" w:hAnsi="微软雅黑" w:eastAsia="微软雅黑"/>
          <w:b/>
          <w:sz w:val="22"/>
        </w:rPr>
        <w:t>运营管理 → IP 组管理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Consolas" w:hAnsi="Consolas" w:eastAsia="Consolas"/>
          <w:b w:val="0"/>
          <w:color w:val="333399"/>
          <w:sz w:val="20"/>
        </w:rPr>
        <w:t>https://saas.shenyu.com/#/ops/operations/ip-group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常见数据范围规则（摘要）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规则摘要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非全局角色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列表常限「本人为组长/成员的 IP 组」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一级内容审核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组长 仅本组 内容（系统参数角色 ip_group_leader）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账号/成本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经 account_id 与 IP 组关联过滤（见数据权限实现计划）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用户 ID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写入组长/成员/执行人须为 shenyu system_users.id（ADR-056）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用户选择器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表单中 </w:t>
      </w:r>
      <w:r>
        <w:rPr>
          <w:rFonts w:ascii="微软雅黑" w:hAnsi="微软雅黑" w:eastAsia="微软雅黑"/>
          <w:b/>
          <w:sz w:val="22"/>
        </w:rPr>
        <w:t>组长、保管人、执行人</w:t>
      </w:r>
      <w:r>
        <w:rPr>
          <w:rFonts w:ascii="微软雅黑" w:hAnsi="微软雅黑" w:eastAsia="微软雅黑"/>
          <w:b w:val="0"/>
          <w:sz w:val="22"/>
        </w:rPr>
        <w:t xml:space="preserve"> 等须用 </w:t>
      </w:r>
      <w:r>
        <w:rPr>
          <w:rFonts w:ascii="微软雅黑" w:hAnsi="微软雅黑" w:eastAsia="微软雅黑"/>
          <w:b/>
          <w:sz w:val="22"/>
        </w:rPr>
        <w:t>UserSelect</w:t>
      </w:r>
      <w:r>
        <w:rPr>
          <w:rFonts w:ascii="微软雅黑" w:hAnsi="微软雅黑" w:eastAsia="微软雅黑"/>
          <w:b w:val="0"/>
          <w:sz w:val="22"/>
        </w:rPr>
        <w:t>，禁止手输 ID；保存前后端校验租户内有效用户（1501）。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常见错误与排查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可能原因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403 / 无权限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角色未配菜单或按钮权限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管理员核对 Football 角色菜单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1501 关联不存在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选择器 ID 无效或跨租户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重新选择；确认 Football 用户已启用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1502 业务冲突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唯一约束、实名人占用、任务已有关联内容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按提示改绑或撤回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1504 租户隔离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跨租户 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仅选本租户数据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一级审核列表空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非本组组长 / 内容属他组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 IP 组与 content.review.level1 参数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登记页作者为空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组未 关联作者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 → 关联作者 Tab 补绑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计划草稿任务不可见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 启动 计划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计划管理 → 启动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钉钉通知未达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系统参数钉钉未配或未测通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 → 钉钉 Tab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采集数据空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凭证失效或 M10 任务未跑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平台账号采集 Tab；采集菜单 Phase 2 边界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业务错误码 </w:t>
      </w:r>
      <w:r>
        <w:rPr>
          <w:rFonts w:ascii="微软雅黑" w:hAnsi="微软雅黑" w:eastAsia="微软雅黑"/>
          <w:b/>
          <w:sz w:val="22"/>
        </w:rPr>
        <w:t>1500–1504</w:t>
      </w:r>
      <w:r>
        <w:rPr>
          <w:rFonts w:ascii="微软雅黑" w:hAnsi="微软雅黑" w:eastAsia="微软雅黑"/>
          <w:b w:val="0"/>
          <w:sz w:val="22"/>
        </w:rPr>
        <w:t xml:space="preserve"> 为全局关联类；模块 200x 见各 API 文档。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附录：待 Spec 确认项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自定义查询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保存查询 / SQL 模式字段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前端表单 rules 与 API 未在 M6 正文逐字段列出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系统参数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部分 AI 子项默认值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以页面与 seed 为准，业务版 PRD 未全量表格化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个人账号 API 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appSecret 等必填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 API-M4 §6.3，操作手册未展开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Football 角色菜单配置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操作步骤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Phase 2 / 系统管理员 Out of Scope（本手册仅说明现象）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关联文档</w:t>
      </w:r>
      <w:r>
        <w:rPr>
          <w:rFonts w:ascii="微软雅黑" w:hAnsi="微软雅黑" w:eastAsia="微软雅黑"/>
          <w:b w:val="0"/>
          <w:sz w:val="22"/>
        </w:rPr>
        <w:t>：[</w:t>
      </w:r>
      <w:r>
        <w:rPr>
          <w:rFonts w:ascii="Consolas" w:hAnsi="Consolas" w:eastAsia="Consolas"/>
          <w:b w:val="0"/>
          <w:color w:val="333399"/>
          <w:sz w:val="20"/>
        </w:rPr>
        <w:t>汇总产品使用手册.md</w:t>
      </w:r>
      <w:r>
        <w:rPr>
          <w:rFonts w:ascii="微软雅黑" w:hAnsi="微软雅黑" w:eastAsia="微软雅黑"/>
          <w:b w:val="0"/>
          <w:sz w:val="22"/>
        </w:rPr>
        <w:t>](./汇总产品使用手册.md) · [</w:t>
      </w:r>
      <w:r>
        <w:rPr>
          <w:rFonts w:ascii="Consolas" w:hAnsi="Consolas" w:eastAsia="Consolas"/>
          <w:b w:val="0"/>
          <w:color w:val="333399"/>
          <w:sz w:val="20"/>
        </w:rPr>
        <w:t>端到端业务流程手册.md</w:t>
      </w:r>
      <w:r>
        <w:rPr>
          <w:rFonts w:ascii="微软雅黑" w:hAnsi="微软雅黑" w:eastAsia="微软雅黑"/>
          <w:b w:val="0"/>
          <w:sz w:val="22"/>
        </w:rPr>
        <w:t>](./端到端业务流程手册.md) · [</w:t>
      </w:r>
      <w:r>
        <w:rPr>
          <w:rFonts w:ascii="Consolas" w:hAnsi="Consolas" w:eastAsia="Consolas"/>
          <w:b w:val="0"/>
          <w:color w:val="333399"/>
          <w:sz w:val="20"/>
        </w:rPr>
        <w:t>系统配置与权限管理手册.md</w:t>
      </w:r>
      <w:r>
        <w:rPr>
          <w:rFonts w:ascii="微软雅黑" w:hAnsi="微软雅黑" w:eastAsia="微软雅黑"/>
          <w:b w:val="0"/>
          <w:sz w:val="22"/>
        </w:rPr>
        <w:t>](./系统配置与权限管理手册.md)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v1.0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