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6EEC99ED" w14:textId="6A8BD0CC" w:rsidR="0035763D" w:rsidRDefault="006948F7"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606857">
        <w:rPr>
          <w:rFonts w:ascii="Calibri" w:hAnsi="Calibri" w:cs="Calibri"/>
          <w:color w:val="FF0000"/>
          <w:sz w:val="48"/>
          <w:szCs w:val="44"/>
        </w:rPr>
        <w:t>Encryption &amp; Key Management Standard</w:t>
      </w:r>
      <w:r>
        <w:rPr>
          <w:rFonts w:ascii="Calibri" w:hAnsi="Calibri" w:cs="Calibri"/>
          <w:color w:val="FF0000"/>
          <w:sz w:val="48"/>
          <w:szCs w:val="44"/>
        </w:rPr>
        <w:fldChar w:fldCharType="end"/>
      </w:r>
    </w:p>
    <w:p w14:paraId="47A58F83" w14:textId="45E2A90D"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009C5A2A">
        <w:rPr>
          <w:rFonts w:ascii="Calibri" w:hAnsi="Calibri" w:cs="Calibri"/>
          <w:i/>
          <w:color w:val="FF0000"/>
          <w:sz w:val="36"/>
          <w:szCs w:val="36"/>
        </w:rPr>
        <w:t>r1.0</w:t>
      </w:r>
    </w:p>
    <w:p w14:paraId="357F5F5F" w14:textId="3721B100"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Pr="00CE6868">
        <w:rPr>
          <w:rFonts w:ascii="Calibri" w:hAnsi="Calibri" w:cs="Calibri"/>
          <w:i/>
          <w:color w:val="FF0000"/>
          <w:sz w:val="36"/>
          <w:szCs w:val="36"/>
        </w:rPr>
        <w:t xml:space="preserve"> </w:t>
      </w:r>
      <w:proofErr w:type="spellStart"/>
      <w:r w:rsidR="009C5A2A">
        <w:rPr>
          <w:rFonts w:ascii="Calibri" w:hAnsi="Calibri" w:cs="Calibri"/>
          <w:i/>
          <w:color w:val="FF0000"/>
          <w:sz w:val="36"/>
          <w:szCs w:val="36"/>
        </w:rPr>
        <w:t>ddmmyyyy</w:t>
      </w:r>
      <w:proofErr w:type="spellEnd"/>
    </w:p>
    <w:p w14:paraId="727A7DA0" w14:textId="3B50D266"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6948F7">
        <w:rPr>
          <w:rFonts w:ascii="Calibri" w:hAnsi="Calibri" w:cs="Calibri"/>
          <w:i/>
          <w:color w:val="FF0000"/>
          <w:sz w:val="36"/>
          <w:szCs w:val="36"/>
        </w:rPr>
        <w:fldChar w:fldCharType="begin"/>
      </w:r>
      <w:r w:rsidR="006948F7">
        <w:rPr>
          <w:rFonts w:ascii="Calibri" w:hAnsi="Calibri" w:cs="Calibri"/>
          <w:i/>
          <w:color w:val="FF0000"/>
          <w:sz w:val="36"/>
          <w:szCs w:val="36"/>
        </w:rPr>
        <w:instrText xml:space="preserve"> DOCPROPERTY  [DATA_CLASSIFICATION]  \* MERGEFORMAT </w:instrText>
      </w:r>
      <w:r w:rsidR="006948F7">
        <w:rPr>
          <w:rFonts w:ascii="Calibri" w:hAnsi="Calibri" w:cs="Calibri"/>
          <w:i/>
          <w:color w:val="FF0000"/>
          <w:sz w:val="36"/>
          <w:szCs w:val="36"/>
        </w:rPr>
        <w:fldChar w:fldCharType="separate"/>
      </w:r>
      <w:r w:rsidR="00606857">
        <w:rPr>
          <w:rFonts w:ascii="Calibri" w:hAnsi="Calibri" w:cs="Calibri"/>
          <w:i/>
          <w:color w:val="FF0000"/>
          <w:sz w:val="36"/>
          <w:szCs w:val="36"/>
        </w:rPr>
        <w:t>Internal</w:t>
      </w:r>
      <w:r w:rsidR="006948F7">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B5891" w14:textId="2F73F8F3"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6948F7">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7ACEA149"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C5A2A">
                              <w:rPr>
                                <w:rFonts w:ascii="Calibri" w:hAnsi="Calibri" w:cs="Calibri"/>
                                <w:color w:val="808080" w:themeColor="background1" w:themeShade="80"/>
                                <w:sz w:val="16"/>
                                <w:szCs w:val="16"/>
                              </w:rPr>
                              <w:t>XXXX</w:t>
                            </w:r>
                            <w:r w:rsidR="00B178F0">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C5A2A">
                              <w:rPr>
                                <w:rFonts w:ascii="Calibri" w:hAnsi="Calibri" w:cs="Calibri"/>
                                <w:color w:val="808080" w:themeColor="background1" w:themeShade="80"/>
                                <w:sz w:val="16"/>
                                <w:szCs w:val="16"/>
                              </w:rPr>
                              <w:t>XXXX</w:t>
                            </w:r>
                            <w:r w:rsidR="00B178F0">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2F73F8F3"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6948F7">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7ACEA149"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C5A2A">
                        <w:rPr>
                          <w:rFonts w:ascii="Calibri" w:hAnsi="Calibri" w:cs="Calibri"/>
                          <w:color w:val="808080" w:themeColor="background1" w:themeShade="80"/>
                          <w:sz w:val="16"/>
                          <w:szCs w:val="16"/>
                        </w:rPr>
                        <w:t>XXXX</w:t>
                      </w:r>
                      <w:r w:rsidR="00B178F0">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9C5A2A">
                        <w:rPr>
                          <w:rFonts w:ascii="Calibri" w:hAnsi="Calibri" w:cs="Calibri"/>
                          <w:color w:val="808080" w:themeColor="background1" w:themeShade="80"/>
                          <w:sz w:val="16"/>
                          <w:szCs w:val="16"/>
                        </w:rPr>
                        <w:t>XXXX</w:t>
                      </w:r>
                      <w:r w:rsidR="00B178F0">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5FD87405" w14:textId="04331456" w:rsidR="00606857"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606857" w:rsidRPr="00BE704D">
        <w:rPr>
          <w:rFonts w:ascii="Calibri" w:hAnsi="Calibri" w:cs="Calibri"/>
          <w:noProof/>
        </w:rPr>
        <w:t>1.</w:t>
      </w:r>
      <w:r w:rsidR="00606857">
        <w:rPr>
          <w:rFonts w:asciiTheme="minorHAnsi" w:eastAsiaTheme="minorEastAsia" w:hAnsiTheme="minorHAnsi" w:cstheme="minorBidi"/>
          <w:b w:val="0"/>
          <w:bCs w:val="0"/>
          <w:noProof/>
          <w:szCs w:val="22"/>
          <w:lang w:eastAsia="en-GB"/>
        </w:rPr>
        <w:tab/>
      </w:r>
      <w:r w:rsidR="00606857" w:rsidRPr="00BE704D">
        <w:rPr>
          <w:rFonts w:ascii="Calibri" w:hAnsi="Calibri" w:cs="Calibri"/>
          <w:noProof/>
        </w:rPr>
        <w:t>Introduction</w:t>
      </w:r>
      <w:r w:rsidR="00606857">
        <w:rPr>
          <w:noProof/>
        </w:rPr>
        <w:tab/>
      </w:r>
      <w:r w:rsidR="00606857">
        <w:rPr>
          <w:noProof/>
        </w:rPr>
        <w:fldChar w:fldCharType="begin"/>
      </w:r>
      <w:r w:rsidR="00606857">
        <w:rPr>
          <w:noProof/>
        </w:rPr>
        <w:instrText xml:space="preserve"> PAGEREF _Toc65068696 \h </w:instrText>
      </w:r>
      <w:r w:rsidR="00606857">
        <w:rPr>
          <w:noProof/>
        </w:rPr>
      </w:r>
      <w:r w:rsidR="00606857">
        <w:rPr>
          <w:noProof/>
        </w:rPr>
        <w:fldChar w:fldCharType="separate"/>
      </w:r>
      <w:r w:rsidR="00792C08">
        <w:rPr>
          <w:noProof/>
        </w:rPr>
        <w:t>3</w:t>
      </w:r>
      <w:r w:rsidR="00606857">
        <w:rPr>
          <w:noProof/>
        </w:rPr>
        <w:fldChar w:fldCharType="end"/>
      </w:r>
    </w:p>
    <w:p w14:paraId="0DE7C11B" w14:textId="301A798C"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Document Definition</w:t>
      </w:r>
      <w:r>
        <w:rPr>
          <w:noProof/>
        </w:rPr>
        <w:tab/>
      </w:r>
      <w:r>
        <w:rPr>
          <w:noProof/>
        </w:rPr>
        <w:fldChar w:fldCharType="begin"/>
      </w:r>
      <w:r>
        <w:rPr>
          <w:noProof/>
        </w:rPr>
        <w:instrText xml:space="preserve"> PAGEREF _Toc65068697 \h </w:instrText>
      </w:r>
      <w:r>
        <w:rPr>
          <w:noProof/>
        </w:rPr>
      </w:r>
      <w:r>
        <w:rPr>
          <w:noProof/>
        </w:rPr>
        <w:fldChar w:fldCharType="separate"/>
      </w:r>
      <w:r w:rsidR="00792C08">
        <w:rPr>
          <w:noProof/>
        </w:rPr>
        <w:t>3</w:t>
      </w:r>
      <w:r>
        <w:rPr>
          <w:noProof/>
        </w:rPr>
        <w:fldChar w:fldCharType="end"/>
      </w:r>
    </w:p>
    <w:p w14:paraId="0EE7E1C2" w14:textId="129A6E9E"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Objective</w:t>
      </w:r>
      <w:r>
        <w:rPr>
          <w:noProof/>
        </w:rPr>
        <w:tab/>
      </w:r>
      <w:r>
        <w:rPr>
          <w:noProof/>
        </w:rPr>
        <w:fldChar w:fldCharType="begin"/>
      </w:r>
      <w:r>
        <w:rPr>
          <w:noProof/>
        </w:rPr>
        <w:instrText xml:space="preserve"> PAGEREF _Toc65068698 \h </w:instrText>
      </w:r>
      <w:r>
        <w:rPr>
          <w:noProof/>
        </w:rPr>
      </w:r>
      <w:r>
        <w:rPr>
          <w:noProof/>
        </w:rPr>
        <w:fldChar w:fldCharType="separate"/>
      </w:r>
      <w:r w:rsidR="00792C08">
        <w:rPr>
          <w:noProof/>
        </w:rPr>
        <w:t>3</w:t>
      </w:r>
      <w:r>
        <w:rPr>
          <w:noProof/>
        </w:rPr>
        <w:fldChar w:fldCharType="end"/>
      </w:r>
    </w:p>
    <w:p w14:paraId="70CC84BF" w14:textId="0E833366"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Scope</w:t>
      </w:r>
      <w:r>
        <w:rPr>
          <w:noProof/>
        </w:rPr>
        <w:tab/>
      </w:r>
      <w:r>
        <w:rPr>
          <w:noProof/>
        </w:rPr>
        <w:fldChar w:fldCharType="begin"/>
      </w:r>
      <w:r>
        <w:rPr>
          <w:noProof/>
        </w:rPr>
        <w:instrText xml:space="preserve"> PAGEREF _Toc65068699 \h </w:instrText>
      </w:r>
      <w:r>
        <w:rPr>
          <w:noProof/>
        </w:rPr>
      </w:r>
      <w:r>
        <w:rPr>
          <w:noProof/>
        </w:rPr>
        <w:fldChar w:fldCharType="separate"/>
      </w:r>
      <w:r w:rsidR="00792C08">
        <w:rPr>
          <w:noProof/>
        </w:rPr>
        <w:t>3</w:t>
      </w:r>
      <w:r>
        <w:rPr>
          <w:noProof/>
        </w:rPr>
        <w:fldChar w:fldCharType="end"/>
      </w:r>
    </w:p>
    <w:p w14:paraId="710D9935" w14:textId="69B431B5" w:rsidR="00606857" w:rsidRDefault="00606857">
      <w:pPr>
        <w:pStyle w:val="TOC3"/>
        <w:tabs>
          <w:tab w:val="left" w:pos="1200"/>
          <w:tab w:val="right" w:leader="dot" w:pos="9730"/>
        </w:tabs>
        <w:rPr>
          <w:rFonts w:asciiTheme="minorHAnsi" w:eastAsiaTheme="minorEastAsia" w:hAnsiTheme="minorHAnsi" w:cstheme="minorBidi"/>
          <w:noProof/>
          <w:sz w:val="22"/>
          <w:szCs w:val="22"/>
          <w:lang w:eastAsia="en-GB"/>
        </w:rPr>
      </w:pPr>
      <w:r w:rsidRPr="00BE704D">
        <w:rPr>
          <w:rFonts w:ascii="Calibri" w:hAnsi="Calibri" w:cs="Calibri"/>
          <w:noProof/>
        </w:rPr>
        <w:t>1.3.1</w:t>
      </w:r>
      <w:r>
        <w:rPr>
          <w:rFonts w:asciiTheme="minorHAnsi" w:eastAsiaTheme="minorEastAsia" w:hAnsiTheme="minorHAnsi" w:cstheme="minorBidi"/>
          <w:noProof/>
          <w:sz w:val="22"/>
          <w:szCs w:val="22"/>
          <w:lang w:eastAsia="en-GB"/>
        </w:rPr>
        <w:tab/>
      </w:r>
      <w:r w:rsidRPr="00BE704D">
        <w:rPr>
          <w:rFonts w:ascii="Calibri" w:hAnsi="Calibri" w:cs="Calibri"/>
          <w:noProof/>
        </w:rPr>
        <w:t>Applicability to employees</w:t>
      </w:r>
      <w:r>
        <w:rPr>
          <w:noProof/>
        </w:rPr>
        <w:tab/>
      </w:r>
      <w:r>
        <w:rPr>
          <w:noProof/>
        </w:rPr>
        <w:fldChar w:fldCharType="begin"/>
      </w:r>
      <w:r>
        <w:rPr>
          <w:noProof/>
        </w:rPr>
        <w:instrText xml:space="preserve"> PAGEREF _Toc65068700 \h </w:instrText>
      </w:r>
      <w:r>
        <w:rPr>
          <w:noProof/>
        </w:rPr>
      </w:r>
      <w:r>
        <w:rPr>
          <w:noProof/>
        </w:rPr>
        <w:fldChar w:fldCharType="separate"/>
      </w:r>
      <w:r w:rsidR="00792C08">
        <w:rPr>
          <w:noProof/>
        </w:rPr>
        <w:t>3</w:t>
      </w:r>
      <w:r>
        <w:rPr>
          <w:noProof/>
        </w:rPr>
        <w:fldChar w:fldCharType="end"/>
      </w:r>
    </w:p>
    <w:p w14:paraId="31BB6FFB" w14:textId="7F26914A" w:rsidR="00606857" w:rsidRDefault="00606857">
      <w:pPr>
        <w:pStyle w:val="TOC3"/>
        <w:tabs>
          <w:tab w:val="left" w:pos="1200"/>
          <w:tab w:val="right" w:leader="dot" w:pos="9730"/>
        </w:tabs>
        <w:rPr>
          <w:rFonts w:asciiTheme="minorHAnsi" w:eastAsiaTheme="minorEastAsia" w:hAnsiTheme="minorHAnsi" w:cstheme="minorBidi"/>
          <w:noProof/>
          <w:sz w:val="22"/>
          <w:szCs w:val="22"/>
          <w:lang w:eastAsia="en-GB"/>
        </w:rPr>
      </w:pPr>
      <w:r w:rsidRPr="00BE704D">
        <w:rPr>
          <w:rFonts w:ascii="Calibri" w:hAnsi="Calibri" w:cs="Calibri"/>
          <w:noProof/>
        </w:rPr>
        <w:t>1.3.1</w:t>
      </w:r>
      <w:r>
        <w:rPr>
          <w:rFonts w:asciiTheme="minorHAnsi" w:eastAsiaTheme="minorEastAsia" w:hAnsiTheme="minorHAnsi" w:cstheme="minorBidi"/>
          <w:noProof/>
          <w:sz w:val="22"/>
          <w:szCs w:val="22"/>
          <w:lang w:eastAsia="en-GB"/>
        </w:rPr>
        <w:tab/>
      </w:r>
      <w:r w:rsidRPr="00BE704D">
        <w:rPr>
          <w:rFonts w:ascii="Calibri" w:hAnsi="Calibri" w:cs="Calibri"/>
          <w:noProof/>
        </w:rPr>
        <w:t>Applicability to External Parties</w:t>
      </w:r>
      <w:r>
        <w:rPr>
          <w:noProof/>
        </w:rPr>
        <w:tab/>
      </w:r>
      <w:r>
        <w:rPr>
          <w:noProof/>
        </w:rPr>
        <w:fldChar w:fldCharType="begin"/>
      </w:r>
      <w:r>
        <w:rPr>
          <w:noProof/>
        </w:rPr>
        <w:instrText xml:space="preserve"> PAGEREF _Toc65068701 \h </w:instrText>
      </w:r>
      <w:r>
        <w:rPr>
          <w:noProof/>
        </w:rPr>
      </w:r>
      <w:r>
        <w:rPr>
          <w:noProof/>
        </w:rPr>
        <w:fldChar w:fldCharType="separate"/>
      </w:r>
      <w:r w:rsidR="00792C08">
        <w:rPr>
          <w:noProof/>
        </w:rPr>
        <w:t>3</w:t>
      </w:r>
      <w:r>
        <w:rPr>
          <w:noProof/>
        </w:rPr>
        <w:fldChar w:fldCharType="end"/>
      </w:r>
    </w:p>
    <w:p w14:paraId="7EC3AF0C" w14:textId="03D72E6F" w:rsidR="00606857" w:rsidRDefault="00606857">
      <w:pPr>
        <w:pStyle w:val="TOC3"/>
        <w:tabs>
          <w:tab w:val="left" w:pos="1200"/>
          <w:tab w:val="right" w:leader="dot" w:pos="9730"/>
        </w:tabs>
        <w:rPr>
          <w:rFonts w:asciiTheme="minorHAnsi" w:eastAsiaTheme="minorEastAsia" w:hAnsiTheme="minorHAnsi" w:cstheme="minorBidi"/>
          <w:noProof/>
          <w:sz w:val="22"/>
          <w:szCs w:val="22"/>
          <w:lang w:eastAsia="en-GB"/>
        </w:rPr>
      </w:pPr>
      <w:r w:rsidRPr="00BE704D">
        <w:rPr>
          <w:rFonts w:ascii="Calibri" w:hAnsi="Calibri" w:cs="Calibri"/>
          <w:noProof/>
        </w:rPr>
        <w:t>1.3.2</w:t>
      </w:r>
      <w:r>
        <w:rPr>
          <w:rFonts w:asciiTheme="minorHAnsi" w:eastAsiaTheme="minorEastAsia" w:hAnsiTheme="minorHAnsi" w:cstheme="minorBidi"/>
          <w:noProof/>
          <w:sz w:val="22"/>
          <w:szCs w:val="22"/>
          <w:lang w:eastAsia="en-GB"/>
        </w:rPr>
        <w:tab/>
      </w:r>
      <w:r w:rsidRPr="00BE704D">
        <w:rPr>
          <w:rFonts w:ascii="Calibri" w:hAnsi="Calibri" w:cs="Calibri"/>
          <w:noProof/>
        </w:rPr>
        <w:t>Applicability to Assets</w:t>
      </w:r>
      <w:r>
        <w:rPr>
          <w:noProof/>
        </w:rPr>
        <w:tab/>
      </w:r>
      <w:r>
        <w:rPr>
          <w:noProof/>
        </w:rPr>
        <w:fldChar w:fldCharType="begin"/>
      </w:r>
      <w:r>
        <w:rPr>
          <w:noProof/>
        </w:rPr>
        <w:instrText xml:space="preserve"> PAGEREF _Toc65068702 \h </w:instrText>
      </w:r>
      <w:r>
        <w:rPr>
          <w:noProof/>
        </w:rPr>
      </w:r>
      <w:r>
        <w:rPr>
          <w:noProof/>
        </w:rPr>
        <w:fldChar w:fldCharType="separate"/>
      </w:r>
      <w:r w:rsidR="00792C08">
        <w:rPr>
          <w:noProof/>
        </w:rPr>
        <w:t>3</w:t>
      </w:r>
      <w:r>
        <w:rPr>
          <w:noProof/>
        </w:rPr>
        <w:fldChar w:fldCharType="end"/>
      </w:r>
    </w:p>
    <w:p w14:paraId="341F4869" w14:textId="0418151A"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Industry Configuration Standards</w:t>
      </w:r>
      <w:r>
        <w:rPr>
          <w:noProof/>
        </w:rPr>
        <w:tab/>
      </w:r>
      <w:r>
        <w:rPr>
          <w:noProof/>
        </w:rPr>
        <w:fldChar w:fldCharType="begin"/>
      </w:r>
      <w:r>
        <w:rPr>
          <w:noProof/>
        </w:rPr>
        <w:instrText xml:space="preserve"> PAGEREF _Toc65068703 \h </w:instrText>
      </w:r>
      <w:r>
        <w:rPr>
          <w:noProof/>
        </w:rPr>
      </w:r>
      <w:r>
        <w:rPr>
          <w:noProof/>
        </w:rPr>
        <w:fldChar w:fldCharType="separate"/>
      </w:r>
      <w:r w:rsidR="00792C08">
        <w:rPr>
          <w:noProof/>
        </w:rPr>
        <w:t>3</w:t>
      </w:r>
      <w:r>
        <w:rPr>
          <w:noProof/>
        </w:rPr>
        <w:fldChar w:fldCharType="end"/>
      </w:r>
    </w:p>
    <w:p w14:paraId="2F29B119" w14:textId="12250DE8"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Related Documents / References</w:t>
      </w:r>
      <w:r>
        <w:rPr>
          <w:noProof/>
        </w:rPr>
        <w:tab/>
      </w:r>
      <w:r>
        <w:rPr>
          <w:noProof/>
        </w:rPr>
        <w:fldChar w:fldCharType="begin"/>
      </w:r>
      <w:r>
        <w:rPr>
          <w:noProof/>
        </w:rPr>
        <w:instrText xml:space="preserve"> PAGEREF _Toc65068704 \h </w:instrText>
      </w:r>
      <w:r>
        <w:rPr>
          <w:noProof/>
        </w:rPr>
      </w:r>
      <w:r>
        <w:rPr>
          <w:noProof/>
        </w:rPr>
        <w:fldChar w:fldCharType="separate"/>
      </w:r>
      <w:r w:rsidR="00792C08">
        <w:rPr>
          <w:noProof/>
        </w:rPr>
        <w:t>3</w:t>
      </w:r>
      <w:r>
        <w:rPr>
          <w:noProof/>
        </w:rPr>
        <w:fldChar w:fldCharType="end"/>
      </w:r>
    </w:p>
    <w:p w14:paraId="6D7BD476" w14:textId="5577407D" w:rsidR="00606857" w:rsidRDefault="006068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E704D">
        <w:rPr>
          <w:rFonts w:ascii="Calibri" w:hAnsi="Calibri" w:cs="Calibri"/>
          <w:noProof/>
        </w:rPr>
        <w:t>2.</w:t>
      </w:r>
      <w:r>
        <w:rPr>
          <w:rFonts w:asciiTheme="minorHAnsi" w:eastAsiaTheme="minorEastAsia" w:hAnsiTheme="minorHAnsi" w:cstheme="minorBidi"/>
          <w:b w:val="0"/>
          <w:bCs w:val="0"/>
          <w:noProof/>
          <w:szCs w:val="22"/>
          <w:lang w:eastAsia="en-GB"/>
        </w:rPr>
        <w:tab/>
      </w:r>
      <w:r w:rsidRPr="00BE704D">
        <w:rPr>
          <w:rFonts w:ascii="Calibri" w:hAnsi="Calibri" w:cs="Calibri"/>
          <w:noProof/>
        </w:rPr>
        <w:t>Standard Statements</w:t>
      </w:r>
      <w:r>
        <w:rPr>
          <w:noProof/>
        </w:rPr>
        <w:tab/>
      </w:r>
      <w:r>
        <w:rPr>
          <w:noProof/>
        </w:rPr>
        <w:fldChar w:fldCharType="begin"/>
      </w:r>
      <w:r>
        <w:rPr>
          <w:noProof/>
        </w:rPr>
        <w:instrText xml:space="preserve"> PAGEREF _Toc65068705 \h </w:instrText>
      </w:r>
      <w:r>
        <w:rPr>
          <w:noProof/>
        </w:rPr>
      </w:r>
      <w:r>
        <w:rPr>
          <w:noProof/>
        </w:rPr>
        <w:fldChar w:fldCharType="separate"/>
      </w:r>
      <w:r w:rsidR="00792C08">
        <w:rPr>
          <w:noProof/>
        </w:rPr>
        <w:t>4</w:t>
      </w:r>
      <w:r>
        <w:rPr>
          <w:noProof/>
        </w:rPr>
        <w:fldChar w:fldCharType="end"/>
      </w:r>
    </w:p>
    <w:p w14:paraId="42929E8A" w14:textId="0E5A5E37"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color w:val="FF0000"/>
        </w:rPr>
        <w:t>Encryption &amp; Key Management Standards</w:t>
      </w:r>
      <w:r>
        <w:rPr>
          <w:noProof/>
        </w:rPr>
        <w:tab/>
      </w:r>
      <w:r>
        <w:rPr>
          <w:noProof/>
        </w:rPr>
        <w:fldChar w:fldCharType="begin"/>
      </w:r>
      <w:r>
        <w:rPr>
          <w:noProof/>
        </w:rPr>
        <w:instrText xml:space="preserve"> PAGEREF _Toc65068706 \h </w:instrText>
      </w:r>
      <w:r>
        <w:rPr>
          <w:noProof/>
        </w:rPr>
      </w:r>
      <w:r>
        <w:rPr>
          <w:noProof/>
        </w:rPr>
        <w:fldChar w:fldCharType="separate"/>
      </w:r>
      <w:r w:rsidR="00792C08">
        <w:rPr>
          <w:noProof/>
        </w:rPr>
        <w:t>4</w:t>
      </w:r>
      <w:r>
        <w:rPr>
          <w:noProof/>
        </w:rPr>
        <w:fldChar w:fldCharType="end"/>
      </w:r>
    </w:p>
    <w:p w14:paraId="0DD8EEB9" w14:textId="2A024A63" w:rsidR="00606857" w:rsidRDefault="006068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E704D">
        <w:rPr>
          <w:rFonts w:ascii="Calibri" w:hAnsi="Calibri" w:cs="Calibri"/>
          <w:noProof/>
        </w:rPr>
        <w:t>3.</w:t>
      </w:r>
      <w:r>
        <w:rPr>
          <w:rFonts w:asciiTheme="minorHAnsi" w:eastAsiaTheme="minorEastAsia" w:hAnsiTheme="minorHAnsi" w:cstheme="minorBidi"/>
          <w:b w:val="0"/>
          <w:bCs w:val="0"/>
          <w:noProof/>
          <w:szCs w:val="22"/>
          <w:lang w:eastAsia="en-GB"/>
        </w:rPr>
        <w:tab/>
      </w:r>
      <w:r w:rsidRPr="00BE704D">
        <w:rPr>
          <w:rFonts w:ascii="Calibri" w:hAnsi="Calibri" w:cs="Calibri"/>
          <w:noProof/>
        </w:rPr>
        <w:t>Standard Compliance &amp; Enforcement</w:t>
      </w:r>
      <w:r>
        <w:rPr>
          <w:noProof/>
        </w:rPr>
        <w:tab/>
      </w:r>
      <w:r>
        <w:rPr>
          <w:noProof/>
        </w:rPr>
        <w:fldChar w:fldCharType="begin"/>
      </w:r>
      <w:r>
        <w:rPr>
          <w:noProof/>
        </w:rPr>
        <w:instrText xml:space="preserve"> PAGEREF _Toc65068707 \h </w:instrText>
      </w:r>
      <w:r>
        <w:rPr>
          <w:noProof/>
        </w:rPr>
      </w:r>
      <w:r>
        <w:rPr>
          <w:noProof/>
        </w:rPr>
        <w:fldChar w:fldCharType="separate"/>
      </w:r>
      <w:r w:rsidR="00792C08">
        <w:rPr>
          <w:noProof/>
        </w:rPr>
        <w:t>6</w:t>
      </w:r>
      <w:r>
        <w:rPr>
          <w:noProof/>
        </w:rPr>
        <w:fldChar w:fldCharType="end"/>
      </w:r>
    </w:p>
    <w:p w14:paraId="564AF9D6" w14:textId="705DB7A1"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Compliance Measures</w:t>
      </w:r>
      <w:r>
        <w:rPr>
          <w:noProof/>
        </w:rPr>
        <w:tab/>
      </w:r>
      <w:r>
        <w:rPr>
          <w:noProof/>
        </w:rPr>
        <w:fldChar w:fldCharType="begin"/>
      </w:r>
      <w:r>
        <w:rPr>
          <w:noProof/>
        </w:rPr>
        <w:instrText xml:space="preserve"> PAGEREF _Toc65068708 \h </w:instrText>
      </w:r>
      <w:r>
        <w:rPr>
          <w:noProof/>
        </w:rPr>
      </w:r>
      <w:r>
        <w:rPr>
          <w:noProof/>
        </w:rPr>
        <w:fldChar w:fldCharType="separate"/>
      </w:r>
      <w:r w:rsidR="00792C08">
        <w:rPr>
          <w:noProof/>
        </w:rPr>
        <w:t>6</w:t>
      </w:r>
      <w:r>
        <w:rPr>
          <w:noProof/>
        </w:rPr>
        <w:fldChar w:fldCharType="end"/>
      </w:r>
    </w:p>
    <w:p w14:paraId="155F5D4A" w14:textId="6B47BBBD"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Enforcement</w:t>
      </w:r>
      <w:r>
        <w:rPr>
          <w:noProof/>
        </w:rPr>
        <w:tab/>
      </w:r>
      <w:r>
        <w:rPr>
          <w:noProof/>
        </w:rPr>
        <w:fldChar w:fldCharType="begin"/>
      </w:r>
      <w:r>
        <w:rPr>
          <w:noProof/>
        </w:rPr>
        <w:instrText xml:space="preserve"> PAGEREF _Toc65068709 \h </w:instrText>
      </w:r>
      <w:r>
        <w:rPr>
          <w:noProof/>
        </w:rPr>
      </w:r>
      <w:r>
        <w:rPr>
          <w:noProof/>
        </w:rPr>
        <w:fldChar w:fldCharType="separate"/>
      </w:r>
      <w:r w:rsidR="00792C08">
        <w:rPr>
          <w:noProof/>
        </w:rPr>
        <w:t>6</w:t>
      </w:r>
      <w:r>
        <w:rPr>
          <w:noProof/>
        </w:rPr>
        <w:fldChar w:fldCharType="end"/>
      </w:r>
    </w:p>
    <w:p w14:paraId="068A8B7F" w14:textId="4D0BD7A8" w:rsidR="00606857" w:rsidRDefault="006068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E704D">
        <w:rPr>
          <w:rFonts w:ascii="Calibri" w:hAnsi="Calibri" w:cs="Calibri"/>
          <w:noProof/>
        </w:rPr>
        <w:t>4.</w:t>
      </w:r>
      <w:r>
        <w:rPr>
          <w:rFonts w:asciiTheme="minorHAnsi" w:eastAsiaTheme="minorEastAsia" w:hAnsiTheme="minorHAnsi" w:cstheme="minorBidi"/>
          <w:b w:val="0"/>
          <w:bCs w:val="0"/>
          <w:noProof/>
          <w:szCs w:val="22"/>
          <w:lang w:eastAsia="en-GB"/>
        </w:rPr>
        <w:tab/>
      </w:r>
      <w:r w:rsidRPr="00BE704D">
        <w:rPr>
          <w:rFonts w:ascii="Calibri" w:hAnsi="Calibri" w:cs="Calibri"/>
          <w:noProof/>
        </w:rPr>
        <w:t>Exception Process / Glossary</w:t>
      </w:r>
      <w:r>
        <w:rPr>
          <w:noProof/>
        </w:rPr>
        <w:tab/>
      </w:r>
      <w:r>
        <w:rPr>
          <w:noProof/>
        </w:rPr>
        <w:fldChar w:fldCharType="begin"/>
      </w:r>
      <w:r>
        <w:rPr>
          <w:noProof/>
        </w:rPr>
        <w:instrText xml:space="preserve"> PAGEREF _Toc65068710 \h </w:instrText>
      </w:r>
      <w:r>
        <w:rPr>
          <w:noProof/>
        </w:rPr>
      </w:r>
      <w:r>
        <w:rPr>
          <w:noProof/>
        </w:rPr>
        <w:fldChar w:fldCharType="separate"/>
      </w:r>
      <w:r w:rsidR="00792C08">
        <w:rPr>
          <w:noProof/>
        </w:rPr>
        <w:t>7</w:t>
      </w:r>
      <w:r>
        <w:rPr>
          <w:noProof/>
        </w:rPr>
        <w:fldChar w:fldCharType="end"/>
      </w:r>
    </w:p>
    <w:p w14:paraId="0C162FAD" w14:textId="4025EDFD"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Exception Process</w:t>
      </w:r>
      <w:r>
        <w:rPr>
          <w:noProof/>
        </w:rPr>
        <w:tab/>
      </w:r>
      <w:r>
        <w:rPr>
          <w:noProof/>
        </w:rPr>
        <w:fldChar w:fldCharType="begin"/>
      </w:r>
      <w:r>
        <w:rPr>
          <w:noProof/>
        </w:rPr>
        <w:instrText xml:space="preserve"> PAGEREF _Toc65068711 \h </w:instrText>
      </w:r>
      <w:r>
        <w:rPr>
          <w:noProof/>
        </w:rPr>
      </w:r>
      <w:r>
        <w:rPr>
          <w:noProof/>
        </w:rPr>
        <w:fldChar w:fldCharType="separate"/>
      </w:r>
      <w:r w:rsidR="00792C08">
        <w:rPr>
          <w:noProof/>
        </w:rPr>
        <w:t>7</w:t>
      </w:r>
      <w:r>
        <w:rPr>
          <w:noProof/>
        </w:rPr>
        <w:fldChar w:fldCharType="end"/>
      </w:r>
    </w:p>
    <w:p w14:paraId="4A2FBD97" w14:textId="3574ED1F"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Glossary / Acronyms</w:t>
      </w:r>
      <w:r>
        <w:rPr>
          <w:noProof/>
        </w:rPr>
        <w:tab/>
      </w:r>
      <w:r>
        <w:rPr>
          <w:noProof/>
        </w:rPr>
        <w:fldChar w:fldCharType="begin"/>
      </w:r>
      <w:r>
        <w:rPr>
          <w:noProof/>
        </w:rPr>
        <w:instrText xml:space="preserve"> PAGEREF _Toc65068712 \h </w:instrText>
      </w:r>
      <w:r>
        <w:rPr>
          <w:noProof/>
        </w:rPr>
      </w:r>
      <w:r>
        <w:rPr>
          <w:noProof/>
        </w:rPr>
        <w:fldChar w:fldCharType="separate"/>
      </w:r>
      <w:r w:rsidR="00792C08">
        <w:rPr>
          <w:noProof/>
        </w:rPr>
        <w:t>7</w:t>
      </w:r>
      <w:r>
        <w:rPr>
          <w:noProof/>
        </w:rPr>
        <w:fldChar w:fldCharType="end"/>
      </w:r>
    </w:p>
    <w:p w14:paraId="2489171C" w14:textId="284F0C25" w:rsidR="00606857" w:rsidRDefault="00606857">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E704D">
        <w:rPr>
          <w:rFonts w:ascii="Calibri" w:hAnsi="Calibri" w:cs="Calibri"/>
          <w:noProof/>
        </w:rPr>
        <w:t>5.</w:t>
      </w:r>
      <w:r>
        <w:rPr>
          <w:rFonts w:asciiTheme="minorHAnsi" w:eastAsiaTheme="minorEastAsia" w:hAnsiTheme="minorHAnsi" w:cstheme="minorBidi"/>
          <w:b w:val="0"/>
          <w:bCs w:val="0"/>
          <w:noProof/>
          <w:szCs w:val="22"/>
          <w:lang w:eastAsia="en-GB"/>
        </w:rPr>
        <w:tab/>
      </w:r>
      <w:r w:rsidRPr="00BE704D">
        <w:rPr>
          <w:rFonts w:ascii="Calibri" w:hAnsi="Calibri" w:cs="Calibri"/>
          <w:noProof/>
        </w:rPr>
        <w:t>Document Management</w:t>
      </w:r>
      <w:r>
        <w:rPr>
          <w:noProof/>
        </w:rPr>
        <w:tab/>
      </w:r>
      <w:r>
        <w:rPr>
          <w:noProof/>
        </w:rPr>
        <w:fldChar w:fldCharType="begin"/>
      </w:r>
      <w:r>
        <w:rPr>
          <w:noProof/>
        </w:rPr>
        <w:instrText xml:space="preserve"> PAGEREF _Toc65068713 \h </w:instrText>
      </w:r>
      <w:r>
        <w:rPr>
          <w:noProof/>
        </w:rPr>
      </w:r>
      <w:r>
        <w:rPr>
          <w:noProof/>
        </w:rPr>
        <w:fldChar w:fldCharType="separate"/>
      </w:r>
      <w:r w:rsidR="00792C08">
        <w:rPr>
          <w:noProof/>
        </w:rPr>
        <w:t>8</w:t>
      </w:r>
      <w:r>
        <w:rPr>
          <w:noProof/>
        </w:rPr>
        <w:fldChar w:fldCharType="end"/>
      </w:r>
    </w:p>
    <w:p w14:paraId="3A484B10" w14:textId="1EEAB8C6"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Document Revision Log</w:t>
      </w:r>
      <w:r>
        <w:rPr>
          <w:noProof/>
        </w:rPr>
        <w:tab/>
      </w:r>
      <w:r>
        <w:rPr>
          <w:noProof/>
        </w:rPr>
        <w:fldChar w:fldCharType="begin"/>
      </w:r>
      <w:r>
        <w:rPr>
          <w:noProof/>
        </w:rPr>
        <w:instrText xml:space="preserve"> PAGEREF _Toc65068714 \h </w:instrText>
      </w:r>
      <w:r>
        <w:rPr>
          <w:noProof/>
        </w:rPr>
      </w:r>
      <w:r>
        <w:rPr>
          <w:noProof/>
        </w:rPr>
        <w:fldChar w:fldCharType="separate"/>
      </w:r>
      <w:r w:rsidR="00792C08">
        <w:rPr>
          <w:noProof/>
        </w:rPr>
        <w:t>8</w:t>
      </w:r>
      <w:r>
        <w:rPr>
          <w:noProof/>
        </w:rPr>
        <w:fldChar w:fldCharType="end"/>
      </w:r>
    </w:p>
    <w:p w14:paraId="02748001" w14:textId="1EBFBFCC"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Document Ownership</w:t>
      </w:r>
      <w:r>
        <w:rPr>
          <w:noProof/>
        </w:rPr>
        <w:tab/>
      </w:r>
      <w:r>
        <w:rPr>
          <w:noProof/>
        </w:rPr>
        <w:fldChar w:fldCharType="begin"/>
      </w:r>
      <w:r>
        <w:rPr>
          <w:noProof/>
        </w:rPr>
        <w:instrText xml:space="preserve"> PAGEREF _Toc65068715 \h </w:instrText>
      </w:r>
      <w:r>
        <w:rPr>
          <w:noProof/>
        </w:rPr>
      </w:r>
      <w:r>
        <w:rPr>
          <w:noProof/>
        </w:rPr>
        <w:fldChar w:fldCharType="separate"/>
      </w:r>
      <w:r w:rsidR="00792C08">
        <w:rPr>
          <w:noProof/>
        </w:rPr>
        <w:t>8</w:t>
      </w:r>
      <w:r>
        <w:rPr>
          <w:noProof/>
        </w:rPr>
        <w:fldChar w:fldCharType="end"/>
      </w:r>
    </w:p>
    <w:p w14:paraId="4A5F5C03" w14:textId="1CCE86FA"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Document Coordinator</w:t>
      </w:r>
      <w:r>
        <w:rPr>
          <w:noProof/>
        </w:rPr>
        <w:tab/>
      </w:r>
      <w:r>
        <w:rPr>
          <w:noProof/>
        </w:rPr>
        <w:fldChar w:fldCharType="begin"/>
      </w:r>
      <w:r>
        <w:rPr>
          <w:noProof/>
        </w:rPr>
        <w:instrText xml:space="preserve"> PAGEREF _Toc65068716 \h </w:instrText>
      </w:r>
      <w:r>
        <w:rPr>
          <w:noProof/>
        </w:rPr>
      </w:r>
      <w:r>
        <w:rPr>
          <w:noProof/>
        </w:rPr>
        <w:fldChar w:fldCharType="separate"/>
      </w:r>
      <w:r w:rsidR="00792C08">
        <w:rPr>
          <w:noProof/>
        </w:rPr>
        <w:t>8</w:t>
      </w:r>
      <w:r>
        <w:rPr>
          <w:noProof/>
        </w:rPr>
        <w:fldChar w:fldCharType="end"/>
      </w:r>
    </w:p>
    <w:p w14:paraId="4759BB07" w14:textId="7FD0AB35"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Document Approvers</w:t>
      </w:r>
      <w:r>
        <w:rPr>
          <w:noProof/>
        </w:rPr>
        <w:tab/>
      </w:r>
      <w:r>
        <w:rPr>
          <w:noProof/>
        </w:rPr>
        <w:fldChar w:fldCharType="begin"/>
      </w:r>
      <w:r>
        <w:rPr>
          <w:noProof/>
        </w:rPr>
        <w:instrText xml:space="preserve"> PAGEREF _Toc65068717 \h </w:instrText>
      </w:r>
      <w:r>
        <w:rPr>
          <w:noProof/>
        </w:rPr>
      </w:r>
      <w:r>
        <w:rPr>
          <w:noProof/>
        </w:rPr>
        <w:fldChar w:fldCharType="separate"/>
      </w:r>
      <w:r w:rsidR="00792C08">
        <w:rPr>
          <w:noProof/>
        </w:rPr>
        <w:t>8</w:t>
      </w:r>
      <w:r>
        <w:rPr>
          <w:noProof/>
        </w:rPr>
        <w:fldChar w:fldCharType="end"/>
      </w:r>
    </w:p>
    <w:p w14:paraId="5868E783" w14:textId="0D21D868" w:rsidR="00606857" w:rsidRDefault="00606857">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E704D">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BE704D">
        <w:rPr>
          <w:rFonts w:ascii="Calibri" w:hAnsi="Calibri" w:cs="Calibri"/>
          <w:noProof/>
        </w:rPr>
        <w:t>Distribution</w:t>
      </w:r>
      <w:r>
        <w:rPr>
          <w:noProof/>
        </w:rPr>
        <w:tab/>
      </w:r>
      <w:r>
        <w:rPr>
          <w:noProof/>
        </w:rPr>
        <w:fldChar w:fldCharType="begin"/>
      </w:r>
      <w:r>
        <w:rPr>
          <w:noProof/>
        </w:rPr>
        <w:instrText xml:space="preserve"> PAGEREF _Toc65068718 \h </w:instrText>
      </w:r>
      <w:r>
        <w:rPr>
          <w:noProof/>
        </w:rPr>
      </w:r>
      <w:r>
        <w:rPr>
          <w:noProof/>
        </w:rPr>
        <w:fldChar w:fldCharType="separate"/>
      </w:r>
      <w:r w:rsidR="00792C08">
        <w:rPr>
          <w:noProof/>
        </w:rPr>
        <w:t>8</w:t>
      </w:r>
      <w:r>
        <w:rPr>
          <w:noProof/>
        </w:rPr>
        <w:fldChar w:fldCharType="end"/>
      </w:r>
    </w:p>
    <w:p w14:paraId="7D5B3059" w14:textId="4B8682FA"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65068696"/>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65068697"/>
      <w:r w:rsidRPr="00CE6868">
        <w:rPr>
          <w:rFonts w:ascii="Calibri" w:hAnsi="Calibri" w:cs="Calibri"/>
        </w:rPr>
        <w:t>Document Definition</w:t>
      </w:r>
      <w:bookmarkEnd w:id="2"/>
      <w:bookmarkEnd w:id="3"/>
      <w:bookmarkEnd w:id="4"/>
    </w:p>
    <w:p w14:paraId="38D2DB68" w14:textId="3FDBB42D"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1070C94C"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For a full description of document types, see</w:t>
      </w:r>
      <w:r w:rsidR="00B178F0">
        <w:rPr>
          <w:rFonts w:ascii="Calibri" w:hAnsi="Calibri" w:cs="Calibri"/>
          <w:color w:val="000000" w:themeColor="text1"/>
          <w:sz w:val="22"/>
          <w:szCs w:val="22"/>
        </w:rPr>
        <w:t xml:space="preserve"> </w:t>
      </w:r>
      <w:r w:rsidR="00B178F0">
        <w:rPr>
          <w:rFonts w:ascii="Calibri" w:hAnsi="Calibri" w:cs="Calibri"/>
          <w:color w:val="000000" w:themeColor="text1"/>
          <w:sz w:val="22"/>
          <w:szCs w:val="22"/>
        </w:rPr>
        <w:fldChar w:fldCharType="begin"/>
      </w:r>
      <w:r w:rsidR="00B178F0">
        <w:rPr>
          <w:rFonts w:ascii="Calibri" w:hAnsi="Calibri" w:cs="Calibri"/>
          <w:color w:val="000000" w:themeColor="text1"/>
          <w:sz w:val="22"/>
          <w:szCs w:val="22"/>
        </w:rPr>
        <w:instrText xml:space="preserve"> DOCPROPERTY  [ISPF_DOC_NUM]  \* MERGEFORMAT </w:instrText>
      </w:r>
      <w:r w:rsidR="00B178F0">
        <w:rPr>
          <w:rFonts w:ascii="Calibri" w:hAnsi="Calibri" w:cs="Calibri"/>
          <w:color w:val="000000" w:themeColor="text1"/>
          <w:sz w:val="22"/>
          <w:szCs w:val="22"/>
        </w:rPr>
        <w:fldChar w:fldCharType="separate"/>
      </w:r>
      <w:r w:rsidR="009C5A2A">
        <w:rPr>
          <w:rFonts w:ascii="Calibri" w:hAnsi="Calibri" w:cs="Calibri"/>
          <w:color w:val="000000" w:themeColor="text1"/>
          <w:sz w:val="22"/>
          <w:szCs w:val="22"/>
        </w:rPr>
        <w:t>XXXX</w:t>
      </w:r>
      <w:r w:rsidR="00606857">
        <w:rPr>
          <w:rFonts w:ascii="Calibri" w:hAnsi="Calibri" w:cs="Calibri"/>
          <w:color w:val="000000" w:themeColor="text1"/>
          <w:sz w:val="22"/>
          <w:szCs w:val="22"/>
        </w:rPr>
        <w:t>-POL-ALL-001 - Information Security Policy Framework</w:t>
      </w:r>
      <w:r w:rsidR="00B178F0">
        <w:rPr>
          <w:rFonts w:ascii="Calibri" w:hAnsi="Calibri" w:cs="Calibri"/>
          <w:color w:val="000000" w:themeColor="text1"/>
          <w:sz w:val="22"/>
          <w:szCs w:val="22"/>
        </w:rPr>
        <w:fldChar w:fldCharType="end"/>
      </w:r>
      <w:r w:rsidR="00B178F0">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7" w:name="_Toc65068698"/>
      <w:r w:rsidRPr="00CE6868">
        <w:rPr>
          <w:rFonts w:ascii="Calibri" w:hAnsi="Calibri" w:cs="Calibri"/>
        </w:rPr>
        <w:t>Objective</w:t>
      </w:r>
      <w:bookmarkEnd w:id="5"/>
      <w:bookmarkEnd w:id="7"/>
    </w:p>
    <w:p w14:paraId="153F3A13" w14:textId="4080CC70" w:rsidR="0035763D" w:rsidRPr="001541F6" w:rsidRDefault="0035763D" w:rsidP="0035763D">
      <w:pPr>
        <w:spacing w:after="0" w:line="276" w:lineRule="auto"/>
        <w:rPr>
          <w:rFonts w:asciiTheme="majorHAnsi" w:hAnsiTheme="majorHAnsi" w:cstheme="majorHAnsi"/>
          <w:sz w:val="22"/>
          <w:szCs w:val="22"/>
        </w:rPr>
      </w:pPr>
      <w:bookmarkStart w:id="8" w:name="_Toc448402073"/>
      <w:r w:rsidRPr="001541F6">
        <w:rPr>
          <w:rFonts w:asciiTheme="majorHAnsi" w:hAnsiTheme="majorHAnsi" w:cstheme="majorHAnsi"/>
          <w:sz w:val="22"/>
          <w:szCs w:val="22"/>
        </w:rPr>
        <w:t xml:space="preserve">The protection of electronic information and access to information systems is vitally important - especially with the ever increasing and greater demand. </w:t>
      </w:r>
      <w:r w:rsidRPr="001541F6">
        <w:rPr>
          <w:rFonts w:asciiTheme="majorHAnsi" w:hAnsiTheme="majorHAnsi" w:cstheme="majorHAnsi"/>
          <w:sz w:val="22"/>
          <w:szCs w:val="22"/>
          <w:lang w:val="en-US"/>
        </w:rPr>
        <w:t xml:space="preserve">Encryption &amp; Key Management provides an enhanced level of security from unauthorized access, disclosure or use when information is being transmitted or kept in storage. </w:t>
      </w:r>
      <w:r w:rsidRPr="001541F6">
        <w:rPr>
          <w:rFonts w:asciiTheme="majorHAnsi" w:hAnsiTheme="majorHAnsi" w:cstheme="majorHAnsi"/>
          <w:sz w:val="22"/>
          <w:szCs w:val="22"/>
        </w:rPr>
        <w:t>It includes protection of sensitive information and communications, key management, and procedures to ensure encrypted information can be recovered by the bank if necessary.</w:t>
      </w:r>
    </w:p>
    <w:p w14:paraId="599A5117" w14:textId="1B62F2BF" w:rsidR="004B170A" w:rsidRPr="00CE6868" w:rsidRDefault="004B170A" w:rsidP="00D053C1">
      <w:pPr>
        <w:pStyle w:val="Heading2"/>
        <w:rPr>
          <w:rFonts w:ascii="Calibri" w:hAnsi="Calibri" w:cs="Calibri"/>
        </w:rPr>
      </w:pPr>
      <w:bookmarkStart w:id="9" w:name="_Toc65068699"/>
      <w:r w:rsidRPr="00CE6868">
        <w:rPr>
          <w:rFonts w:ascii="Calibri" w:hAnsi="Calibri" w:cs="Calibri"/>
        </w:rPr>
        <w:t>Scope</w:t>
      </w:r>
      <w:bookmarkEnd w:id="6"/>
      <w:bookmarkEnd w:id="8"/>
      <w:bookmarkEnd w:id="9"/>
    </w:p>
    <w:p w14:paraId="590C2DA2" w14:textId="77777777" w:rsidR="00EE6E6F" w:rsidRPr="007D7A95" w:rsidRDefault="00EE6E6F" w:rsidP="00EE6E6F">
      <w:pPr>
        <w:pStyle w:val="Heading3"/>
        <w:spacing w:line="276" w:lineRule="auto"/>
        <w:rPr>
          <w:rFonts w:ascii="Calibri" w:hAnsi="Calibri" w:cs="Calibri"/>
        </w:rPr>
      </w:pPr>
      <w:bookmarkStart w:id="10" w:name="_Toc221510190"/>
      <w:bookmarkStart w:id="11" w:name="_Toc448402074"/>
      <w:bookmarkStart w:id="12" w:name="_Toc33787039"/>
      <w:bookmarkStart w:id="13" w:name="_Toc65068700"/>
      <w:bookmarkStart w:id="14" w:name="_Toc305766033"/>
      <w:bookmarkStart w:id="15" w:name="_Toc226169587"/>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p>
    <w:p w14:paraId="433F8E99" w14:textId="14C2CFED" w:rsidR="00EE6E6F" w:rsidRPr="007D7A95" w:rsidRDefault="009C5A2A"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EE6E6F" w:rsidRPr="007D7A95">
        <w:rPr>
          <w:rFonts w:ascii="Calibri" w:hAnsi="Calibri" w:cs="Calibri"/>
          <w:color w:val="000000" w:themeColor="text1"/>
          <w:sz w:val="22"/>
          <w:szCs w:val="22"/>
        </w:rPr>
        <w:t xml:space="preserve"> 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606857">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65068701"/>
      <w:r w:rsidRPr="007D7A95">
        <w:rPr>
          <w:rFonts w:ascii="Calibri" w:hAnsi="Calibri" w:cs="Calibri"/>
        </w:rPr>
        <w:t>Applicability to External Parties</w:t>
      </w:r>
      <w:bookmarkEnd w:id="18"/>
      <w:bookmarkEnd w:id="19"/>
      <w:bookmarkEnd w:id="20"/>
      <w:bookmarkEnd w:id="21"/>
    </w:p>
    <w:p w14:paraId="71C1A5A3" w14:textId="2CCEA979"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606857">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2" w:name="_Toc448759123"/>
      <w:bookmarkStart w:id="23" w:name="_Toc448994454"/>
      <w:bookmarkStart w:id="24" w:name="_Toc465788594"/>
      <w:bookmarkStart w:id="25" w:name="_Toc33787041"/>
      <w:bookmarkStart w:id="26" w:name="_Toc65068702"/>
      <w:r w:rsidRPr="007D7A95">
        <w:rPr>
          <w:rFonts w:ascii="Calibri" w:hAnsi="Calibri" w:cs="Calibri"/>
        </w:rPr>
        <w:t>Applicability to Assets</w:t>
      </w:r>
      <w:bookmarkEnd w:id="22"/>
      <w:bookmarkEnd w:id="23"/>
      <w:bookmarkEnd w:id="24"/>
      <w:bookmarkEnd w:id="25"/>
      <w:bookmarkEnd w:id="26"/>
    </w:p>
    <w:p w14:paraId="658EA558" w14:textId="7B3848B3"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606857">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9C5A2A">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9C5A2A">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7" w:name="_Toc65068703"/>
      <w:r w:rsidRPr="00CE6868">
        <w:rPr>
          <w:rFonts w:ascii="Calibri" w:hAnsi="Calibri" w:cs="Calibri"/>
        </w:rPr>
        <w:t>Industry Configuration Standards</w:t>
      </w:r>
      <w:bookmarkEnd w:id="14"/>
      <w:bookmarkEnd w:id="27"/>
    </w:p>
    <w:bookmarkEnd w:id="15"/>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70CA5F0A" w14:textId="3CE93196" w:rsidR="00EE6E6F" w:rsidRPr="00EE6E6F" w:rsidRDefault="00EE6E6F" w:rsidP="00EE6E6F">
      <w:pPr>
        <w:pStyle w:val="ListParagraph"/>
        <w:numPr>
          <w:ilvl w:val="0"/>
          <w:numId w:val="3"/>
        </w:numPr>
        <w:spacing w:after="80"/>
        <w:contextualSpacing w:val="0"/>
        <w:jc w:val="both"/>
        <w:rPr>
          <w:rFonts w:ascii="Calibri" w:hAnsi="Calibri" w:cs="Calibri"/>
          <w:color w:val="FF0000"/>
          <w:sz w:val="22"/>
          <w:szCs w:val="22"/>
        </w:rPr>
      </w:pPr>
      <w:r>
        <w:rPr>
          <w:rFonts w:ascii="Calibri" w:hAnsi="Calibri" w:cs="Calibri"/>
          <w:color w:val="FF0000"/>
          <w:sz w:val="22"/>
          <w:szCs w:val="22"/>
        </w:rPr>
        <w:t>S</w:t>
      </w:r>
      <w:r w:rsidRPr="00EE6E6F">
        <w:rPr>
          <w:rFonts w:ascii="Calibri" w:hAnsi="Calibri" w:cs="Calibri"/>
          <w:color w:val="FF0000"/>
          <w:sz w:val="22"/>
          <w:szCs w:val="22"/>
        </w:rPr>
        <w:t>ecurity Technical Implementation Guides (STIGs): http://iase.disa.mil/stigs</w:t>
      </w:r>
    </w:p>
    <w:p w14:paraId="35484307" w14:textId="70C94836" w:rsidR="004B170A" w:rsidRPr="00CE6868" w:rsidRDefault="004B170A" w:rsidP="00D053C1">
      <w:pPr>
        <w:pStyle w:val="Heading2"/>
        <w:rPr>
          <w:rFonts w:ascii="Calibri" w:hAnsi="Calibri" w:cs="Calibri"/>
        </w:rPr>
      </w:pPr>
      <w:bookmarkStart w:id="28" w:name="_Toc65068704"/>
      <w:r w:rsidRPr="00CE6868">
        <w:rPr>
          <w:rFonts w:ascii="Calibri" w:hAnsi="Calibri" w:cs="Calibri"/>
        </w:rPr>
        <w:t>Related Documents / References</w:t>
      </w:r>
      <w:bookmarkEnd w:id="16"/>
      <w:bookmarkEnd w:id="17"/>
      <w:bookmarkEnd w:id="28"/>
    </w:p>
    <w:p w14:paraId="30403A76" w14:textId="2705D6AB" w:rsidR="004B170A" w:rsidRPr="00CE6868" w:rsidRDefault="009C5A2A"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29" w:name="_Toc221510193"/>
    </w:p>
    <w:bookmarkEnd w:id="29"/>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5BA5A59C"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0" w:name="_Toc448769206"/>
      <w:bookmarkStart w:id="31" w:name="_Toc448823919"/>
      <w:bookmarkStart w:id="32" w:name="_Toc448824097"/>
      <w:bookmarkStart w:id="33" w:name="_Toc448824302"/>
      <w:bookmarkStart w:id="34" w:name="_Toc65068705"/>
      <w:r w:rsidR="00606857">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0"/>
      <w:bookmarkEnd w:id="31"/>
      <w:bookmarkEnd w:id="32"/>
      <w:bookmarkEnd w:id="33"/>
      <w:bookmarkEnd w:id="34"/>
    </w:p>
    <w:p w14:paraId="1023FB02" w14:textId="335CCC3E" w:rsidR="004664AC" w:rsidRDefault="0035763D" w:rsidP="004664AC">
      <w:pPr>
        <w:pStyle w:val="Heading2"/>
        <w:ind w:left="993" w:hanging="993"/>
        <w:rPr>
          <w:rFonts w:ascii="Calibri" w:hAnsi="Calibri" w:cs="Calibri"/>
          <w:color w:val="FF0000"/>
        </w:rPr>
      </w:pPr>
      <w:bookmarkStart w:id="35" w:name="_Toc65068706"/>
      <w:bookmarkStart w:id="36" w:name="_Toc305680616"/>
      <w:bookmarkStart w:id="37" w:name="_Toc479326111"/>
      <w:bookmarkStart w:id="38" w:name="_Toc221510200"/>
      <w:r w:rsidRPr="0035763D">
        <w:rPr>
          <w:rFonts w:ascii="Calibri" w:hAnsi="Calibri" w:cs="Calibri"/>
          <w:color w:val="FF0000"/>
        </w:rPr>
        <w:t>Encryption &amp; Key Management</w:t>
      </w:r>
      <w:r>
        <w:rPr>
          <w:rFonts w:ascii="Calibri" w:hAnsi="Calibri" w:cs="Calibri"/>
          <w:color w:val="FF0000"/>
        </w:rPr>
        <w:t xml:space="preserve"> Standards</w:t>
      </w:r>
      <w:bookmarkEnd w:id="35"/>
    </w:p>
    <w:p w14:paraId="67D7B8D0" w14:textId="77777777" w:rsidR="0035763D" w:rsidRPr="0035763D" w:rsidRDefault="0035763D" w:rsidP="0035763D">
      <w:pPr>
        <w:pStyle w:val="PolicyBodyTextList"/>
        <w:numPr>
          <w:ilvl w:val="0"/>
          <w:numId w:val="38"/>
        </w:numPr>
        <w:rPr>
          <w:rFonts w:ascii="Calibri" w:hAnsi="Calibri" w:cs="Calibri"/>
          <w:sz w:val="22"/>
          <w:szCs w:val="22"/>
        </w:rPr>
      </w:pPr>
      <w:bookmarkStart w:id="39" w:name="_Toc194725319"/>
      <w:r w:rsidRPr="0035763D">
        <w:rPr>
          <w:rFonts w:ascii="Calibri" w:hAnsi="Calibri" w:cs="Calibri"/>
          <w:sz w:val="22"/>
          <w:szCs w:val="22"/>
        </w:rPr>
        <w:t>All cryptographic keys shall be protected against modification, loss, and destruction. In addition, secret and private keys shall be protected against unauthorized disclosure.</w:t>
      </w:r>
      <w:bookmarkEnd w:id="39"/>
    </w:p>
    <w:p w14:paraId="59D9F2AE" w14:textId="77777777" w:rsidR="0035763D" w:rsidRPr="0035763D" w:rsidRDefault="0035763D" w:rsidP="0035763D">
      <w:pPr>
        <w:pStyle w:val="PolicyBodyTextList"/>
        <w:numPr>
          <w:ilvl w:val="0"/>
          <w:numId w:val="38"/>
        </w:numPr>
        <w:rPr>
          <w:rFonts w:ascii="Calibri" w:hAnsi="Calibri" w:cs="Calibri"/>
          <w:sz w:val="22"/>
          <w:szCs w:val="22"/>
        </w:rPr>
      </w:pPr>
      <w:bookmarkStart w:id="40" w:name="_Toc194725320"/>
      <w:r w:rsidRPr="0035763D">
        <w:rPr>
          <w:rFonts w:ascii="Calibri" w:hAnsi="Calibri" w:cs="Calibri"/>
          <w:sz w:val="22"/>
          <w:szCs w:val="22"/>
        </w:rPr>
        <w:t>Equipment used to generate, store and archive keys shall be physically protected from unauthorized access.</w:t>
      </w:r>
      <w:bookmarkEnd w:id="40"/>
    </w:p>
    <w:p w14:paraId="193FE55D" w14:textId="7C885AAD" w:rsidR="0035763D" w:rsidRPr="0035763D" w:rsidRDefault="008250FB" w:rsidP="0035763D">
      <w:pPr>
        <w:pStyle w:val="PolicyBodyTextList"/>
        <w:numPr>
          <w:ilvl w:val="0"/>
          <w:numId w:val="38"/>
        </w:numPr>
        <w:rPr>
          <w:rFonts w:ascii="Calibri" w:hAnsi="Calibri" w:cs="Calibri"/>
          <w:sz w:val="22"/>
          <w:szCs w:val="22"/>
        </w:rPr>
      </w:pPr>
      <w:bookmarkStart w:id="41" w:name="_Toc194725321"/>
      <w:r>
        <w:rPr>
          <w:rFonts w:ascii="Calibri" w:hAnsi="Calibri" w:cs="Calibri"/>
          <w:sz w:val="22"/>
          <w:szCs w:val="22"/>
        </w:rPr>
        <w:t>The</w:t>
      </w:r>
      <w:r w:rsidR="0035763D" w:rsidRPr="0035763D">
        <w:rPr>
          <w:rFonts w:ascii="Calibri" w:hAnsi="Calibri" w:cs="Calibri"/>
          <w:sz w:val="22"/>
          <w:szCs w:val="22"/>
        </w:rPr>
        <w:t xml:space="preserve"> key management system shall be based on an agreed set of procedures, and secure methods for:</w:t>
      </w:r>
      <w:bookmarkEnd w:id="41"/>
    </w:p>
    <w:p w14:paraId="434EE6B2" w14:textId="77777777" w:rsidR="0035763D" w:rsidRPr="0035763D" w:rsidRDefault="0035763D" w:rsidP="0035763D">
      <w:pPr>
        <w:pStyle w:val="PolicyL2"/>
        <w:numPr>
          <w:ilvl w:val="0"/>
          <w:numId w:val="40"/>
        </w:numPr>
        <w:ind w:left="1944"/>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Generating keys for different cryptographic systems and different applications.</w:t>
      </w:r>
    </w:p>
    <w:p w14:paraId="44F50033"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Generating and obtaining public key certificates.</w:t>
      </w:r>
    </w:p>
    <w:p w14:paraId="06156D96"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Distributing keys to intended users, including how keys shall be activated when received.</w:t>
      </w:r>
    </w:p>
    <w:p w14:paraId="7F19CAC9"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Storing keys, including how authorized users obtain access to keys.</w:t>
      </w:r>
    </w:p>
    <w:p w14:paraId="1B85832C"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Changing or updating keys including rules on when keys shall be changed and how this will be done.</w:t>
      </w:r>
    </w:p>
    <w:p w14:paraId="6C05F617"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Dealing with compromised keys.</w:t>
      </w:r>
    </w:p>
    <w:p w14:paraId="3BBEB8A8"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Revoking keys including how keys shall be withdrawn or deactivated, e.g. when keys have been compromised or when a user leaves the Bank (in which case keys must also be archived).</w:t>
      </w:r>
    </w:p>
    <w:p w14:paraId="1EBED8E1"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Recovering keys that are lost or corrupted as part of business continuity management, e.g. for recovery of encrypted information.</w:t>
      </w:r>
    </w:p>
    <w:p w14:paraId="1A92ED08"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Archiving keys, e.g. for information archived or backed up.</w:t>
      </w:r>
    </w:p>
    <w:p w14:paraId="119C15B7"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Destroying keys.</w:t>
      </w:r>
    </w:p>
    <w:p w14:paraId="2BF9BDBC" w14:textId="77777777" w:rsidR="0035763D" w:rsidRPr="0035763D" w:rsidRDefault="0035763D" w:rsidP="0035763D">
      <w:pPr>
        <w:pStyle w:val="PolicyL2"/>
        <w:rPr>
          <w:rFonts w:ascii="Calibri" w:eastAsia="Times New Roman" w:hAnsi="Calibri" w:cs="Calibri"/>
          <w:bCs w:val="0"/>
          <w:sz w:val="22"/>
          <w:szCs w:val="22"/>
          <w:lang w:val="en-GB"/>
        </w:rPr>
      </w:pPr>
      <w:r w:rsidRPr="0035763D">
        <w:rPr>
          <w:rFonts w:ascii="Calibri" w:eastAsia="Times New Roman" w:hAnsi="Calibri" w:cs="Calibri"/>
          <w:bCs w:val="0"/>
          <w:sz w:val="22"/>
          <w:szCs w:val="22"/>
          <w:lang w:val="en-GB"/>
        </w:rPr>
        <w:t>Logging and auditing of key management related activities.</w:t>
      </w:r>
    </w:p>
    <w:p w14:paraId="26F0AE3D" w14:textId="7D530109" w:rsidR="0035763D" w:rsidRPr="0035763D" w:rsidRDefault="0035763D" w:rsidP="0035763D">
      <w:pPr>
        <w:pStyle w:val="PolicyBodyTextList"/>
        <w:rPr>
          <w:rFonts w:ascii="Calibri" w:hAnsi="Calibri" w:cs="Calibri"/>
          <w:sz w:val="22"/>
          <w:szCs w:val="22"/>
        </w:rPr>
      </w:pPr>
      <w:bookmarkStart w:id="42" w:name="_Toc194725322"/>
      <w:proofErr w:type="gramStart"/>
      <w:r w:rsidRPr="0035763D">
        <w:rPr>
          <w:rFonts w:ascii="Calibri" w:hAnsi="Calibri" w:cs="Calibri"/>
          <w:sz w:val="22"/>
          <w:szCs w:val="22"/>
        </w:rPr>
        <w:t>In order to</w:t>
      </w:r>
      <w:proofErr w:type="gramEnd"/>
      <w:r w:rsidRPr="0035763D">
        <w:rPr>
          <w:rFonts w:ascii="Calibri" w:hAnsi="Calibri" w:cs="Calibri"/>
          <w:sz w:val="22"/>
          <w:szCs w:val="22"/>
        </w:rPr>
        <w:t xml:space="preserve"> reduce the likelihood of compromise, activation, and deactivation dates for keys shall be defined so that the keys can only be used for a limited </w:t>
      </w:r>
      <w:r w:rsidR="008250FB" w:rsidRPr="0035763D">
        <w:rPr>
          <w:rFonts w:ascii="Calibri" w:hAnsi="Calibri" w:cs="Calibri"/>
          <w:sz w:val="22"/>
          <w:szCs w:val="22"/>
        </w:rPr>
        <w:t>period</w:t>
      </w:r>
      <w:r w:rsidRPr="0035763D">
        <w:rPr>
          <w:rFonts w:ascii="Calibri" w:hAnsi="Calibri" w:cs="Calibri"/>
          <w:sz w:val="22"/>
          <w:szCs w:val="22"/>
        </w:rPr>
        <w:t xml:space="preserve">. This </w:t>
      </w:r>
      <w:r w:rsidR="008250FB" w:rsidRPr="0035763D">
        <w:rPr>
          <w:rFonts w:ascii="Calibri" w:hAnsi="Calibri" w:cs="Calibri"/>
          <w:sz w:val="22"/>
          <w:szCs w:val="22"/>
        </w:rPr>
        <w:t>period</w:t>
      </w:r>
      <w:r w:rsidRPr="0035763D">
        <w:rPr>
          <w:rFonts w:ascii="Calibri" w:hAnsi="Calibri" w:cs="Calibri"/>
          <w:sz w:val="22"/>
          <w:szCs w:val="22"/>
        </w:rPr>
        <w:t xml:space="preserve"> shall be dependent on the circumstances under which the cryptographic control is being used, and the perceived risk.</w:t>
      </w:r>
      <w:bookmarkEnd w:id="42"/>
    </w:p>
    <w:p w14:paraId="7A5924EF" w14:textId="77777777" w:rsidR="0035763D" w:rsidRPr="0035763D" w:rsidRDefault="0035763D" w:rsidP="0035763D">
      <w:pPr>
        <w:pStyle w:val="PolicyBodyTextList"/>
        <w:rPr>
          <w:rFonts w:ascii="Calibri" w:hAnsi="Calibri" w:cs="Calibri"/>
          <w:sz w:val="22"/>
          <w:szCs w:val="22"/>
        </w:rPr>
      </w:pPr>
      <w:bookmarkStart w:id="43" w:name="_Toc194725323"/>
      <w:r w:rsidRPr="0035763D">
        <w:rPr>
          <w:rFonts w:ascii="Calibri" w:hAnsi="Calibri" w:cs="Calibri"/>
          <w:sz w:val="22"/>
          <w:szCs w:val="22"/>
        </w:rPr>
        <w:t xml:space="preserve">In addition to securely managing secret and private keys, the authenticity of public keys shall also be considered. This authentication process shall be done using public key certificates which are normally issued by a certification authority, which shall be a recognized organization with suitable controls and procedures in place to provide the required degree of </w:t>
      </w:r>
      <w:r w:rsidRPr="0035763D">
        <w:rPr>
          <w:rFonts w:ascii="Calibri" w:hAnsi="Calibri" w:cs="Calibri"/>
          <w:sz w:val="22"/>
          <w:szCs w:val="22"/>
        </w:rPr>
        <w:lastRenderedPageBreak/>
        <w:t>trust.</w:t>
      </w:r>
      <w:bookmarkEnd w:id="43"/>
    </w:p>
    <w:p w14:paraId="48EAEFAB" w14:textId="77777777" w:rsidR="0035763D" w:rsidRPr="0035763D" w:rsidRDefault="0035763D" w:rsidP="0035763D">
      <w:pPr>
        <w:pStyle w:val="PolicyBodyTextList"/>
        <w:rPr>
          <w:rFonts w:ascii="Calibri" w:hAnsi="Calibri" w:cs="Calibri"/>
          <w:sz w:val="22"/>
          <w:szCs w:val="22"/>
        </w:rPr>
      </w:pPr>
      <w:bookmarkStart w:id="44" w:name="_Toc194725324"/>
      <w:r w:rsidRPr="0035763D">
        <w:rPr>
          <w:rFonts w:ascii="Calibri" w:hAnsi="Calibri" w:cs="Calibri"/>
          <w:sz w:val="22"/>
          <w:szCs w:val="22"/>
        </w:rPr>
        <w:t>The contents of service level agreements or contracts with external suppliers of cryptographic services, e.g. with a certification authority, shall cover issues of liability, reliability of services and response times for the provision of services</w:t>
      </w:r>
      <w:bookmarkEnd w:id="44"/>
      <w:r w:rsidRPr="0035763D">
        <w:rPr>
          <w:rFonts w:ascii="Calibri" w:hAnsi="Calibri" w:cs="Calibri"/>
          <w:sz w:val="22"/>
          <w:szCs w:val="22"/>
        </w:rPr>
        <w:t>.</w:t>
      </w:r>
    </w:p>
    <w:p w14:paraId="77F93CEC" w14:textId="1A393E60"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Encryption keys are a most sensitive type of information, and access to such keys must be strictly limited to those who have a need-to-know</w:t>
      </w:r>
      <w:r w:rsidR="008250FB">
        <w:rPr>
          <w:rFonts w:ascii="Calibri" w:hAnsi="Calibri" w:cs="Calibri"/>
          <w:sz w:val="22"/>
          <w:szCs w:val="22"/>
        </w:rPr>
        <w:t xml:space="preserve">, </w:t>
      </w:r>
      <w:r w:rsidRPr="0035763D">
        <w:rPr>
          <w:rFonts w:ascii="Calibri" w:hAnsi="Calibri" w:cs="Calibri"/>
          <w:sz w:val="22"/>
          <w:szCs w:val="22"/>
        </w:rPr>
        <w:t>encryption keys must not be revealed to consultants, contractors, or other third parties.</w:t>
      </w:r>
    </w:p>
    <w:p w14:paraId="2FA326B7" w14:textId="77777777"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The bank’s encryption systems must be designed such that no single person has full knowledge of any single encryption key. This must be achieved by separation of duties and dual control/split custody.  Separation of duties refers to use of more than one individual to handle the different steps involved in a certain important activity, while dual control/split custody means that two people must be simultaneously present for an important activity to be accomplished.</w:t>
      </w:r>
    </w:p>
    <w:p w14:paraId="2111136C" w14:textId="77777777"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Key management responsibility may only be delegated to a party who is a confirmed professional staff, does not have any operational audit issue(s) pending against him and has signed a confidentiality agreement.</w:t>
      </w:r>
    </w:p>
    <w:p w14:paraId="4364EEC5" w14:textId="170F21CC"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 xml:space="preserve">All </w:t>
      </w:r>
      <w:r w:rsidR="008250FB" w:rsidRPr="0035763D">
        <w:rPr>
          <w:rFonts w:ascii="Calibri" w:hAnsi="Calibri" w:cs="Calibri"/>
          <w:sz w:val="22"/>
          <w:szCs w:val="22"/>
        </w:rPr>
        <w:t>general-purpose</w:t>
      </w:r>
      <w:r w:rsidRPr="0035763D">
        <w:rPr>
          <w:rFonts w:ascii="Calibri" w:hAnsi="Calibri" w:cs="Calibri"/>
          <w:sz w:val="22"/>
          <w:szCs w:val="22"/>
        </w:rPr>
        <w:t xml:space="preserve"> encryption processes running on the bank’s information systems must include key escrow functions.  These special functions allow the bank to recover encrypted information in the event of system errors, human errors, or other problems.</w:t>
      </w:r>
    </w:p>
    <w:p w14:paraId="1228CB38" w14:textId="4EAA1FE2"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 xml:space="preserve">Encryption keys which have been </w:t>
      </w:r>
      <w:r w:rsidR="008250FB" w:rsidRPr="0035763D">
        <w:rPr>
          <w:rFonts w:ascii="Calibri" w:hAnsi="Calibri" w:cs="Calibri"/>
          <w:sz w:val="22"/>
          <w:szCs w:val="22"/>
        </w:rPr>
        <w:t>compromised or</w:t>
      </w:r>
      <w:r w:rsidRPr="0035763D">
        <w:rPr>
          <w:rFonts w:ascii="Calibri" w:hAnsi="Calibri" w:cs="Calibri"/>
          <w:sz w:val="22"/>
          <w:szCs w:val="22"/>
        </w:rPr>
        <w:t xml:space="preserve"> revealed to third parties under a key escrow arrangement, must immediately be revoked retroactively to the last known time when the keys were safe. </w:t>
      </w:r>
    </w:p>
    <w:p w14:paraId="4208E86E" w14:textId="77777777" w:rsidR="0035763D" w:rsidRPr="0035763D" w:rsidRDefault="0035763D" w:rsidP="0035763D">
      <w:pPr>
        <w:pStyle w:val="PolicyBodyTextList"/>
        <w:rPr>
          <w:rFonts w:ascii="Calibri" w:hAnsi="Calibri" w:cs="Calibri"/>
          <w:sz w:val="22"/>
          <w:szCs w:val="22"/>
        </w:rPr>
      </w:pPr>
      <w:r w:rsidRPr="0035763D">
        <w:rPr>
          <w:rFonts w:ascii="Calibri" w:hAnsi="Calibri" w:cs="Calibri"/>
          <w:sz w:val="22"/>
          <w:szCs w:val="22"/>
        </w:rPr>
        <w:t>If encryption is used to protect sensitive data resident on computer storage media, the encryption keys and related encryption keying materials (initialization vectors, time-and-date stamps, salt parameters, etc.) used in the encryption process must not be stored anywhere on the storage media in unencrypted form.</w:t>
      </w:r>
    </w:p>
    <w:p w14:paraId="10EF3844" w14:textId="4349DCEB" w:rsidR="00207058" w:rsidRPr="00B4617E" w:rsidRDefault="0035763D" w:rsidP="00B4617E">
      <w:pPr>
        <w:pStyle w:val="PolicyBodyTextList"/>
        <w:rPr>
          <w:rFonts w:ascii="Calibri" w:hAnsi="Calibri" w:cs="Calibri"/>
          <w:sz w:val="22"/>
          <w:szCs w:val="22"/>
        </w:rPr>
      </w:pPr>
      <w:r w:rsidRPr="0035763D">
        <w:rPr>
          <w:rFonts w:ascii="Calibri" w:hAnsi="Calibri" w:cs="Calibri"/>
          <w:sz w:val="22"/>
          <w:szCs w:val="22"/>
        </w:rPr>
        <w:t>Whenever encryption is used for data at rest, the sole readable version of data may be deleted only after it is confirmed that the decryption process is able to restore a readable version of the data.</w:t>
      </w:r>
      <w:bookmarkStart w:id="45" w:name="_Toc305766042"/>
      <w:bookmarkEnd w:id="36"/>
      <w:bookmarkEnd w:id="37"/>
    </w:p>
    <w:bookmarkEnd w:id="45"/>
    <w:p w14:paraId="07BE7CE8" w14:textId="366B483B"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46" w:name="_Toc448769223"/>
      <w:bookmarkStart w:id="47" w:name="_Toc448823936"/>
      <w:bookmarkStart w:id="48" w:name="_Toc448824114"/>
      <w:bookmarkStart w:id="49" w:name="_Toc448824319"/>
      <w:bookmarkStart w:id="50" w:name="_Toc65068707"/>
      <w:r w:rsidR="00606857">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8"/>
      <w:bookmarkEnd w:id="46"/>
      <w:bookmarkEnd w:id="47"/>
      <w:bookmarkEnd w:id="48"/>
      <w:bookmarkEnd w:id="49"/>
      <w:r w:rsidR="004B170A" w:rsidRPr="00CE6868">
        <w:rPr>
          <w:rFonts w:ascii="Calibri" w:hAnsi="Calibri" w:cs="Calibri"/>
        </w:rPr>
        <w:t xml:space="preserve"> &amp; Enforcement</w:t>
      </w:r>
      <w:bookmarkEnd w:id="50"/>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51" w:name="_Toc221510201"/>
      <w:bookmarkStart w:id="52" w:name="_Toc448769224"/>
      <w:bookmarkStart w:id="53" w:name="_Toc448823937"/>
      <w:bookmarkStart w:id="54" w:name="_Toc448824115"/>
      <w:bookmarkStart w:id="55" w:name="_Toc448824320"/>
      <w:bookmarkStart w:id="56" w:name="_Toc65068708"/>
      <w:r w:rsidRPr="00CE6868">
        <w:rPr>
          <w:rFonts w:ascii="Calibri" w:hAnsi="Calibri" w:cs="Calibri"/>
        </w:rPr>
        <w:t>Compliance Measures</w:t>
      </w:r>
      <w:bookmarkEnd w:id="51"/>
      <w:bookmarkEnd w:id="52"/>
      <w:bookmarkEnd w:id="53"/>
      <w:bookmarkEnd w:id="54"/>
      <w:bookmarkEnd w:id="55"/>
      <w:bookmarkEnd w:id="56"/>
    </w:p>
    <w:p w14:paraId="41D153C7" w14:textId="5044B214"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bookmarkStart w:id="57" w:name="_Hlk41387747"/>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2FB0D80B" w:rsidR="00207058" w:rsidRPr="00CE6868" w:rsidRDefault="0046642B" w:rsidP="00643968">
            <w:pPr>
              <w:spacing w:before="40" w:after="80"/>
              <w:rPr>
                <w:rFonts w:ascii="Calibri" w:hAnsi="Calibri" w:cs="Calibri"/>
                <w:color w:val="000000" w:themeColor="text1"/>
              </w:rPr>
            </w:pPr>
            <w:r>
              <w:rPr>
                <w:rFonts w:ascii="Calibri" w:hAnsi="Calibri" w:cs="Calibri"/>
                <w:color w:val="000000" w:themeColor="text1"/>
              </w:rPr>
              <w:t>Review the</w:t>
            </w:r>
            <w:r w:rsidR="00413E32">
              <w:rPr>
                <w:rFonts w:ascii="Calibri" w:hAnsi="Calibri" w:cs="Calibri"/>
                <w:color w:val="000000" w:themeColor="text1"/>
              </w:rPr>
              <w:t xml:space="preserve"> bank’s environment where encryption has been implemented.</w:t>
            </w:r>
          </w:p>
        </w:tc>
        <w:tc>
          <w:tcPr>
            <w:tcW w:w="4937" w:type="dxa"/>
          </w:tcPr>
          <w:p w14:paraId="1B1FF9D7" w14:textId="21B909B7" w:rsidR="00207058" w:rsidRPr="00CE6868" w:rsidRDefault="0046642B"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 xml:space="preserve">Confirm </w:t>
            </w:r>
            <w:r w:rsidR="00B4617E">
              <w:rPr>
                <w:rFonts w:ascii="Calibri" w:hAnsi="Calibri" w:cs="Calibri"/>
                <w:color w:val="FF0000"/>
              </w:rPr>
              <w:t>if the encryption standard was followed</w:t>
            </w:r>
          </w:p>
        </w:tc>
      </w:tr>
    </w:tbl>
    <w:p w14:paraId="65026180" w14:textId="2BD97404" w:rsidR="004B170A" w:rsidRPr="00CE6868" w:rsidRDefault="004B170A" w:rsidP="00D053C1">
      <w:pPr>
        <w:pStyle w:val="Heading2"/>
        <w:rPr>
          <w:rFonts w:ascii="Calibri" w:hAnsi="Calibri" w:cs="Calibri"/>
        </w:rPr>
      </w:pPr>
      <w:bookmarkStart w:id="58" w:name="_Toc221510202"/>
      <w:bookmarkStart w:id="59" w:name="_Toc448769225"/>
      <w:bookmarkStart w:id="60" w:name="_Toc448823938"/>
      <w:bookmarkStart w:id="61" w:name="_Toc448824116"/>
      <w:bookmarkStart w:id="62" w:name="_Toc448824321"/>
      <w:bookmarkStart w:id="63" w:name="_Toc65068709"/>
      <w:bookmarkEnd w:id="57"/>
      <w:r w:rsidRPr="00CE6868">
        <w:rPr>
          <w:rFonts w:ascii="Calibri" w:hAnsi="Calibri" w:cs="Calibri"/>
        </w:rPr>
        <w:t>Enforcement</w:t>
      </w:r>
      <w:bookmarkEnd w:id="58"/>
      <w:bookmarkEnd w:id="59"/>
      <w:bookmarkEnd w:id="60"/>
      <w:bookmarkEnd w:id="61"/>
      <w:bookmarkEnd w:id="62"/>
      <w:bookmarkEnd w:id="63"/>
    </w:p>
    <w:p w14:paraId="0E0DA6B4" w14:textId="3A9B80EB" w:rsidR="000E307D" w:rsidRPr="00460908" w:rsidRDefault="000E307D" w:rsidP="000E307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C5A2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C5A2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3CC0FE8A" w14:textId="77777777" w:rsidR="000E307D" w:rsidRPr="00460908" w:rsidRDefault="000E307D" w:rsidP="000E307D">
      <w:pPr>
        <w:pStyle w:val="ListParagraph"/>
        <w:numPr>
          <w:ilvl w:val="0"/>
          <w:numId w:val="41"/>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2F1C1FC" w14:textId="77777777" w:rsidR="000E307D" w:rsidRPr="00460908" w:rsidRDefault="000E307D" w:rsidP="000E307D">
      <w:pPr>
        <w:pStyle w:val="ListParagraph"/>
        <w:numPr>
          <w:ilvl w:val="0"/>
          <w:numId w:val="41"/>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1FABAFD3" w14:textId="77777777" w:rsidR="000E307D" w:rsidRPr="00460908" w:rsidRDefault="000E307D" w:rsidP="000E307D">
      <w:pPr>
        <w:pStyle w:val="ListParagraph"/>
        <w:numPr>
          <w:ilvl w:val="0"/>
          <w:numId w:val="41"/>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55DCAE0A"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64" w:name="_Toc448769226"/>
      <w:bookmarkStart w:id="65" w:name="_Toc448823939"/>
      <w:bookmarkStart w:id="66" w:name="_Toc448824117"/>
      <w:bookmarkStart w:id="67" w:name="_Toc448824322"/>
      <w:bookmarkStart w:id="68" w:name="_Toc65068710"/>
      <w:r w:rsidRPr="00CE6868">
        <w:rPr>
          <w:rFonts w:ascii="Calibri" w:hAnsi="Calibri" w:cs="Calibri"/>
        </w:rPr>
        <w:lastRenderedPageBreak/>
        <w:t>Exception Process / Glossary</w:t>
      </w:r>
      <w:bookmarkEnd w:id="64"/>
      <w:bookmarkEnd w:id="65"/>
      <w:bookmarkEnd w:id="66"/>
      <w:bookmarkEnd w:id="67"/>
      <w:bookmarkEnd w:id="68"/>
    </w:p>
    <w:p w14:paraId="2014CD09" w14:textId="3736F5BE" w:rsidR="004B170A" w:rsidRPr="00CE6868" w:rsidRDefault="004B170A" w:rsidP="00D053C1">
      <w:pPr>
        <w:pStyle w:val="Heading2"/>
        <w:rPr>
          <w:rFonts w:ascii="Calibri" w:hAnsi="Calibri" w:cs="Calibri"/>
        </w:rPr>
      </w:pPr>
      <w:bookmarkStart w:id="69" w:name="_Toc448769227"/>
      <w:bookmarkStart w:id="70" w:name="_Toc448823940"/>
      <w:bookmarkStart w:id="71" w:name="_Toc448824118"/>
      <w:bookmarkStart w:id="72" w:name="_Toc448824323"/>
      <w:bookmarkStart w:id="73" w:name="_Toc65068711"/>
      <w:r w:rsidRPr="00CE6868">
        <w:rPr>
          <w:rFonts w:ascii="Calibri" w:hAnsi="Calibri" w:cs="Calibri"/>
        </w:rPr>
        <w:t>Exception Process</w:t>
      </w:r>
      <w:bookmarkEnd w:id="69"/>
      <w:bookmarkEnd w:id="70"/>
      <w:bookmarkEnd w:id="71"/>
      <w:bookmarkEnd w:id="72"/>
      <w:bookmarkEnd w:id="73"/>
    </w:p>
    <w:p w14:paraId="590A95EE" w14:textId="6CBA580A"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9C5A2A">
        <w:rPr>
          <w:rFonts w:ascii="Calibri" w:hAnsi="Calibri" w:cs="Calibri"/>
          <w:i/>
          <w:color w:val="FF0000"/>
          <w:sz w:val="22"/>
          <w:szCs w:val="22"/>
        </w:rPr>
        <w:t>XXXX</w:t>
      </w:r>
      <w:r w:rsidR="00606857">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p>
    <w:p w14:paraId="0626A621" w14:textId="77777777" w:rsidR="004B170A" w:rsidRPr="00CE6868" w:rsidRDefault="004B170A" w:rsidP="00D053C1">
      <w:pPr>
        <w:pStyle w:val="Heading2"/>
        <w:rPr>
          <w:rFonts w:ascii="Calibri" w:hAnsi="Calibri" w:cs="Calibri"/>
        </w:rPr>
      </w:pPr>
      <w:bookmarkStart w:id="74" w:name="_Toc448769228"/>
      <w:bookmarkStart w:id="75" w:name="_Toc448823941"/>
      <w:bookmarkStart w:id="76" w:name="_Toc448824119"/>
      <w:bookmarkStart w:id="77" w:name="_Toc448824324"/>
      <w:bookmarkStart w:id="78" w:name="_Toc65068712"/>
      <w:r w:rsidRPr="00CE6868">
        <w:rPr>
          <w:rFonts w:ascii="Calibri" w:hAnsi="Calibri" w:cs="Calibri"/>
        </w:rPr>
        <w:t>Glossary / Acronyms</w:t>
      </w:r>
      <w:bookmarkEnd w:id="74"/>
      <w:bookmarkEnd w:id="75"/>
      <w:bookmarkEnd w:id="76"/>
      <w:bookmarkEnd w:id="77"/>
      <w:bookmarkEnd w:id="78"/>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2509311E" w:rsidR="004B170A" w:rsidRPr="00CE6868" w:rsidRDefault="001541F6" w:rsidP="009A5409">
            <w:pPr>
              <w:spacing w:before="40" w:after="80"/>
              <w:rPr>
                <w:rFonts w:ascii="Calibri" w:hAnsi="Calibri" w:cs="Calibri"/>
                <w:color w:val="FF0000"/>
              </w:rPr>
            </w:pPr>
            <w:r>
              <w:rPr>
                <w:rFonts w:ascii="Calibri" w:hAnsi="Calibri" w:cs="Calibri"/>
                <w:color w:val="FF0000"/>
              </w:rPr>
              <w:t>CA</w:t>
            </w:r>
          </w:p>
        </w:tc>
        <w:tc>
          <w:tcPr>
            <w:tcW w:w="6618" w:type="dxa"/>
            <w:vAlign w:val="center"/>
          </w:tcPr>
          <w:p w14:paraId="44AFBC21" w14:textId="7F8B01F2" w:rsidR="004B170A" w:rsidRPr="00CE6868" w:rsidRDefault="001541F6" w:rsidP="009A5409">
            <w:pPr>
              <w:spacing w:before="40" w:after="80"/>
              <w:rPr>
                <w:rFonts w:ascii="Calibri" w:hAnsi="Calibri" w:cs="Calibri"/>
                <w:color w:val="FF0000"/>
              </w:rPr>
            </w:pPr>
            <w:r>
              <w:rPr>
                <w:rFonts w:ascii="Calibri" w:hAnsi="Calibri" w:cs="Calibri"/>
                <w:sz w:val="22"/>
                <w:szCs w:val="22"/>
              </w:rPr>
              <w:t>C</w:t>
            </w:r>
            <w:r w:rsidRPr="0035763D">
              <w:rPr>
                <w:rFonts w:ascii="Calibri" w:hAnsi="Calibri" w:cs="Calibri"/>
                <w:sz w:val="22"/>
                <w:szCs w:val="22"/>
              </w:rPr>
              <w:t xml:space="preserve">ertification </w:t>
            </w:r>
            <w:r>
              <w:rPr>
                <w:rFonts w:ascii="Calibri" w:hAnsi="Calibri" w:cs="Calibri"/>
                <w:sz w:val="22"/>
                <w:szCs w:val="22"/>
              </w:rPr>
              <w:t>A</w:t>
            </w:r>
            <w:r w:rsidRPr="0035763D">
              <w:rPr>
                <w:rFonts w:ascii="Calibri" w:hAnsi="Calibri" w:cs="Calibri"/>
                <w:sz w:val="22"/>
                <w:szCs w:val="22"/>
              </w:rPr>
              <w:t>uthority</w:t>
            </w:r>
          </w:p>
        </w:tc>
      </w:tr>
      <w:tr w:rsidR="007D0D16" w:rsidRPr="00CE6868" w14:paraId="7E3FDB19" w14:textId="77777777" w:rsidTr="004B170A">
        <w:trPr>
          <w:trHeight w:val="340"/>
        </w:trPr>
        <w:tc>
          <w:tcPr>
            <w:tcW w:w="2988" w:type="dxa"/>
            <w:vAlign w:val="center"/>
          </w:tcPr>
          <w:p w14:paraId="3F00BC3D" w14:textId="032048B5" w:rsidR="007D0D16" w:rsidRDefault="007D0D16" w:rsidP="009A5409">
            <w:pPr>
              <w:spacing w:before="40" w:after="80"/>
              <w:rPr>
                <w:rFonts w:ascii="Calibri" w:hAnsi="Calibri" w:cs="Calibri"/>
                <w:color w:val="FF0000"/>
              </w:rPr>
            </w:pPr>
          </w:p>
        </w:tc>
        <w:tc>
          <w:tcPr>
            <w:tcW w:w="6618" w:type="dxa"/>
            <w:vAlign w:val="center"/>
          </w:tcPr>
          <w:p w14:paraId="1A42583D" w14:textId="7FAF4CBF" w:rsidR="007D0D16" w:rsidRDefault="007D0D16" w:rsidP="009A5409">
            <w:pPr>
              <w:spacing w:before="40" w:after="80"/>
              <w:rPr>
                <w:rFonts w:ascii="Calibri" w:hAnsi="Calibri" w:cs="Calibri"/>
                <w:color w:val="FF0000"/>
              </w:rPr>
            </w:pP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79" w:name="_Toc448769229"/>
      <w:bookmarkStart w:id="80" w:name="_Toc448823942"/>
      <w:bookmarkStart w:id="81" w:name="_Toc448824120"/>
      <w:bookmarkStart w:id="82" w:name="_Toc448824325"/>
      <w:bookmarkStart w:id="83" w:name="_Toc65068713"/>
      <w:r w:rsidRPr="00CE6868">
        <w:rPr>
          <w:rFonts w:ascii="Calibri" w:hAnsi="Calibri" w:cs="Calibri"/>
        </w:rPr>
        <w:lastRenderedPageBreak/>
        <w:t>Document Management</w:t>
      </w:r>
      <w:bookmarkEnd w:id="79"/>
      <w:bookmarkEnd w:id="80"/>
      <w:bookmarkEnd w:id="81"/>
      <w:bookmarkEnd w:id="82"/>
      <w:bookmarkEnd w:id="83"/>
    </w:p>
    <w:p w14:paraId="5F1A16C8" w14:textId="77777777" w:rsidR="004B170A" w:rsidRPr="00CE6868" w:rsidRDefault="004B170A" w:rsidP="00D053C1">
      <w:pPr>
        <w:pStyle w:val="Heading2"/>
        <w:rPr>
          <w:rFonts w:ascii="Calibri" w:hAnsi="Calibri" w:cs="Calibri"/>
        </w:rPr>
      </w:pPr>
      <w:bookmarkStart w:id="84" w:name="_Toc448769230"/>
      <w:bookmarkStart w:id="85" w:name="_Toc448823943"/>
      <w:bookmarkStart w:id="86" w:name="_Toc448824121"/>
      <w:bookmarkStart w:id="87" w:name="_Toc448824326"/>
      <w:bookmarkStart w:id="88" w:name="_Toc65068714"/>
      <w:r w:rsidRPr="00CE6868">
        <w:rPr>
          <w:rFonts w:ascii="Calibri" w:hAnsi="Calibri" w:cs="Calibri"/>
        </w:rPr>
        <w:t>Document Revision Log</w:t>
      </w:r>
      <w:bookmarkEnd w:id="84"/>
      <w:bookmarkEnd w:id="85"/>
      <w:bookmarkEnd w:id="86"/>
      <w:bookmarkEnd w:id="87"/>
      <w:bookmarkEnd w:id="8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CE6868" w14:paraId="7E694F99" w14:textId="77777777" w:rsidTr="009A2E14">
        <w:trPr>
          <w:cantSplit/>
          <w:trHeight w:val="397"/>
        </w:trPr>
        <w:tc>
          <w:tcPr>
            <w:tcW w:w="1583"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678"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2628AFC0" w14:textId="77777777" w:rsidTr="009A2E14">
        <w:trPr>
          <w:cantSplit/>
          <w:trHeight w:val="340"/>
        </w:trPr>
        <w:tc>
          <w:tcPr>
            <w:tcW w:w="1583" w:type="dxa"/>
            <w:vAlign w:val="center"/>
          </w:tcPr>
          <w:p w14:paraId="291F8F07" w14:textId="6366F0FE" w:rsidR="004B170A" w:rsidRPr="00CE6868" w:rsidRDefault="004B170A" w:rsidP="004B170A">
            <w:pPr>
              <w:spacing w:before="40" w:after="40"/>
              <w:jc w:val="center"/>
              <w:rPr>
                <w:rFonts w:ascii="Calibri" w:hAnsi="Calibri" w:cs="Calibri"/>
                <w:color w:val="FF0000"/>
                <w:sz w:val="18"/>
                <w:szCs w:val="18"/>
              </w:rPr>
            </w:pPr>
          </w:p>
        </w:tc>
        <w:tc>
          <w:tcPr>
            <w:tcW w:w="1678" w:type="dxa"/>
            <w:vAlign w:val="center"/>
          </w:tcPr>
          <w:p w14:paraId="3ABECF7E" w14:textId="49AA954F" w:rsidR="004B170A" w:rsidRPr="00CE6868" w:rsidRDefault="004B170A" w:rsidP="004B170A">
            <w:pPr>
              <w:spacing w:before="40" w:after="40"/>
              <w:rPr>
                <w:rFonts w:ascii="Calibri" w:hAnsi="Calibri" w:cs="Calibri"/>
                <w:color w:val="FF0000"/>
                <w:sz w:val="18"/>
                <w:szCs w:val="18"/>
              </w:rPr>
            </w:pPr>
          </w:p>
        </w:tc>
        <w:tc>
          <w:tcPr>
            <w:tcW w:w="1417" w:type="dxa"/>
            <w:vAlign w:val="center"/>
          </w:tcPr>
          <w:p w14:paraId="452AE758" w14:textId="155A9C04" w:rsidR="004B170A" w:rsidRPr="00CE6868" w:rsidRDefault="004B170A" w:rsidP="004B170A">
            <w:pPr>
              <w:spacing w:before="40" w:after="40"/>
              <w:jc w:val="center"/>
              <w:rPr>
                <w:rFonts w:ascii="Calibri" w:hAnsi="Calibri" w:cs="Calibri"/>
                <w:color w:val="FF0000"/>
                <w:sz w:val="18"/>
                <w:szCs w:val="18"/>
              </w:rPr>
            </w:pPr>
          </w:p>
        </w:tc>
        <w:tc>
          <w:tcPr>
            <w:tcW w:w="5103" w:type="dxa"/>
            <w:vAlign w:val="center"/>
          </w:tcPr>
          <w:p w14:paraId="19F9FB41" w14:textId="1303F53E" w:rsidR="004B170A" w:rsidRPr="00CE6868" w:rsidRDefault="004B170A" w:rsidP="004B170A">
            <w:pPr>
              <w:spacing w:before="40" w:after="40"/>
              <w:rPr>
                <w:rFonts w:ascii="Calibri" w:hAnsi="Calibri" w:cs="Calibri"/>
                <w:color w:val="FF0000"/>
                <w:sz w:val="18"/>
                <w:szCs w:val="18"/>
              </w:rPr>
            </w:pPr>
          </w:p>
        </w:tc>
      </w:tr>
    </w:tbl>
    <w:p w14:paraId="22323735" w14:textId="77777777" w:rsidR="004B170A" w:rsidRPr="00CE6868" w:rsidRDefault="004B170A" w:rsidP="00D053C1">
      <w:pPr>
        <w:pStyle w:val="Heading2"/>
        <w:rPr>
          <w:rFonts w:ascii="Calibri" w:hAnsi="Calibri" w:cs="Calibri"/>
        </w:rPr>
      </w:pPr>
      <w:bookmarkStart w:id="89" w:name="_Toc448769231"/>
      <w:bookmarkStart w:id="90" w:name="_Toc448823944"/>
      <w:bookmarkStart w:id="91" w:name="_Toc448824122"/>
      <w:bookmarkStart w:id="92" w:name="_Toc448824327"/>
      <w:bookmarkStart w:id="93" w:name="_Toc65068715"/>
      <w:r w:rsidRPr="00CE6868">
        <w:rPr>
          <w:rFonts w:ascii="Calibri" w:hAnsi="Calibri" w:cs="Calibri"/>
        </w:rPr>
        <w:t>Document Ownership</w:t>
      </w:r>
      <w:bookmarkEnd w:id="89"/>
      <w:bookmarkEnd w:id="90"/>
      <w:bookmarkEnd w:id="91"/>
      <w:bookmarkEnd w:id="92"/>
      <w:bookmarkEnd w:id="93"/>
    </w:p>
    <w:p w14:paraId="7B7CC378" w14:textId="3C503C70"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9C5A2A">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94" w:name="_Toc448769232"/>
      <w:bookmarkStart w:id="95" w:name="_Toc448823945"/>
      <w:bookmarkStart w:id="96" w:name="_Toc448824123"/>
      <w:bookmarkStart w:id="97" w:name="_Toc448824328"/>
      <w:bookmarkStart w:id="98" w:name="_Toc65068716"/>
      <w:r w:rsidRPr="00CE6868">
        <w:rPr>
          <w:rFonts w:ascii="Calibri" w:hAnsi="Calibri" w:cs="Calibri"/>
        </w:rPr>
        <w:t>Document Coordinator</w:t>
      </w:r>
      <w:bookmarkEnd w:id="94"/>
      <w:bookmarkEnd w:id="95"/>
      <w:bookmarkEnd w:id="96"/>
      <w:bookmarkEnd w:id="97"/>
      <w:bookmarkEnd w:id="98"/>
    </w:p>
    <w:p w14:paraId="1953539F" w14:textId="4F838C82"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606857">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9C5A2A">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99" w:name="_Toc448769233"/>
      <w:bookmarkStart w:id="100" w:name="_Toc448823946"/>
      <w:bookmarkStart w:id="101" w:name="_Toc448824124"/>
      <w:bookmarkStart w:id="102" w:name="_Toc448824329"/>
      <w:bookmarkStart w:id="103" w:name="_Toc65068717"/>
      <w:r w:rsidRPr="00CE6868">
        <w:rPr>
          <w:rFonts w:ascii="Calibri" w:hAnsi="Calibri" w:cs="Calibri"/>
        </w:rPr>
        <w:t>Document Approvers</w:t>
      </w:r>
      <w:bookmarkEnd w:id="99"/>
      <w:bookmarkEnd w:id="100"/>
      <w:bookmarkEnd w:id="101"/>
      <w:bookmarkEnd w:id="102"/>
      <w:bookmarkEnd w:id="10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CE6868" w14:paraId="6C304B57" w14:textId="77777777" w:rsidTr="009A2E14">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66F146C0" w14:textId="77777777" w:rsidTr="009A2E14">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52801230" w14:textId="77777777" w:rsidR="00291022" w:rsidRDefault="00291022" w:rsidP="00291022">
      <w:pPr>
        <w:pStyle w:val="Heading2"/>
        <w:tabs>
          <w:tab w:val="num" w:pos="576"/>
        </w:tabs>
        <w:ind w:left="576" w:hanging="576"/>
        <w:rPr>
          <w:rFonts w:ascii="Calibri" w:hAnsi="Calibri" w:cs="Calibri"/>
        </w:rPr>
      </w:pPr>
      <w:bookmarkStart w:id="104" w:name="_Toc33198994"/>
      <w:bookmarkStart w:id="105" w:name="_Toc65068718"/>
      <w:r>
        <w:rPr>
          <w:rFonts w:ascii="Calibri" w:hAnsi="Calibri" w:cs="Calibri"/>
        </w:rPr>
        <w:t>Distribution</w:t>
      </w:r>
      <w:bookmarkEnd w:id="104"/>
      <w:bookmarkEnd w:id="105"/>
    </w:p>
    <w:p w14:paraId="13202ACD" w14:textId="3184E212"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p w14:paraId="40126D58" w14:textId="0EC60293" w:rsidR="007D0D16" w:rsidRPr="00552D99" w:rsidRDefault="00B178F0"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 Department</w:t>
      </w:r>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BB91" w14:textId="77777777" w:rsidR="000447AC" w:rsidRDefault="000447AC" w:rsidP="004B170A">
      <w:pPr>
        <w:spacing w:after="0"/>
      </w:pPr>
      <w:r>
        <w:separator/>
      </w:r>
    </w:p>
  </w:endnote>
  <w:endnote w:type="continuationSeparator" w:id="0">
    <w:p w14:paraId="73BC8DE8" w14:textId="77777777" w:rsidR="000447AC" w:rsidRDefault="000447AC"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6613C5D" w:rsidR="0046642B" w:rsidRPr="00575C5F" w:rsidRDefault="0046642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92C08" w:rsidRPr="00792C08">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F8F987A" w:rsidR="0046642B" w:rsidRPr="00CE6868" w:rsidRDefault="0046642B"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792C08" w:rsidRPr="00792C08">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6A28" w14:textId="77777777" w:rsidR="000447AC" w:rsidRDefault="000447AC" w:rsidP="004B170A">
      <w:pPr>
        <w:spacing w:after="0"/>
      </w:pPr>
      <w:r>
        <w:separator/>
      </w:r>
    </w:p>
  </w:footnote>
  <w:footnote w:type="continuationSeparator" w:id="0">
    <w:p w14:paraId="3EAE7EF2" w14:textId="77777777" w:rsidR="000447AC" w:rsidRDefault="000447AC"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68D1DB28" w:rsidR="0046642B" w:rsidRPr="00575C5F" w:rsidRDefault="0046642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92C08" w:rsidRPr="00792C08">
            <w:rPr>
              <w:rFonts w:ascii="Tahoma" w:hAnsi="Tahoma" w:cs="Tahoma"/>
              <w:bCs/>
              <w:color w:val="FF0000"/>
              <w:sz w:val="18"/>
              <w:szCs w:val="18"/>
            </w:rPr>
            <w:t>Encryption &amp; Key</w:t>
          </w:r>
          <w:r w:rsidR="00792C08">
            <w:rPr>
              <w:rFonts w:ascii="Tahoma" w:hAnsi="Tahoma" w:cs="Tahoma"/>
              <w:color w:val="FF0000"/>
              <w:sz w:val="18"/>
              <w:szCs w:val="18"/>
            </w:rPr>
            <w:t xml:space="preserve"> Management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2FBA5CAE" w:rsidR="0046642B" w:rsidRPr="00575C5F" w:rsidRDefault="0046642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C5A2A">
            <w:rPr>
              <w:rFonts w:ascii="Tahoma" w:hAnsi="Tahoma" w:cs="Tahoma"/>
              <w:color w:val="FF0000"/>
              <w:sz w:val="18"/>
              <w:szCs w:val="18"/>
            </w:rPr>
            <w:t>XXXX</w:t>
          </w:r>
          <w:r w:rsidR="00792C08">
            <w:rPr>
              <w:rFonts w:ascii="Tahoma" w:hAnsi="Tahoma" w:cs="Tahoma"/>
              <w:color w:val="FF0000"/>
              <w:sz w:val="18"/>
              <w:szCs w:val="18"/>
            </w:rPr>
            <w:t>-STD-ALL-018</w:t>
          </w:r>
          <w:r w:rsidRPr="00575C5F">
            <w:rPr>
              <w:rFonts w:ascii="Tahoma" w:hAnsi="Tahoma" w:cs="Tahoma"/>
              <w:color w:val="FF0000"/>
              <w:sz w:val="18"/>
              <w:szCs w:val="18"/>
            </w:rPr>
            <w:fldChar w:fldCharType="end"/>
          </w:r>
        </w:p>
      </w:tc>
    </w:tr>
    <w:tr w:rsidR="0046642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0CF79413"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92C08" w:rsidRPr="00792C08">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6642B" w:rsidRPr="00424F10" w:rsidRDefault="0046642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1F2B0231"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92C08">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241D3100"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92C08" w:rsidRPr="00792C08">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6642B" w:rsidRDefault="0046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494C8FA5" w:rsidR="0046642B" w:rsidRPr="00CE6868" w:rsidRDefault="0046642B"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792C08" w:rsidRPr="00792C08">
            <w:rPr>
              <w:rFonts w:ascii="Calibri" w:hAnsi="Calibri" w:cs="Calibri"/>
              <w:bCs/>
              <w:color w:val="FF0000"/>
              <w:sz w:val="18"/>
              <w:szCs w:val="18"/>
            </w:rPr>
            <w:t>Encryption &amp;</w:t>
          </w:r>
          <w:r w:rsidR="00792C08">
            <w:rPr>
              <w:rFonts w:ascii="Calibri" w:hAnsi="Calibri" w:cs="Calibri"/>
              <w:color w:val="FF0000"/>
              <w:sz w:val="18"/>
              <w:szCs w:val="18"/>
            </w:rPr>
            <w:t xml:space="preserve"> Key Management Standard</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70B38F82"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9C5A2A">
            <w:rPr>
              <w:rFonts w:ascii="Calibri" w:hAnsi="Calibri" w:cs="Calibri"/>
              <w:color w:val="FF0000"/>
              <w:sz w:val="18"/>
              <w:szCs w:val="18"/>
            </w:rPr>
            <w:t>XXXX</w:t>
          </w:r>
          <w:r w:rsidR="00792C08">
            <w:rPr>
              <w:rFonts w:ascii="Calibri" w:hAnsi="Calibri" w:cs="Calibri"/>
              <w:color w:val="FF0000"/>
              <w:sz w:val="18"/>
              <w:szCs w:val="18"/>
            </w:rPr>
            <w:t>-STD-ALL-018</w:t>
          </w:r>
          <w:r w:rsidRPr="00CE6868">
            <w:rPr>
              <w:rFonts w:ascii="Calibri" w:hAnsi="Calibri" w:cs="Calibri"/>
              <w:color w:val="FF0000"/>
              <w:sz w:val="18"/>
              <w:szCs w:val="18"/>
            </w:rPr>
            <w:fldChar w:fldCharType="end"/>
          </w:r>
        </w:p>
      </w:tc>
    </w:tr>
    <w:tr w:rsidR="0046642B"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3D2DB381" w:rsidR="0046642B" w:rsidRPr="00CE6868" w:rsidRDefault="009C5A2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46642B" w:rsidRPr="00CE6868" w:rsidRDefault="0046642B"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0FDD0539" w:rsidR="0046642B" w:rsidRPr="00CE6868" w:rsidRDefault="009C5A2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2E666A46" w:rsidR="0046642B" w:rsidRPr="00CE6868" w:rsidRDefault="009C5A2A"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6642B" w:rsidRPr="00CE6868" w:rsidRDefault="0046642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28219604" w:rsidR="0046642B" w:rsidRDefault="0046642B"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7DBD"/>
    <w:multiLevelType w:val="hybridMultilevel"/>
    <w:tmpl w:val="880C95AC"/>
    <w:lvl w:ilvl="0" w:tplc="AC00EF8C">
      <w:start w:val="1"/>
      <w:numFmt w:val="lowerRoman"/>
      <w:pStyle w:val="PolicyL2"/>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32266693">
    <w:abstractNumId w:val="3"/>
  </w:num>
  <w:num w:numId="2" w16cid:durableId="130297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1212763">
    <w:abstractNumId w:val="4"/>
  </w:num>
  <w:num w:numId="4" w16cid:durableId="1724789571">
    <w:abstractNumId w:val="8"/>
  </w:num>
  <w:num w:numId="5" w16cid:durableId="1158225265">
    <w:abstractNumId w:val="3"/>
  </w:num>
  <w:num w:numId="6" w16cid:durableId="1976180145">
    <w:abstractNumId w:val="3"/>
  </w:num>
  <w:num w:numId="7" w16cid:durableId="1376933473">
    <w:abstractNumId w:val="10"/>
  </w:num>
  <w:num w:numId="8" w16cid:durableId="230971144">
    <w:abstractNumId w:val="15"/>
  </w:num>
  <w:num w:numId="9" w16cid:durableId="1765299002">
    <w:abstractNumId w:val="7"/>
  </w:num>
  <w:num w:numId="10" w16cid:durableId="138500714">
    <w:abstractNumId w:val="6"/>
  </w:num>
  <w:num w:numId="11" w16cid:durableId="238751951">
    <w:abstractNumId w:val="3"/>
  </w:num>
  <w:num w:numId="12" w16cid:durableId="827987856">
    <w:abstractNumId w:val="3"/>
  </w:num>
  <w:num w:numId="13" w16cid:durableId="339233729">
    <w:abstractNumId w:val="3"/>
  </w:num>
  <w:num w:numId="14" w16cid:durableId="46611715">
    <w:abstractNumId w:val="3"/>
  </w:num>
  <w:num w:numId="15" w16cid:durableId="809131242">
    <w:abstractNumId w:val="3"/>
  </w:num>
  <w:num w:numId="16" w16cid:durableId="1980303113">
    <w:abstractNumId w:val="3"/>
  </w:num>
  <w:num w:numId="17" w16cid:durableId="1905946398">
    <w:abstractNumId w:val="3"/>
  </w:num>
  <w:num w:numId="18" w16cid:durableId="1039012669">
    <w:abstractNumId w:val="3"/>
  </w:num>
  <w:num w:numId="19" w16cid:durableId="1093937131">
    <w:abstractNumId w:val="0"/>
  </w:num>
  <w:num w:numId="20" w16cid:durableId="756636068">
    <w:abstractNumId w:val="1"/>
  </w:num>
  <w:num w:numId="21" w16cid:durableId="401955063">
    <w:abstractNumId w:val="2"/>
  </w:num>
  <w:num w:numId="22" w16cid:durableId="62409271">
    <w:abstractNumId w:val="11"/>
  </w:num>
  <w:num w:numId="23" w16cid:durableId="520438294">
    <w:abstractNumId w:val="13"/>
  </w:num>
  <w:num w:numId="24" w16cid:durableId="988050086">
    <w:abstractNumId w:val="9"/>
  </w:num>
  <w:num w:numId="25" w16cid:durableId="313919202">
    <w:abstractNumId w:val="16"/>
  </w:num>
  <w:num w:numId="26" w16cid:durableId="364409727">
    <w:abstractNumId w:val="3"/>
  </w:num>
  <w:num w:numId="27" w16cid:durableId="2141654279">
    <w:abstractNumId w:val="3"/>
  </w:num>
  <w:num w:numId="28" w16cid:durableId="639306488">
    <w:abstractNumId w:val="3"/>
  </w:num>
  <w:num w:numId="29" w16cid:durableId="195046456">
    <w:abstractNumId w:val="3"/>
  </w:num>
  <w:num w:numId="30" w16cid:durableId="587233922">
    <w:abstractNumId w:val="3"/>
  </w:num>
  <w:num w:numId="31" w16cid:durableId="875774160">
    <w:abstractNumId w:val="3"/>
  </w:num>
  <w:num w:numId="32" w16cid:durableId="1433891701">
    <w:abstractNumId w:val="3"/>
  </w:num>
  <w:num w:numId="33" w16cid:durableId="1443497007">
    <w:abstractNumId w:val="3"/>
  </w:num>
  <w:num w:numId="34" w16cid:durableId="1813595226">
    <w:abstractNumId w:val="3"/>
  </w:num>
  <w:num w:numId="35" w16cid:durableId="65773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0849712">
    <w:abstractNumId w:val="3"/>
  </w:num>
  <w:num w:numId="37" w16cid:durableId="1250843564">
    <w:abstractNumId w:val="14"/>
  </w:num>
  <w:num w:numId="38" w16cid:durableId="254439487">
    <w:abstractNumId w:val="14"/>
    <w:lvlOverride w:ilvl="0">
      <w:startOverride w:val="1"/>
    </w:lvlOverride>
  </w:num>
  <w:num w:numId="39" w16cid:durableId="1788963649">
    <w:abstractNumId w:val="5"/>
  </w:num>
  <w:num w:numId="40" w16cid:durableId="276527494">
    <w:abstractNumId w:val="5"/>
    <w:lvlOverride w:ilvl="0">
      <w:startOverride w:val="1"/>
    </w:lvlOverride>
  </w:num>
  <w:num w:numId="41" w16cid:durableId="1942835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47AC"/>
    <w:rsid w:val="0004539E"/>
    <w:rsid w:val="000638D4"/>
    <w:rsid w:val="000A151D"/>
    <w:rsid w:val="000B1196"/>
    <w:rsid w:val="000E118B"/>
    <w:rsid w:val="000E307D"/>
    <w:rsid w:val="00102D89"/>
    <w:rsid w:val="001366F1"/>
    <w:rsid w:val="00145A3D"/>
    <w:rsid w:val="001541F6"/>
    <w:rsid w:val="00165D87"/>
    <w:rsid w:val="00166142"/>
    <w:rsid w:val="00170DCB"/>
    <w:rsid w:val="00193DE7"/>
    <w:rsid w:val="001A1481"/>
    <w:rsid w:val="001B2B49"/>
    <w:rsid w:val="001B621B"/>
    <w:rsid w:val="001D5DE9"/>
    <w:rsid w:val="001E462D"/>
    <w:rsid w:val="00207058"/>
    <w:rsid w:val="002562CB"/>
    <w:rsid w:val="0027757C"/>
    <w:rsid w:val="00291022"/>
    <w:rsid w:val="002A5CCF"/>
    <w:rsid w:val="002F1278"/>
    <w:rsid w:val="00301374"/>
    <w:rsid w:val="00305A88"/>
    <w:rsid w:val="0031330C"/>
    <w:rsid w:val="00334331"/>
    <w:rsid w:val="00351E5B"/>
    <w:rsid w:val="003551E8"/>
    <w:rsid w:val="0035763D"/>
    <w:rsid w:val="00390869"/>
    <w:rsid w:val="003A185E"/>
    <w:rsid w:val="003B1365"/>
    <w:rsid w:val="003D33B9"/>
    <w:rsid w:val="00413E32"/>
    <w:rsid w:val="00417528"/>
    <w:rsid w:val="004477C2"/>
    <w:rsid w:val="0045135A"/>
    <w:rsid w:val="0046642B"/>
    <w:rsid w:val="004664AC"/>
    <w:rsid w:val="00485558"/>
    <w:rsid w:val="0049073A"/>
    <w:rsid w:val="00497503"/>
    <w:rsid w:val="004B170A"/>
    <w:rsid w:val="00506E9B"/>
    <w:rsid w:val="00512BF9"/>
    <w:rsid w:val="005252DD"/>
    <w:rsid w:val="0053497C"/>
    <w:rsid w:val="00555FDF"/>
    <w:rsid w:val="00570A34"/>
    <w:rsid w:val="00575C5F"/>
    <w:rsid w:val="00575FC2"/>
    <w:rsid w:val="00590DC4"/>
    <w:rsid w:val="005D09C9"/>
    <w:rsid w:val="005F1B55"/>
    <w:rsid w:val="00606857"/>
    <w:rsid w:val="00640D7B"/>
    <w:rsid w:val="00643968"/>
    <w:rsid w:val="006948F7"/>
    <w:rsid w:val="006A0D4B"/>
    <w:rsid w:val="006A6012"/>
    <w:rsid w:val="00716545"/>
    <w:rsid w:val="007800ED"/>
    <w:rsid w:val="00780FF8"/>
    <w:rsid w:val="00792C08"/>
    <w:rsid w:val="007C68C6"/>
    <w:rsid w:val="007D0D16"/>
    <w:rsid w:val="007E2830"/>
    <w:rsid w:val="007F01D2"/>
    <w:rsid w:val="008112D3"/>
    <w:rsid w:val="008212B3"/>
    <w:rsid w:val="008220CC"/>
    <w:rsid w:val="008250FB"/>
    <w:rsid w:val="00846E00"/>
    <w:rsid w:val="00855314"/>
    <w:rsid w:val="008B66AE"/>
    <w:rsid w:val="008E01EA"/>
    <w:rsid w:val="00912734"/>
    <w:rsid w:val="00917F04"/>
    <w:rsid w:val="00944758"/>
    <w:rsid w:val="009A2E14"/>
    <w:rsid w:val="009A5409"/>
    <w:rsid w:val="009B67D5"/>
    <w:rsid w:val="009C5A2A"/>
    <w:rsid w:val="00A56903"/>
    <w:rsid w:val="00A60D4E"/>
    <w:rsid w:val="00A83611"/>
    <w:rsid w:val="00A96596"/>
    <w:rsid w:val="00AA1A31"/>
    <w:rsid w:val="00AB756A"/>
    <w:rsid w:val="00AF28A9"/>
    <w:rsid w:val="00AF2D08"/>
    <w:rsid w:val="00AF6F94"/>
    <w:rsid w:val="00B178F0"/>
    <w:rsid w:val="00B21C4C"/>
    <w:rsid w:val="00B40D51"/>
    <w:rsid w:val="00B432A6"/>
    <w:rsid w:val="00B4617E"/>
    <w:rsid w:val="00B51E1C"/>
    <w:rsid w:val="00B76313"/>
    <w:rsid w:val="00B8421E"/>
    <w:rsid w:val="00B96D5B"/>
    <w:rsid w:val="00BB724D"/>
    <w:rsid w:val="00BF3598"/>
    <w:rsid w:val="00BF578D"/>
    <w:rsid w:val="00C02B83"/>
    <w:rsid w:val="00C41848"/>
    <w:rsid w:val="00C550B1"/>
    <w:rsid w:val="00C60FC1"/>
    <w:rsid w:val="00C9018E"/>
    <w:rsid w:val="00CD5703"/>
    <w:rsid w:val="00CE2A89"/>
    <w:rsid w:val="00CE6868"/>
    <w:rsid w:val="00D018C1"/>
    <w:rsid w:val="00D053C1"/>
    <w:rsid w:val="00D64F5C"/>
    <w:rsid w:val="00D72F87"/>
    <w:rsid w:val="00D779BE"/>
    <w:rsid w:val="00D83F81"/>
    <w:rsid w:val="00DB01B4"/>
    <w:rsid w:val="00E0271F"/>
    <w:rsid w:val="00E35F6B"/>
    <w:rsid w:val="00E57F45"/>
    <w:rsid w:val="00EA48CC"/>
    <w:rsid w:val="00EC031F"/>
    <w:rsid w:val="00EE6E6F"/>
    <w:rsid w:val="00EF5B2B"/>
    <w:rsid w:val="00EF6070"/>
    <w:rsid w:val="00EF64DF"/>
    <w:rsid w:val="00F16D23"/>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35763D"/>
    <w:pPr>
      <w:widowControl w:val="0"/>
      <w:numPr>
        <w:numId w:val="37"/>
      </w:numPr>
      <w:autoSpaceDE w:val="0"/>
      <w:autoSpaceDN w:val="0"/>
      <w:adjustRightInd w:val="0"/>
      <w:spacing w:line="360" w:lineRule="auto"/>
      <w:jc w:val="both"/>
    </w:pPr>
    <w:rPr>
      <w:rFonts w:ascii="Century Gothic" w:hAnsi="Century Gothic" w:cs="Arial"/>
      <w:sz w:val="24"/>
      <w:szCs w:val="28"/>
    </w:rPr>
  </w:style>
  <w:style w:type="paragraph" w:customStyle="1" w:styleId="PolicyL2">
    <w:name w:val="PolicyL2"/>
    <w:basedOn w:val="Normal"/>
    <w:qFormat/>
    <w:rsid w:val="0035763D"/>
    <w:pPr>
      <w:numPr>
        <w:numId w:val="39"/>
      </w:numPr>
      <w:spacing w:after="0" w:line="360" w:lineRule="auto"/>
      <w:ind w:left="1944"/>
      <w:jc w:val="both"/>
    </w:pPr>
    <w:rPr>
      <w:rFonts w:ascii="Century Gothic" w:eastAsia="Calibri" w:hAnsi="Century Gothic"/>
      <w:bCs/>
      <w:sz w:val="24"/>
      <w:szCs w:val="26"/>
      <w:lang w:val="en-US"/>
    </w:rPr>
  </w:style>
  <w:style w:type="character" w:customStyle="1" w:styleId="ListParagraphChar">
    <w:name w:val="List Paragraph Char"/>
    <w:basedOn w:val="DefaultParagraphFont"/>
    <w:link w:val="ListParagraph"/>
    <w:uiPriority w:val="34"/>
    <w:locked/>
    <w:rsid w:val="000E307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C776C-36B5-412F-BF9F-6E7F0479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1358</Words>
  <Characters>8073</Characters>
  <Application>Microsoft Office Word</Application>
  <DocSecurity>0</DocSecurity>
  <Lines>260</Lines>
  <Paragraphs>209</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9222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16</cp:revision>
  <cp:lastPrinted>2021-03-03T10:08:00Z</cp:lastPrinted>
  <dcterms:created xsi:type="dcterms:W3CDTF">2020-03-03T12:06:00Z</dcterms:created>
  <dcterms:modified xsi:type="dcterms:W3CDTF">2023-08-23T21:31:00Z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ZBUK-STD-ALL-018</vt:lpwstr>
  </property>
  <property fmtid="{D5CDD505-2E9C-101B-9397-08002B2CF9AE}" pid="8" name="[HEADER_TITLE]">
    <vt:lpwstr>Encryption &amp; Key Management Standard</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r1.1</vt:lpwstr>
  </property>
  <property fmtid="{D5CDD505-2E9C-101B-9397-08002B2CF9AE}" pid="13" name="[DOC_TITLE]">
    <vt:lpwstr>Encryption &amp; Key Management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