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00"/>
      </w:pPr>
      <w:r>
        <w:rPr>
          <w:rFonts w:ascii="Georgia" w:hAnsi="Georgia" w:cs="Georgia"/>
          <w:sz w:val="48"/>
          <w:sz-cs w:val="48"/>
          <w:b/>
          <w:spacing w:val="0"/>
          <w:color w:val="0E0E0E"/>
        </w:rPr>
        <w:t xml:space="preserve">SRAM Week 2 Outline: How the Company Makes Money</w:t>
      </w:r>
    </w:p>
    <w:p>
      <w:pPr>
        <w:spacing w:after="120"/>
      </w:pP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Date: 2026-02-22&lt;br/&gt; Company: SRAM LLC (private)</w:t>
      </w:r>
    </w:p>
    <w:p>
      <w:pPr>
        <w:spacing w:after="120"/>
      </w:pPr>
      <w:r>
        <w:rPr>
          <w:rFonts w:ascii="Georgia" w:hAnsi="Georgia" w:cs="Georgia"/>
          <w:sz w:val="34"/>
          <w:sz-cs w:val="34"/>
          <w:b/>
          <w:spacing w:val="0"/>
          <w:color w:val="0E0E0E"/>
        </w:rPr>
        <w:t xml:space="preserve">1) Core Revenue Model</w:t>
      </w:r>
    </w:p>
    <w:p>
      <w:pPr>
        <w:spacing w:after="120"/>
      </w:pP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SRAM is a performance cycling components company that makes money by selling a portfolio of premium bike systems and parts through:</w:t>
      </w:r>
    </w:p>
    <w:p>
      <w:pPr>
        <w:ind w:left="720" w:first-line="-720"/>
        <w:spacing w:after="120"/>
      </w:pPr>
      <w:r>
        <w:rPr>
          <w:rFonts w:ascii="Georgia" w:hAnsi="Georgia" w:cs="Georgia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OEM bike manufacturers (components spec'd on complete bikes)</w:t>
      </w:r>
    </w:p>
    <w:p>
      <w:pPr>
        <w:ind w:left="720" w:first-line="-720"/>
        <w:spacing w:after="120"/>
      </w:pPr>
      <w:r>
        <w:rPr>
          <w:rFonts w:ascii="Georgia" w:hAnsi="Georgia" w:cs="Georgia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Distributors and dealers (bike shops and regional channels)</w:t>
      </w:r>
    </w:p>
    <w:p>
      <w:pPr>
        <w:ind w:left="720" w:first-line="-720"/>
        <w:spacing w:after="120"/>
      </w:pPr>
      <w:r>
        <w:rPr>
          <w:rFonts w:ascii="Georgia" w:hAnsi="Georgia" w:cs="Georgia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Aftermarket replacement and upgrade purchases (riders/teams through dealers and retail channels)</w:t>
      </w:r>
    </w:p>
    <w:p>
      <w:pPr>
        <w:spacing w:after="120"/>
      </w:pP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SRAM is private and does not publish audited segment revenue. That means the Week 2 answer must use a "revenue architecture" approach: identify the major revenue streams, how they monetize, and why SRAM can sustain pricing.</w:t>
      </w:r>
    </w:p>
    <w:p>
      <w:pPr>
        <w:spacing w:after="120"/>
      </w:pPr>
      <w:r>
        <w:rPr>
          <w:rFonts w:ascii="Georgia" w:hAnsi="Georgia" w:cs="Georgia"/>
          <w:sz w:val="34"/>
          <w:sz-cs w:val="34"/>
          <w:b/>
          <w:spacing w:val="0"/>
          <w:color w:val="0E0E0E"/>
        </w:rPr>
        <w:t xml:space="preserve">2) Main Revenue Streams (Structured View)</w:t>
      </w:r>
    </w:p>
    <w:p>
      <w:pPr>
        <w:spacing w:after="120"/>
      </w:pP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Private-company note: SRAM does not disclose segment revenue percentages publicly. The tables below use observable product breadth, channel visibility, and pricing signals as proxies for relative importance.</w:t>
      </w:r>
    </w:p>
    <w:p>
      <w:pPr>
        <w:spacing w:after="80"/>
      </w:pPr>
      <w:r>
        <w:rPr>
          <w:rFonts w:ascii="Georgia" w:hAnsi="Georgia" w:cs="Georgia"/>
          <w:sz w:val="29"/>
          <w:sz-cs w:val="29"/>
          <w:b/>
          <w:spacing w:val="0"/>
          <w:color w:val="0E0E0E"/>
        </w:rPr>
        <w:t xml:space="preserve">A. Revenue Stream Map (What They Sell / How They Get Paid)</w:t>
      </w:r>
    </w:p>
    <w:p>
      <w:pPr>
        <w:jc w:val="center"/>
      </w:pPr>
      <w:r>
        <w:rPr>
          <w:rFonts w:ascii="Georgia" w:hAnsi="Georgia" w:cs="Georgia"/>
          <w:sz w:val="26"/>
          <w:sz-cs w:val="26"/>
          <w:b/>
          <w:spacing w:val="0"/>
          <w:color w:val="0E0E0E"/>
        </w:rPr>
        <w:t xml:space="preserve">Revenue Stream</w:t>
      </w:r>
    </w:p>
    <w:p>
      <w:pPr>
        <w:jc w:val="center"/>
      </w:pPr>
      <w:r>
        <w:rPr>
          <w:rFonts w:ascii="Georgia" w:hAnsi="Georgia" w:cs="Georgia"/>
          <w:sz w:val="26"/>
          <w:sz-cs w:val="26"/>
          <w:b/>
          <w:spacing w:val="0"/>
          <w:color w:val="0E0E0E"/>
        </w:rPr>
        <w:t xml:space="preserve">Representative Products</w:t>
      </w:r>
    </w:p>
    <w:p>
      <w:pPr>
        <w:jc w:val="center"/>
      </w:pPr>
      <w:r>
        <w:rPr>
          <w:rFonts w:ascii="Georgia" w:hAnsi="Georgia" w:cs="Georgia"/>
          <w:sz w:val="26"/>
          <w:sz-cs w:val="26"/>
          <w:b/>
          <w:spacing w:val="0"/>
          <w:color w:val="0E0E0E"/>
        </w:rPr>
        <w:t xml:space="preserve">Primary Channels</w:t>
      </w:r>
    </w:p>
    <w:p>
      <w:pPr>
        <w:jc w:val="center"/>
      </w:pPr>
      <w:r>
        <w:rPr>
          <w:rFonts w:ascii="Georgia" w:hAnsi="Georgia" w:cs="Georgia"/>
          <w:sz w:val="26"/>
          <w:sz-cs w:val="26"/>
          <w:b/>
          <w:spacing w:val="0"/>
          <w:color w:val="0E0E0E"/>
        </w:rPr>
        <w:t xml:space="preserve">Revenue Mechanics</w:t>
      </w:r>
    </w:p>
    <w:p>
      <w:pPr>
        <w:jc w:val="center"/>
      </w:pPr>
      <w:r>
        <w:rPr>
          <w:rFonts w:ascii="Georgia" w:hAnsi="Georgia" w:cs="Georgia"/>
          <w:sz w:val="26"/>
          <w:sz-cs w:val="26"/>
          <w:b/>
          <w:spacing w:val="0"/>
          <w:color w:val="0E0E0E"/>
        </w:rPr>
        <w:t xml:space="preserve">Relative Importance (Estimate)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Core drivetrain + braking systems</w:t>
      </w:r>
    </w:p>
    <w:p>
      <w:pPr/>
      <w:r>
        <w:rPr>
          <w:rFonts w:ascii="Menlo" w:hAnsi="Menlo" w:cs="Menlo"/>
          <w:sz w:val="24"/>
          <w:sz-cs w:val="24"/>
          <w:spacing w:val="0"/>
          <w:color w:val="0E0E0E"/>
        </w:rPr>
        <w:t xml:space="preserve">RED</w:t>
      </w: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Force</w:t>
      </w: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Rival</w:t>
      </w: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Apex</w:t>
      </w: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Eagle</w:t>
      </w: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Eagle Transmission</w:t>
      </w: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, brakes/controls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OEMs, dealers, aftermarket riders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Groupsets, component upgrades, replacement parts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Very High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Suspension (RockShox)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Forks, rear shocks, suspension controls, service parts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OEMs, dealers, MTB aftermarket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OE spec, upgrades, rebuild/service cycles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High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Wheels and cockpit (Zipp)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Wheels, hubs, bars, stems, aero/performance components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OEMs, dealers, enthusiast aftermarket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Premium wheelsets and components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Medium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Power meters (Quarq + integrated)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Power meters and integrated crank-based power options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Dealers, aftermarket, some OE builds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Add-on hardware and premium bundle upsell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Medium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Cycling computers / connected (Hammerhead)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Karoo head units and connected experience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Dealers, direct retail, aftermarket riders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Device sales (hardware-led) with ecosystem retention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Medium to Low (today), strategic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Pedals (TIME)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Road and MTB pedals / pedal systems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Dealers, aftermarket riders, selected OEMs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Hardware sales and replacement cycles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Low to Medium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Wear parts / service parts / accessories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Chains, cassettes, chainrings, brake pads, rotors, batteries, small parts, kits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Dealers, service shops, aftermarket riders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Recurring replacement demand tied to installed base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High (recurring support stream)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Adjacent brands / newer additions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Velocio apparel, Ochain-related additions, other integrated categories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Direct retail, dealers, enthusiasts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Product sales in adjacent categories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Low (current), option value</w:t>
      </w:r>
    </w:p>
    <w:p>
      <w:pPr>
        <w:spacing w:after="80"/>
      </w:pPr>
      <w:r>
        <w:rPr>
          <w:rFonts w:ascii="Georgia" w:hAnsi="Georgia" w:cs="Georgia"/>
          <w:sz w:val="29"/>
          <w:sz-cs w:val="29"/>
          <w:b/>
          <w:spacing w:val="0"/>
          <w:color w:val="0E0E0E"/>
        </w:rPr>
        <w:t xml:space="preserve">B. Why SRAM Can Charge (Moat / Pricing Power by Stream)</w:t>
      </w:r>
    </w:p>
    <w:p>
      <w:pPr>
        <w:jc w:val="center"/>
      </w:pPr>
      <w:r>
        <w:rPr>
          <w:rFonts w:ascii="Georgia" w:hAnsi="Georgia" w:cs="Georgia"/>
          <w:sz w:val="26"/>
          <w:sz-cs w:val="26"/>
          <w:b/>
          <w:spacing w:val="0"/>
          <w:color w:val="0E0E0E"/>
        </w:rPr>
        <w:t xml:space="preserve">Revenue Stream</w:t>
      </w:r>
    </w:p>
    <w:p>
      <w:pPr>
        <w:jc w:val="center"/>
      </w:pPr>
      <w:r>
        <w:rPr>
          <w:rFonts w:ascii="Georgia" w:hAnsi="Georgia" w:cs="Georgia"/>
          <w:sz w:val="26"/>
          <w:sz-cs w:val="26"/>
          <w:b/>
          <w:spacing w:val="0"/>
          <w:color w:val="0E0E0E"/>
        </w:rPr>
        <w:t xml:space="preserve">Pricing Power / Moat</w:t>
      </w:r>
    </w:p>
    <w:p>
      <w:pPr>
        <w:jc w:val="center"/>
      </w:pPr>
      <w:r>
        <w:rPr>
          <w:rFonts w:ascii="Georgia" w:hAnsi="Georgia" w:cs="Georgia"/>
          <w:sz w:val="26"/>
          <w:sz-cs w:val="26"/>
          <w:b/>
          <w:spacing w:val="0"/>
          <w:color w:val="0E0E0E"/>
        </w:rPr>
        <w:t xml:space="preserve">Why It Works in Practice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Core drivetrain + braking systems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Brand reputation + AXS ecosystem + OE relationships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Performance credibility and system compatibility reduce pure price comparison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Suspension (RockShox)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Product performance reputation + service ecosystem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OEM trust and rider/shop familiarity support premium MTB pricing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Wheels and cockpit (Zipp)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Premium performance signaling + engineering brand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Enthusiast buyers pay for weight/aero/performance positioning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Power meters (Quarq + integrated)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Data/performance utility + platform fit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Power is a measurable training upgrade and bundles well with SRAM drivetrains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Cycling computers / connected (Hammerhead)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UX differentiation + AXS integration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Connected experience can increase stickiness even when hardware is competitive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Pedals (TIME)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Heritage brand + rider preference / feel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Contact-point familiarity and brand loyalty support premium choices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Wear parts / service parts / accessories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Installed-base lock-in + compatibility requirements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Maintenance is non-optional and shops prefer known-compatible parts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Adjacent brands / newer additions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Portfolio adjacency + share-of-wallet expansion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Cross-sell works if SRAM keeps brand quality and integration coherent</w:t>
      </w:r>
    </w:p>
    <w:p>
      <w:pPr>
        <w:spacing w:after="120"/>
      </w:pPr>
      <w:r>
        <w:rPr>
          <w:rFonts w:ascii="Georgia" w:hAnsi="Georgia" w:cs="Georgia"/>
          <w:sz w:val="34"/>
          <w:sz-cs w:val="34"/>
          <w:b/>
          <w:spacing w:val="0"/>
          <w:color w:val="0E0E0E"/>
        </w:rPr>
        <w:t xml:space="preserve">3) Why the Revenue Model Works (and Why SRAM Can Charge Premium Prices)</w:t>
      </w:r>
    </w:p>
    <w:p>
      <w:pPr>
        <w:spacing w:after="80"/>
      </w:pPr>
      <w:r>
        <w:rPr>
          <w:rFonts w:ascii="Georgia" w:hAnsi="Georgia" w:cs="Georgia"/>
          <w:sz w:val="29"/>
          <w:sz-cs w:val="29"/>
          <w:b/>
          <w:spacing w:val="0"/>
          <w:color w:val="0E0E0E"/>
        </w:rPr>
        <w:t xml:space="preserve">A. OEM + Aftermarket Flywheel</w:t>
      </w:r>
    </w:p>
    <w:p>
      <w:pPr>
        <w:ind w:left="720" w:first-line="-720"/>
        <w:spacing w:after="120"/>
      </w:pPr>
      <w:r>
        <w:rPr>
          <w:rFonts w:ascii="Georgia" w:hAnsi="Georgia" w:cs="Georgia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OEM spec wins place SRAM products on complete bikes.</w:t>
      </w:r>
    </w:p>
    <w:p>
      <w:pPr>
        <w:ind w:left="720" w:first-line="-720"/>
        <w:spacing w:after="120"/>
      </w:pPr>
      <w:r>
        <w:rPr>
          <w:rFonts w:ascii="Georgia" w:hAnsi="Georgia" w:cs="Georgia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That creates an installed base that later buys replacements, upgrades, and compatible accessories.</w:t>
      </w:r>
    </w:p>
    <w:p>
      <w:pPr>
        <w:ind w:left="720" w:first-line="-720"/>
        <w:spacing w:after="120"/>
      </w:pPr>
      <w:r>
        <w:rPr>
          <w:rFonts w:ascii="Georgia" w:hAnsi="Georgia" w:cs="Georgia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The result is a multi-year revenue arc per bike platform, not just a one-time sale.</w:t>
      </w:r>
    </w:p>
    <w:p>
      <w:pPr>
        <w:spacing w:after="80"/>
      </w:pPr>
      <w:r>
        <w:rPr>
          <w:rFonts w:ascii="Georgia" w:hAnsi="Georgia" w:cs="Georgia"/>
          <w:sz w:val="29"/>
          <w:sz-cs w:val="29"/>
          <w:b/>
          <w:spacing w:val="0"/>
          <w:color w:val="0E0E0E"/>
        </w:rPr>
        <w:t xml:space="preserve">B. System-Level Selling (Not Just Parts)</w:t>
      </w:r>
    </w:p>
    <w:p>
      <w:pPr>
        <w:ind w:left="720" w:first-line="-720"/>
        <w:spacing w:after="120"/>
      </w:pPr>
      <w:r>
        <w:rPr>
          <w:rFonts w:ascii="Georgia" w:hAnsi="Georgia" w:cs="Georgia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SRAM is not only selling a derailleur or brake lever; it increasingly sells a system (drivetrain + braking + controls + electronics + app/software + data integrations).</w:t>
      </w:r>
    </w:p>
    <w:p>
      <w:pPr>
        <w:ind w:left="720" w:first-line="-720"/>
        <w:spacing w:after="120"/>
      </w:pPr>
      <w:r>
        <w:rPr>
          <w:rFonts w:ascii="Georgia" w:hAnsi="Georgia" w:cs="Georgia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System performance and compatibility reduce price-only comparison and support premium pricing.</w:t>
      </w:r>
    </w:p>
    <w:p>
      <w:pPr>
        <w:spacing w:after="80"/>
      </w:pPr>
      <w:r>
        <w:rPr>
          <w:rFonts w:ascii="Georgia" w:hAnsi="Georgia" w:cs="Georgia"/>
          <w:sz w:val="29"/>
          <w:sz-cs w:val="29"/>
          <w:b/>
          <w:spacing w:val="0"/>
          <w:color w:val="0E0E0E"/>
        </w:rPr>
        <w:t xml:space="preserve">C. Multi-Brand Portfolio Bundling</w:t>
      </w:r>
    </w:p>
    <w:p>
      <w:pPr>
        <w:ind w:left="720" w:first-line="-720"/>
        <w:spacing w:after="120"/>
      </w:pPr>
      <w:r>
        <w:rPr>
          <w:rFonts w:ascii="Georgia" w:hAnsi="Georgia" w:cs="Georgia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SRAM can participate in more of the bike bill of materials via SRAM, RockShox, Zipp, Quarq, Hammerhead, TIME, and newer additions.</w:t>
      </w:r>
    </w:p>
    <w:p>
      <w:pPr>
        <w:ind w:left="720" w:first-line="-720"/>
        <w:spacing w:after="120"/>
      </w:pPr>
      <w:r>
        <w:rPr>
          <w:rFonts w:ascii="Georgia" w:hAnsi="Georgia" w:cs="Georgia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This increases wallet share per rider and improves leverage with OEMs that prefer fewer high-quality suppliers.</w:t>
      </w:r>
    </w:p>
    <w:p>
      <w:pPr>
        <w:spacing w:after="80"/>
      </w:pPr>
      <w:r>
        <w:rPr>
          <w:rFonts w:ascii="Georgia" w:hAnsi="Georgia" w:cs="Georgia"/>
          <w:sz w:val="29"/>
          <w:sz-cs w:val="29"/>
          <w:b/>
          <w:spacing w:val="0"/>
          <w:color w:val="0E0E0E"/>
        </w:rPr>
        <w:t xml:space="preserve">D. Performance Brand + Switching Friction</w:t>
      </w:r>
    </w:p>
    <w:p>
      <w:pPr>
        <w:ind w:left="720" w:first-line="-720"/>
        <w:spacing w:after="120"/>
      </w:pPr>
      <w:r>
        <w:rPr>
          <w:rFonts w:ascii="Georgia" w:hAnsi="Georgia" w:cs="Georgia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Riders, teams, and shops care about reliability, setup familiarity, and serviceability.</w:t>
      </w:r>
    </w:p>
    <w:p>
      <w:pPr>
        <w:ind w:left="720" w:first-line="-720"/>
        <w:spacing w:after="120"/>
      </w:pPr>
      <w:r>
        <w:rPr>
          <w:rFonts w:ascii="Georgia" w:hAnsi="Georgia" w:cs="Georgia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Once a rider/shop is trained on a platform (AXS, brake bleed procedures, compatibility rules), switching is possible but not frictionless.</w:t>
      </w:r>
    </w:p>
    <w:p>
      <w:pPr>
        <w:ind w:left="720" w:first-line="-720"/>
        <w:spacing w:after="120"/>
      </w:pPr>
      <w:r>
        <w:rPr>
          <w:rFonts w:ascii="Georgia" w:hAnsi="Georgia" w:cs="Georgia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This creates practical switching costs even when alternatives exist.</w:t>
      </w:r>
    </w:p>
    <w:p>
      <w:pPr>
        <w:spacing w:after="120"/>
      </w:pPr>
      <w:r>
        <w:rPr>
          <w:rFonts w:ascii="Georgia" w:hAnsi="Georgia" w:cs="Georgia"/>
          <w:sz w:val="34"/>
          <w:sz-cs w:val="34"/>
          <w:b/>
          <w:spacing w:val="0"/>
          <w:color w:val="0E0E0E"/>
        </w:rPr>
        <w:t xml:space="preserve">4) Problem Focus: Where SRAM's Revenue Streams Are Vulnerable</w:t>
      </w:r>
    </w:p>
    <w:p>
      <w:pPr>
        <w:spacing w:after="120"/>
      </w:pP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The Week 2 problem is not "does SRAM have revenue streams?" It is "which revenue streams are most exposed, and what could reduce pricing power or growth?"</w:t>
      </w:r>
    </w:p>
    <w:p>
      <w:pPr>
        <w:spacing w:after="120"/>
      </w:pPr>
      <w:r>
        <w:rPr>
          <w:rFonts w:ascii="Georgia" w:hAnsi="Georgia" w:cs="Georgia"/>
          <w:sz w:val="34"/>
          <w:sz-cs w:val="34"/>
          <w:b/>
          <w:spacing w:val="0"/>
          <w:color w:val="0E0E0E"/>
        </w:rPr>
        <w:t xml:space="preserve">5) Near-Term Risks (12-24 Months)</w:t>
      </w:r>
    </w:p>
    <w:p>
      <w:pPr>
        <w:jc w:val="center"/>
      </w:pPr>
      <w:r>
        <w:rPr>
          <w:rFonts w:ascii="Georgia" w:hAnsi="Georgia" w:cs="Georgia"/>
          <w:sz w:val="26"/>
          <w:sz-cs w:val="26"/>
          <w:b/>
          <w:spacing w:val="0"/>
          <w:color w:val="0E0E0E"/>
        </w:rPr>
        <w:t xml:space="preserve">Near-Term Risk</w:t>
      </w:r>
    </w:p>
    <w:p>
      <w:pPr>
        <w:jc w:val="center"/>
      </w:pPr>
      <w:r>
        <w:rPr>
          <w:rFonts w:ascii="Georgia" w:hAnsi="Georgia" w:cs="Georgia"/>
          <w:sz w:val="26"/>
          <w:sz-cs w:val="26"/>
          <w:b/>
          <w:spacing w:val="0"/>
          <w:color w:val="0E0E0E"/>
        </w:rPr>
        <w:t xml:space="preserve">Exposed Streams</w:t>
      </w:r>
    </w:p>
    <w:p>
      <w:pPr>
        <w:jc w:val="center"/>
      </w:pPr>
      <w:r>
        <w:rPr>
          <w:rFonts w:ascii="Georgia" w:hAnsi="Georgia" w:cs="Georgia"/>
          <w:sz w:val="26"/>
          <w:sz-cs w:val="26"/>
          <w:b/>
          <w:spacing w:val="0"/>
          <w:color w:val="0E0E0E"/>
        </w:rPr>
        <w:t xml:space="preserve">Why It Matters to Revenue</w:t>
      </w:r>
    </w:p>
    <w:p>
      <w:pPr>
        <w:jc w:val="center"/>
      </w:pPr>
      <w:r>
        <w:rPr>
          <w:rFonts w:ascii="Georgia" w:hAnsi="Georgia" w:cs="Georgia"/>
          <w:sz w:val="26"/>
          <w:sz-cs w:val="26"/>
          <w:b/>
          <w:spacing w:val="0"/>
          <w:color w:val="0E0E0E"/>
        </w:rPr>
        <w:t xml:space="preserve">Early Signals to Monitor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Bike industry inventory corrections / channel destocking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Drivetrains, brakes, suspension, wheels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OEM and dealer orders can slow sharply even if end demand is stable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Dealer discounting, OEM spec downgrades, broad promotions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Consumer trade-down behavior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Premium groupsets, Zipp, Quarq, Hammerhead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Riders may delay upgrades or buy lower-tier alternatives in weaker macro periods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Mix shift from premium to mid-tier, more promo pricing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Firmware/app support friction (AXS/Hammerhead)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Connected products plus premium component ecosystem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Support issues can hurt brand trust and reduce willingness to pay premium prices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Review complaints, app ratings, support forum volume, warranty chatter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Competitor product refresh cycles (Shimano/Fox/Garmin/Wahoo)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Most categories (especially drivetrain, suspension, head units)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Better competitor launches can slow SRAM upgrade cycles or force price response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Launch cadence, media reviews, OEM spec changes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OE spec mix volatility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Core systems and suspension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OEM decisions can move large volumes quickly across model years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OEM catalog specs, distributor order patterns, bike model announcements</w:t>
      </w:r>
    </w:p>
    <w:p>
      <w:pPr>
        <w:spacing w:after="120"/>
      </w:pPr>
      <w:r>
        <w:rPr>
          <w:rFonts w:ascii="Georgia" w:hAnsi="Georgia" w:cs="Georgia"/>
          <w:sz w:val="34"/>
          <w:sz-cs w:val="34"/>
          <w:b/>
          <w:spacing w:val="0"/>
          <w:color w:val="0E0E0E"/>
        </w:rPr>
        <w:t xml:space="preserve">6) Long-Term Risks (3-7 Years)</w:t>
      </w:r>
    </w:p>
    <w:p>
      <w:pPr>
        <w:jc w:val="center"/>
      </w:pPr>
      <w:r>
        <w:rPr>
          <w:rFonts w:ascii="Georgia" w:hAnsi="Georgia" w:cs="Georgia"/>
          <w:sz w:val="26"/>
          <w:sz-cs w:val="26"/>
          <w:b/>
          <w:spacing w:val="0"/>
          <w:color w:val="0E0E0E"/>
        </w:rPr>
        <w:t xml:space="preserve">Long-Term Risk</w:t>
      </w:r>
    </w:p>
    <w:p>
      <w:pPr>
        <w:jc w:val="center"/>
      </w:pPr>
      <w:r>
        <w:rPr>
          <w:rFonts w:ascii="Georgia" w:hAnsi="Georgia" w:cs="Georgia"/>
          <w:sz w:val="26"/>
          <w:sz-cs w:val="26"/>
          <w:b/>
          <w:spacing w:val="0"/>
          <w:color w:val="0E0E0E"/>
        </w:rPr>
        <w:t xml:space="preserve">Exposed Streams</w:t>
      </w:r>
    </w:p>
    <w:p>
      <w:pPr>
        <w:jc w:val="center"/>
      </w:pPr>
      <w:r>
        <w:rPr>
          <w:rFonts w:ascii="Georgia" w:hAnsi="Georgia" w:cs="Georgia"/>
          <w:sz w:val="26"/>
          <w:sz-cs w:val="26"/>
          <w:b/>
          <w:spacing w:val="0"/>
          <w:color w:val="0E0E0E"/>
        </w:rPr>
        <w:t xml:space="preserve">Why It Matters to Revenue</w:t>
      </w:r>
    </w:p>
    <w:p>
      <w:pPr>
        <w:jc w:val="center"/>
      </w:pPr>
      <w:r>
        <w:rPr>
          <w:rFonts w:ascii="Georgia" w:hAnsi="Georgia" w:cs="Georgia"/>
          <w:sz w:val="26"/>
          <w:sz-cs w:val="26"/>
          <w:b/>
          <w:spacing w:val="0"/>
          <w:color w:val="0E0E0E"/>
        </w:rPr>
        <w:t xml:space="preserve">Strategic Implication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Margin pressure from stronger value-tier competition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Core drivetrains/brakes, wear parts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If mid-market alternatives improve, SRAM may face lower realized pricing in broader segments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Requires clearer tiering and stronger differentiation at each price point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Ecosystem fragmentation / standards shifts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Drivetrains, power, connected devices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New standards or compatibility changes can weaken platform lock-in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SRAM must shape standards and maintain compatibility leadership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Software capability gap vs expectations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Hammerhead + AXS-connected experience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Riders increasingly expect consumer-tech quality in UX, updates, and diagnostics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Requires sustained software investment, not only hardware excellence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Overextension across too many categories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Adjacent brands/new acquisitions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Portfolio complexity can dilute focus and execution quality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Need disciplined integration and capital allocation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Cycling participation / demand cyclicality over longer periods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Most categories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Category growth may be uneven by geography and discipline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Revenue resilience depends on portfolio balance and aftermarket capture</w:t>
      </w:r>
    </w:p>
    <w:p>
      <w:pPr>
        <w:spacing w:after="120"/>
      </w:pPr>
      <w:r>
        <w:rPr>
          <w:rFonts w:ascii="Georgia" w:hAnsi="Georgia" w:cs="Georgia"/>
          <w:sz w:val="34"/>
          <w:sz-cs w:val="34"/>
          <w:b/>
          <w:spacing w:val="0"/>
          <w:color w:val="0E0E0E"/>
        </w:rPr>
        <w:t xml:space="preserve">7) One-Page Answer</w:t>
      </w:r>
    </w:p>
    <w:p>
      <w:pPr>
        <w:spacing w:after="120"/>
      </w:pP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SRAM makes money through a portfolio of performance cycling revenue streams led by core drivetrain and braking systems, supported by suspension (RockShox), wheels/cockpit (Zipp), power meters (Quarq), connected head units (Hammerhead), pedals (TIME), and recurring wear/service parts across the installed base. The reason SRAM can charge premium prices is not only product quality; it is the combination of OEM spec relationships, aftermarket replacement cycles, system-level integration (especially AXS), and a multi-brand portfolio that increases switching friction and share of wallet. The main Week 2 issue is not finding revenue streams, but understanding which parts of the revenue base are most vulnerable to channel inventory cycles, premium trade-down, and software/support execution in a more connected product stack.</w:t>
      </w:r>
    </w:p>
    <w:p>
      <w:pPr>
        <w:spacing w:after="120"/>
      </w:pPr>
      <w:r>
        <w:rPr>
          <w:rFonts w:ascii="Georgia" w:hAnsi="Georgia" w:cs="Georgia"/>
          <w:sz w:val="34"/>
          <w:sz-cs w:val="34"/>
          <w:b/>
          <w:spacing w:val="0"/>
          <w:color w:val="0E0E0E"/>
        </w:rPr>
        <w:t xml:space="preserve">Sources</w:t>
      </w:r>
    </w:p>
    <w:p>
      <w:pPr>
        <w:ind w:left="720" w:first-line="-720"/>
        <w:spacing w:after="120"/>
      </w:pPr>
      <w:r>
        <w:rPr>
          <w:rFonts w:ascii="Georgia" w:hAnsi="Georgia" w:cs="Georgia"/>
          <w:sz w:val="26"/>
          <w:sz-cs w:val="26"/>
          <w:color w:val="0D3F81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6"/>
          <w:sz-cs w:val="26"/>
          <w:spacing w:val="0"/>
          <w:color w:val="0D3F81"/>
        </w:rPr>
        <w:t xml:space="preserve">SRAM Company page</w:t>
      </w: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  <w:spacing w:after="120"/>
      </w:pPr>
      <w:r>
        <w:rPr>
          <w:rFonts w:ascii="Georgia" w:hAnsi="Georgia" w:cs="Georgia"/>
          <w:sz w:val="26"/>
          <w:sz-cs w:val="26"/>
          <w:color w:val="0D3F81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6"/>
          <w:sz-cs w:val="26"/>
          <w:spacing w:val="0"/>
          <w:color w:val="0D3F81"/>
        </w:rPr>
        <w:t xml:space="preserve">SRAM History page</w:t>
      </w: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  <w:spacing w:after="120"/>
      </w:pPr>
      <w:r>
        <w:rPr>
          <w:rFonts w:ascii="Georgia" w:hAnsi="Georgia" w:cs="Georgia"/>
          <w:sz w:val="26"/>
          <w:sz-cs w:val="26"/>
          <w:color w:val="0D3F81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6"/>
          <w:sz-cs w:val="26"/>
          <w:spacing w:val="0"/>
          <w:color w:val="0D3F81"/>
        </w:rPr>
        <w:t xml:space="preserve">SRAM support (AXS and product support pages)</w:t>
      </w: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  <w:spacing w:after="120"/>
      </w:pPr>
      <w:r>
        <w:rPr>
          <w:rFonts w:ascii="Georgia" w:hAnsi="Georgia" w:cs="Georgia"/>
          <w:sz w:val="26"/>
          <w:sz-cs w:val="26"/>
          <w:color w:val="0D3F81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6"/>
          <w:sz-cs w:val="26"/>
          <w:spacing w:val="0"/>
          <w:color w:val="0D3F81"/>
        </w:rPr>
        <w:t xml:space="preserve">SRAM road AXS collection pages / product pages (pricing examples)</w:t>
      </w: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  <w:spacing w:after="120"/>
      </w:pPr>
      <w:r>
        <w:rPr>
          <w:rFonts w:ascii="Georgia" w:hAnsi="Georgia" w:cs="Georgia"/>
          <w:sz w:val="26"/>
          <w:sz-cs w:val="26"/>
          <w:color w:val="0D3F81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6"/>
          <w:sz-cs w:val="26"/>
          <w:spacing w:val="0"/>
          <w:color w:val="0D3F81"/>
        </w:rPr>
        <w:t xml:space="preserve">SRAM mountain collections (Eagle Transmission)</w:t>
      </w: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  <w:spacing w:after="120"/>
      </w:pPr>
      <w:r>
        <w:rPr>
          <w:rFonts w:ascii="Georgia" w:hAnsi="Georgia" w:cs="Georgia"/>
          <w:sz w:val="26"/>
          <w:sz-cs w:val="26"/>
          <w:color w:val="0D3F81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6"/>
          <w:sz-cs w:val="26"/>
          <w:spacing w:val="0"/>
          <w:color w:val="0D3F81"/>
        </w:rPr>
        <w:t xml:space="preserve">LinkedIn - SRAM company page (employee band / leadership labels)</w:t>
      </w: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/>
      </w:r>
    </w:p>
    <w:p>
      <w:pPr>
        <w:ind w:left="720" w:first-line="-720"/>
        <w:spacing w:after="120"/>
      </w:pPr>
      <w:r>
        <w:rPr>
          <w:rFonts w:ascii="Georgia" w:hAnsi="Georgia" w:cs="Georgia"/>
          <w:sz w:val="26"/>
          <w:sz-cs w:val="26"/>
          <w:color w:val="0D3F81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6"/>
          <w:sz-cs w:val="26"/>
          <w:spacing w:val="0"/>
          <w:color w:val="0D3F81"/>
        </w:rPr>
        <w:t xml:space="preserve">Built In - SRAM (jobs/tech stack signals, secondary)</w:t>
      </w: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