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236"/>
        <w:gridCol w:w="1871"/>
      </w:tblGrid>
      <w:tr w:rsidR="007D7E9F" w14:paraId="4027714A" w14:textId="77777777" w:rsidTr="00826556">
        <w:tc>
          <w:tcPr>
            <w:tcW w:w="4134" w:type="pct"/>
            <w:gridSpan w:val="2"/>
            <w:vAlign w:val="center"/>
          </w:tcPr>
          <w:p w14:paraId="1B74DADC" w14:textId="77777777" w:rsidR="007D7E9F" w:rsidRPr="006F1669" w:rsidRDefault="007D7E9F" w:rsidP="000A6B25">
            <w:pPr>
              <w:rPr>
                <w:rFonts w:ascii="Palatino Linotype" w:hAnsi="Palatino Linotype"/>
                <w:b/>
                <w:sz w:val="28"/>
                <w:szCs w:val="28"/>
              </w:rPr>
            </w:pPr>
            <w:r w:rsidRPr="006F166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Donovan Quimby</w:t>
            </w:r>
          </w:p>
        </w:tc>
        <w:tc>
          <w:tcPr>
            <w:tcW w:w="866" w:type="pct"/>
            <w:vMerge w:val="restart"/>
            <w:tcBorders>
              <w:left w:val="nil"/>
            </w:tcBorders>
            <w:vAlign w:val="center"/>
          </w:tcPr>
          <w:p w14:paraId="6CFCFA9E" w14:textId="77777777" w:rsidR="007D7E9F" w:rsidRDefault="007D7E9F" w:rsidP="00101273">
            <w:pPr>
              <w:jc w:val="center"/>
            </w:pPr>
          </w:p>
        </w:tc>
      </w:tr>
      <w:tr w:rsidR="007D7E9F" w:rsidRPr="007D7E9F" w14:paraId="60A132E1" w14:textId="77777777" w:rsidTr="00826556">
        <w:tc>
          <w:tcPr>
            <w:tcW w:w="4134" w:type="pct"/>
            <w:gridSpan w:val="2"/>
            <w:vAlign w:val="center"/>
          </w:tcPr>
          <w:p w14:paraId="44320152" w14:textId="75B38A6C" w:rsidR="007D7E9F" w:rsidRPr="006F1669" w:rsidRDefault="00BF7271" w:rsidP="00762D57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Mechanical Engineer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4F26D8">
              <w:rPr>
                <w:rFonts w:ascii="Palatino Linotype" w:hAnsi="Palatino Linotype"/>
                <w:b/>
                <w:sz w:val="22"/>
                <w:szCs w:val="22"/>
              </w:rPr>
              <w:t>|</w:t>
            </w:r>
            <w:r w:rsidR="004C3640">
              <w:rPr>
                <w:rFonts w:ascii="Palatino Linotype" w:hAnsi="Palatino Linotype"/>
                <w:b/>
                <w:sz w:val="22"/>
                <w:szCs w:val="22"/>
              </w:rPr>
              <w:t xml:space="preserve"> Data </w:t>
            </w:r>
            <w:r w:rsidR="00073B73">
              <w:rPr>
                <w:rFonts w:ascii="Palatino Linotype" w:hAnsi="Palatino Linotype"/>
                <w:b/>
                <w:sz w:val="22"/>
                <w:szCs w:val="22"/>
              </w:rPr>
              <w:t>Scientist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D696DAC" w14:textId="77777777" w:rsidR="007D7E9F" w:rsidRPr="007D7E9F" w:rsidRDefault="007D7E9F">
            <w:pPr>
              <w:rPr>
                <w:rFonts w:ascii="Palatino Linotype" w:hAnsi="Palatino Linotype"/>
              </w:rPr>
            </w:pPr>
          </w:p>
        </w:tc>
      </w:tr>
      <w:tr w:rsidR="001D4674" w:rsidRPr="007D7E9F" w14:paraId="43DC26BA" w14:textId="77777777" w:rsidTr="00826556">
        <w:trPr>
          <w:trHeight w:val="332"/>
        </w:trPr>
        <w:tc>
          <w:tcPr>
            <w:tcW w:w="784" w:type="pct"/>
            <w:vAlign w:val="center"/>
          </w:tcPr>
          <w:p w14:paraId="2329C1F3" w14:textId="77777777" w:rsidR="000A6B25" w:rsidRPr="000C2EAC" w:rsidRDefault="000A6B25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C2EA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(619) 788-3735</w:t>
            </w:r>
          </w:p>
        </w:tc>
        <w:tc>
          <w:tcPr>
            <w:tcW w:w="3350" w:type="pct"/>
            <w:vAlign w:val="center"/>
          </w:tcPr>
          <w:p w14:paraId="14024373" w14:textId="77777777" w:rsidR="000A6B25" w:rsidRPr="000C2EAC" w:rsidRDefault="000A6B25" w:rsidP="000C2EAC">
            <w:pPr>
              <w:rPr>
                <w:rFonts w:ascii="Palatino Linotype" w:hAnsi="Palatino Linotype"/>
                <w:sz w:val="20"/>
                <w:szCs w:val="20"/>
              </w:rPr>
            </w:pPr>
            <w:r w:rsidRPr="002E3CD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donovanquimby@gmail.com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35E240C9" w14:textId="77777777" w:rsidR="000A6B25" w:rsidRPr="007D7E9F" w:rsidRDefault="000A6B25">
            <w:pPr>
              <w:rPr>
                <w:rFonts w:ascii="Palatino Linotype" w:hAnsi="Palatino Linotype"/>
              </w:rPr>
            </w:pPr>
          </w:p>
        </w:tc>
      </w:tr>
      <w:tr w:rsidR="004463F0" w:rsidRPr="007D7E9F" w14:paraId="077686E2" w14:textId="77777777" w:rsidTr="00826556">
        <w:trPr>
          <w:trHeight w:val="260"/>
        </w:trPr>
        <w:tc>
          <w:tcPr>
            <w:tcW w:w="784" w:type="pct"/>
            <w:vAlign w:val="center"/>
          </w:tcPr>
          <w:p w14:paraId="6FC680E3" w14:textId="2ECED2C5" w:rsidR="004463F0" w:rsidRPr="000C2EAC" w:rsidRDefault="004463F0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Erie, Colorado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</w:p>
        </w:tc>
        <w:tc>
          <w:tcPr>
            <w:tcW w:w="3350" w:type="pct"/>
            <w:vAlign w:val="center"/>
          </w:tcPr>
          <w:p w14:paraId="2D4B8412" w14:textId="243CEA58" w:rsidR="004463F0" w:rsidRPr="000C2EAC" w:rsidRDefault="00826556" w:rsidP="000C2EAC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82655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U.S Citizen | Security Clearance: Secret (2003 – 2013)</w:t>
            </w:r>
          </w:p>
        </w:tc>
        <w:tc>
          <w:tcPr>
            <w:tcW w:w="866" w:type="pct"/>
            <w:vMerge/>
            <w:tcBorders>
              <w:left w:val="nil"/>
            </w:tcBorders>
          </w:tcPr>
          <w:p w14:paraId="451666E7" w14:textId="77777777" w:rsidR="004463F0" w:rsidRPr="007D7E9F" w:rsidRDefault="004463F0">
            <w:pPr>
              <w:rPr>
                <w:rFonts w:ascii="Palatino Linotype" w:hAnsi="Palatino Linotype"/>
              </w:rPr>
            </w:pPr>
          </w:p>
        </w:tc>
      </w:tr>
    </w:tbl>
    <w:p w14:paraId="69215335" w14:textId="77777777" w:rsidR="0005150F" w:rsidRPr="002146DE" w:rsidRDefault="0005150F">
      <w:pPr>
        <w:rPr>
          <w:rFonts w:ascii="Palatino Linotype" w:hAnsi="Palatino Linotype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700C0" w14:paraId="1C5C1B6F" w14:textId="77777777" w:rsidTr="00BF7271">
        <w:tc>
          <w:tcPr>
            <w:tcW w:w="11016" w:type="dxa"/>
          </w:tcPr>
          <w:p w14:paraId="3E82008E" w14:textId="77777777" w:rsidR="00D700C0" w:rsidRPr="00993839" w:rsidRDefault="00BF7271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Professional Profile</w:t>
            </w:r>
          </w:p>
        </w:tc>
      </w:tr>
      <w:tr w:rsidR="00CC3E72" w14:paraId="3A2A2D34" w14:textId="77777777" w:rsidTr="00BF7271">
        <w:tc>
          <w:tcPr>
            <w:tcW w:w="11016" w:type="dxa"/>
          </w:tcPr>
          <w:p w14:paraId="14952E9E" w14:textId="77777777" w:rsidR="00CC3E72" w:rsidRPr="00C74738" w:rsidRDefault="00CC3E72" w:rsidP="00AC26EB">
            <w:pPr>
              <w:rPr>
                <w:rFonts w:ascii="Palatino Linotype" w:hAnsi="Palatino Linotype"/>
                <w:color w:val="121718" w:themeColor="background2" w:themeShade="1A"/>
                <w:sz w:val="6"/>
                <w:szCs w:val="6"/>
              </w:rPr>
            </w:pPr>
          </w:p>
        </w:tc>
      </w:tr>
      <w:tr w:rsidR="00AC26EB" w14:paraId="62DB262A" w14:textId="77777777" w:rsidTr="00BF7271">
        <w:tc>
          <w:tcPr>
            <w:tcW w:w="11016" w:type="dxa"/>
          </w:tcPr>
          <w:p w14:paraId="7F14FA81" w14:textId="6F0269C7" w:rsidR="00AC26EB" w:rsidRPr="002146DE" w:rsidRDefault="00073B73" w:rsidP="00C85BA9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Engineer, data </w:t>
            </w:r>
            <w:r w:rsidR="0082112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scientist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U.S. Navy veteran with expertise in disciplines including thermal</w:t>
            </w:r>
            <w:r w:rsidR="00F81AB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-</w:t>
            </w:r>
            <w:r w:rsidRPr="00073B73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fluids engineering, data analysis, and managing diverse teams. Passionate about forming, leading, and driving multi-disciplinary teams to solve unique and novel problems within Waterfall, Agile, and hybrid management methodology environments.</w:t>
            </w:r>
          </w:p>
        </w:tc>
      </w:tr>
    </w:tbl>
    <w:p w14:paraId="0C540A7A" w14:textId="77777777" w:rsidR="00516FC6" w:rsidRPr="008E215C" w:rsidRDefault="00516FC6">
      <w:pPr>
        <w:rPr>
          <w:sz w:val="8"/>
          <w:szCs w:val="8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7578"/>
      </w:tblGrid>
      <w:tr w:rsidR="001D4674" w14:paraId="40AFEE64" w14:textId="77777777" w:rsidTr="00BF7271">
        <w:trPr>
          <w:trHeight w:val="350"/>
        </w:trPr>
        <w:tc>
          <w:tcPr>
            <w:tcW w:w="11016" w:type="dxa"/>
            <w:gridSpan w:val="2"/>
            <w:vAlign w:val="center"/>
          </w:tcPr>
          <w:p w14:paraId="0F22AF68" w14:textId="77777777" w:rsidR="001D4674" w:rsidRPr="00993839" w:rsidRDefault="001D4674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>Education</w:t>
            </w:r>
          </w:p>
        </w:tc>
      </w:tr>
      <w:tr w:rsidR="00101273" w14:paraId="3E39E9F6" w14:textId="77777777" w:rsidTr="00BF7271">
        <w:tc>
          <w:tcPr>
            <w:tcW w:w="3438" w:type="dxa"/>
            <w:vAlign w:val="center"/>
          </w:tcPr>
          <w:p w14:paraId="3859425A" w14:textId="77777777" w:rsidR="005E3280" w:rsidRPr="00C74738" w:rsidRDefault="005E3280" w:rsidP="001D4674">
            <w:pPr>
              <w:rPr>
                <w:rFonts w:ascii="Palatino Linotype" w:hAnsi="Palatino Linotype"/>
                <w:b/>
                <w:color w:val="002060"/>
                <w:sz w:val="6"/>
                <w:szCs w:val="6"/>
              </w:rPr>
            </w:pPr>
          </w:p>
        </w:tc>
        <w:tc>
          <w:tcPr>
            <w:tcW w:w="7578" w:type="dxa"/>
            <w:vAlign w:val="center"/>
          </w:tcPr>
          <w:p w14:paraId="5353503C" w14:textId="77777777" w:rsidR="00101273" w:rsidRPr="00CC3E72" w:rsidRDefault="00101273" w:rsidP="001D4674">
            <w:pPr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583540" w14:paraId="3FDCD012" w14:textId="77777777" w:rsidTr="00BF7271">
        <w:trPr>
          <w:trHeight w:val="368"/>
        </w:trPr>
        <w:tc>
          <w:tcPr>
            <w:tcW w:w="3438" w:type="dxa"/>
          </w:tcPr>
          <w:p w14:paraId="4ED145E1" w14:textId="77777777" w:rsidR="00583540" w:rsidRPr="00A606A8" w:rsidRDefault="00B02BAA" w:rsidP="00B02BAA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M.S</w:t>
            </w:r>
            <w:r w:rsidR="00583540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.</w:t>
            </w:r>
            <w:r w:rsidR="00583540" w:rsidRPr="003A5B0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Data Analytics</w:t>
            </w:r>
          </w:p>
        </w:tc>
        <w:tc>
          <w:tcPr>
            <w:tcW w:w="7578" w:type="dxa"/>
          </w:tcPr>
          <w:p w14:paraId="11027D4F" w14:textId="77777777" w:rsidR="005C1082" w:rsidRDefault="00583540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Georgia Ins</w:t>
            </w:r>
            <w:r w:rsidR="00A059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titute of Technology</w:t>
            </w:r>
            <w:r w:rsidR="00BF727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="000776D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August</w:t>
            </w:r>
            <w:r w:rsidR="00070012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202</w:t>
            </w:r>
            <w:r w:rsidR="004F26D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2</w:t>
            </w:r>
          </w:p>
          <w:p w14:paraId="4D729577" w14:textId="4E89A16C" w:rsidR="00520CC3" w:rsidRPr="00587D4A" w:rsidRDefault="00520CC3" w:rsidP="00BF7271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</w:p>
        </w:tc>
      </w:tr>
      <w:tr w:rsidR="003A5B06" w14:paraId="56916B64" w14:textId="77777777" w:rsidTr="00BF7271">
        <w:trPr>
          <w:trHeight w:val="791"/>
        </w:trPr>
        <w:tc>
          <w:tcPr>
            <w:tcW w:w="3438" w:type="dxa"/>
          </w:tcPr>
          <w:p w14:paraId="15271437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M.S. Mechanical Engineering</w:t>
            </w:r>
          </w:p>
        </w:tc>
        <w:tc>
          <w:tcPr>
            <w:tcW w:w="7578" w:type="dxa"/>
          </w:tcPr>
          <w:p w14:paraId="173F3502" w14:textId="77777777" w:rsidR="003A5B06" w:rsidRPr="00D27614" w:rsidRDefault="003A5B06" w:rsidP="003A3B61">
            <w:pPr>
              <w:ind w:left="162" w:hanging="162"/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587D4A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</w:t>
            </w:r>
            <w:r w:rsid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 Diego State University, 2015, </w:t>
            </w:r>
            <w:r w:rsidR="00D27614" w:rsidRPr="00D2761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Energy and Thermofluids Specialization</w:t>
            </w:r>
          </w:p>
          <w:p w14:paraId="6EE15BF3" w14:textId="77777777" w:rsidR="003A5B06" w:rsidRPr="00587D4A" w:rsidRDefault="003A5B06" w:rsidP="002A3AAC">
            <w:pPr>
              <w:ind w:left="162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A3B61"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  <w:t>Thesis: Large Eddy Simulation of a Supersonic Underexpanded Jet: Comparison of a Low-order Finite Volume(Converge™) and High-order Hybrid Central/WENO-Z Scheme</w:t>
            </w:r>
          </w:p>
        </w:tc>
      </w:tr>
      <w:tr w:rsidR="003A5B06" w14:paraId="148936C7" w14:textId="77777777" w:rsidTr="00BF7271">
        <w:trPr>
          <w:trHeight w:val="449"/>
        </w:trPr>
        <w:tc>
          <w:tcPr>
            <w:tcW w:w="3438" w:type="dxa"/>
            <w:vAlign w:val="center"/>
          </w:tcPr>
          <w:p w14:paraId="23D1CDBF" w14:textId="77777777" w:rsidR="003A5B06" w:rsidRPr="00A606A8" w:rsidRDefault="003A5B06" w:rsidP="00092CCE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B.S. Mechanical Engineering</w:t>
            </w:r>
          </w:p>
        </w:tc>
        <w:tc>
          <w:tcPr>
            <w:tcW w:w="7578" w:type="dxa"/>
            <w:vAlign w:val="center"/>
          </w:tcPr>
          <w:p w14:paraId="42CED9E0" w14:textId="77777777" w:rsidR="003A5B06" w:rsidRPr="00A606A8" w:rsidRDefault="003A5B06" w:rsidP="002A3AAC">
            <w:pPr>
              <w:rPr>
                <w:rFonts w:ascii="Palatino Linotype" w:hAnsi="Palatino Linotype"/>
                <w:color w:val="121718" w:themeColor="background2" w:themeShade="1A"/>
                <w:sz w:val="18"/>
                <w:szCs w:val="18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University of Massachusetts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Amherst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2003</w:t>
            </w:r>
          </w:p>
        </w:tc>
      </w:tr>
    </w:tbl>
    <w:p w14:paraId="6F071FF2" w14:textId="7590F55C" w:rsidR="00BF7271" w:rsidRDefault="00BF7271">
      <w:pPr>
        <w:rPr>
          <w:sz w:val="12"/>
          <w:szCs w:val="12"/>
        </w:rPr>
      </w:pPr>
    </w:p>
    <w:p w14:paraId="5521B306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5"/>
        <w:gridCol w:w="5516"/>
      </w:tblGrid>
      <w:tr w:rsidR="00CB70AD" w:rsidRPr="00B50652" w14:paraId="58CBFB33" w14:textId="77777777" w:rsidTr="00156266">
        <w:tc>
          <w:tcPr>
            <w:tcW w:w="11031" w:type="dxa"/>
            <w:gridSpan w:val="2"/>
          </w:tcPr>
          <w:p w14:paraId="7F6174D5" w14:textId="77777777" w:rsidR="00CB70AD" w:rsidRPr="00993839" w:rsidRDefault="00CB70AD" w:rsidP="00CF6606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Technical Expertise</w:t>
            </w:r>
          </w:p>
        </w:tc>
      </w:tr>
      <w:tr w:rsidR="00BF7271" w:rsidRPr="00246041" w14:paraId="51B48CDC" w14:textId="77777777" w:rsidTr="00156266">
        <w:trPr>
          <w:trHeight w:val="1997"/>
        </w:trPr>
        <w:tc>
          <w:tcPr>
            <w:tcW w:w="5515" w:type="dxa"/>
          </w:tcPr>
          <w:p w14:paraId="2470BC0E" w14:textId="5574C9BE" w:rsidR="00BF7271" w:rsidRPr="00225408" w:rsidRDefault="00225408" w:rsidP="0022540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Expert in a variety of CFD, combustion, heat transfer, 1D system-level simulation, and laser-based optical spray characterization</w:t>
            </w:r>
          </w:p>
          <w:p w14:paraId="3295D17B" w14:textId="1146FC92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Contributing to proposals, performing tasks, and presenting results for various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E, D</w:t>
            </w:r>
            <w:r w:rsidR="007E201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</w:t>
            </w: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D, and commercial customer projects </w:t>
            </w:r>
          </w:p>
          <w:p w14:paraId="3F562440" w14:textId="71FA71B0" w:rsidR="00BF7271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18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Creating and managing teams to effectively meet schedules and requirements</w:t>
            </w:r>
          </w:p>
        </w:tc>
        <w:tc>
          <w:tcPr>
            <w:tcW w:w="5516" w:type="dxa"/>
          </w:tcPr>
          <w:p w14:paraId="24374BA6" w14:textId="32D414DE" w:rsidR="00450B16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 for clustering, classification, regression, anomaly detection, time-series analysis, optimization, discrete event simulation</w:t>
            </w:r>
          </w:p>
          <w:p w14:paraId="19FC98B8" w14:textId="5CFDBAED" w:rsidR="00650527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Machine learning/physics-based model integration</w:t>
            </w:r>
          </w:p>
          <w:p w14:paraId="4F5B30B1" w14:textId="3BA3ECF3" w:rsidR="00225408" w:rsidRPr="00225408" w:rsidRDefault="00225408" w:rsidP="00225408">
            <w:pPr>
              <w:pStyle w:val="ListParagraph"/>
              <w:numPr>
                <w:ilvl w:val="0"/>
                <w:numId w:val="11"/>
              </w:numPr>
              <w:ind w:left="335" w:hanging="27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Microsoft Project, </w:t>
            </w:r>
            <w:proofErr w:type="spellStart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ProjectLibre</w:t>
            </w:r>
            <w:proofErr w:type="spellEnd"/>
            <w:r w:rsidRPr="0022540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Azure and Git DevOps (Agile), Microsoft Suite, Python, R, MATLAB, SQL, Spark, Scala, JS, D3.js, Bash, Linux, AWS, GCP, Databricks</w:t>
            </w:r>
          </w:p>
          <w:p w14:paraId="7D6974D8" w14:textId="7867C7BF" w:rsidR="00BF7271" w:rsidRPr="00225408" w:rsidRDefault="00BF7271" w:rsidP="00225408">
            <w:pP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</w:p>
        </w:tc>
      </w:tr>
    </w:tbl>
    <w:p w14:paraId="033724F1" w14:textId="77777777" w:rsidR="00156266" w:rsidRPr="00BF7271" w:rsidRDefault="00156266">
      <w:pPr>
        <w:rPr>
          <w:sz w:val="12"/>
          <w:szCs w:val="12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7762"/>
        <w:gridCol w:w="716"/>
        <w:gridCol w:w="90"/>
        <w:gridCol w:w="184"/>
        <w:gridCol w:w="86"/>
        <w:gridCol w:w="2183"/>
      </w:tblGrid>
      <w:tr w:rsidR="00C74738" w14:paraId="675F2E6D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C742EC" w14:textId="77777777" w:rsidR="00C74738" w:rsidRPr="00993839" w:rsidRDefault="00C74738" w:rsidP="00B50652">
            <w:pPr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</w:t>
            </w: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t xml:space="preserve"> Experience</w:t>
            </w:r>
          </w:p>
        </w:tc>
      </w:tr>
      <w:tr w:rsidR="004C3640" w:rsidRPr="00993839" w14:paraId="5929D8CE" w14:textId="77777777" w:rsidTr="004F26D8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52B3CCB8" w14:textId="4275BCD6" w:rsidR="004C3640" w:rsidRPr="00993839" w:rsidRDefault="004C3640" w:rsidP="00CF6606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Flatiron Analytics, LLC.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156266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="004F26D8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Owner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C18576" w14:textId="37BB15FC" w:rsidR="004C3640" w:rsidRPr="00993839" w:rsidRDefault="004C3640" w:rsidP="00CF6606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Jul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20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</w:t>
            </w:r>
            <w:r w:rsidR="00DB435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0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Present</w:t>
            </w:r>
          </w:p>
        </w:tc>
      </w:tr>
      <w:tr w:rsidR="004C3640" w:rsidRPr="00D125B1" w14:paraId="0929264E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6F47FB" w14:textId="77777777" w:rsidR="004C3640" w:rsidRPr="00D125B1" w:rsidRDefault="004C3640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2665C6" w:rsidRPr="00D4305A" w14:paraId="2E364AB2" w14:textId="77777777" w:rsidTr="004F26D8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F21B5" w14:textId="3F8DFBA0" w:rsidR="002665C6" w:rsidRPr="00D4305A" w:rsidRDefault="002665C6" w:rsidP="002665C6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Ricardo Engineering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,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</w:t>
            </w:r>
            <w:r w:rsidR="0023642C">
              <w:rPr>
                <w:rFonts w:ascii="Palatino Linotype" w:hAnsi="Palatino Linotype"/>
                <w:b/>
                <w:color w:val="000000" w:themeColor="text1"/>
                <w:szCs w:val="24"/>
              </w:rPr>
              <w:t>PLC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. - Contract Engineer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C609" w14:textId="1F47449B" w:rsidR="002665C6" w:rsidRPr="00D4305A" w:rsidRDefault="002665C6" w:rsidP="002665C6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>Jul 202</w:t>
            </w:r>
            <w:r w:rsidR="00DB4359">
              <w:rPr>
                <w:rFonts w:ascii="Palatino Linotype" w:hAnsi="Palatino Linotype"/>
                <w:b/>
                <w:color w:val="000000" w:themeColor="text1"/>
                <w:szCs w:val="24"/>
              </w:rPr>
              <w:t>0</w:t>
            </w:r>
            <w:r w:rsidRPr="004C3640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Present</w:t>
            </w:r>
          </w:p>
        </w:tc>
      </w:tr>
      <w:tr w:rsidR="004C3640" w:rsidRPr="00BF7271" w14:paraId="43D0B71B" w14:textId="77777777" w:rsidTr="004F26D8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2DF82A" w14:textId="53D017A3" w:rsidR="004C3640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Engineering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analyst providing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omputational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luid </w:t>
            </w:r>
            <w:r w:rsidR="00367A8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ynamics (CFD), 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conjugate heat transfer (CHT),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thermal fluid system,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performance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</w:t>
            </w:r>
            <w:r w:rsid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="004C3640" w:rsidRPr="004C364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emissions analytic services</w:t>
            </w:r>
            <w:r w:rsidR="004B78DF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internal combustion engine, power electronics, and battery pack systems</w:t>
            </w:r>
          </w:p>
          <w:p w14:paraId="305A339A" w14:textId="15743206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General data an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lytic services such as data extraction, transformation, loading,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modeling using various </w:t>
            </w:r>
            <w:r w:rsidR="00B40BA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data analytics and </w:t>
            </w:r>
            <w:r w:rsidR="003317E9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achine learning techniques</w:t>
            </w:r>
          </w:p>
          <w:p w14:paraId="25AFC7B4" w14:textId="0B7910C9" w:rsidR="000776D1" w:rsidRDefault="000776D1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76D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Prognostic failure prediction of high-value engine components using machine learning algorithms and data science procedures</w:t>
            </w:r>
          </w:p>
          <w:p w14:paraId="6AA47D84" w14:textId="35D09977" w:rsidR="004249CC" w:rsidRDefault="004249CC" w:rsidP="004C3640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Provide technical support and consultation on multiple engineering service proposals</w:t>
            </w:r>
          </w:p>
          <w:p w14:paraId="0913487E" w14:textId="271052CD" w:rsidR="004C3640" w:rsidRPr="004F26D8" w:rsidRDefault="004249CC" w:rsidP="004F26D8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 and analyze high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images of fuel sprays using pulsed </w:t>
            </w:r>
            <w:proofErr w:type="spellStart"/>
            <w:proofErr w:type="gramStart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spellEnd"/>
            <w:proofErr w:type="gramEnd"/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as well as documenting detailed technical procedures of 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methodology</w:t>
            </w:r>
          </w:p>
        </w:tc>
      </w:tr>
      <w:tr w:rsidR="004C3640" w14:paraId="63DE30D2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8775BA" w14:textId="77777777" w:rsidR="004C3640" w:rsidRDefault="004C3640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  <w:p w14:paraId="335BCD42" w14:textId="7995165A" w:rsidR="00D65E46" w:rsidRPr="00993839" w:rsidRDefault="00D65E46" w:rsidP="00B50652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</w:tr>
      <w:tr w:rsidR="00C74738" w14:paraId="6F67E2F4" w14:textId="77777777" w:rsidTr="00520CC3"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4984EB81" w14:textId="44FB00F1" w:rsidR="00C74738" w:rsidRPr="00993839" w:rsidRDefault="00C74738" w:rsidP="00C304D7">
            <w:pPr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lastRenderedPageBreak/>
              <w:t>Achates Power</w:t>
            </w:r>
            <w:r w:rsidR="0023642C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,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Inc.    </w:t>
            </w:r>
          </w:p>
        </w:tc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BA0E3" w14:textId="77777777" w:rsidR="00C74738" w:rsidRPr="00993839" w:rsidRDefault="00C74738" w:rsidP="00776F52">
            <w:pPr>
              <w:jc w:val="right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Nov 2008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776F52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Mar 2020</w:t>
            </w:r>
          </w:p>
        </w:tc>
      </w:tr>
      <w:tr w:rsidR="00D125B1" w14:paraId="1D07D41A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7A9735" w14:textId="77777777" w:rsidR="00D125B1" w:rsidRPr="00D125B1" w:rsidRDefault="00D125B1" w:rsidP="00D125B1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12"/>
                <w:szCs w:val="12"/>
              </w:rPr>
            </w:pPr>
          </w:p>
        </w:tc>
      </w:tr>
      <w:tr w:rsidR="00D125B1" w14:paraId="3E2D0075" w14:textId="77777777" w:rsidTr="00520CC3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60A90F" w14:textId="77777777" w:rsidR="00D125B1" w:rsidRPr="00D4305A" w:rsidRDefault="00CB70AD" w:rsidP="00BF7271">
            <w:pPr>
              <w:ind w:left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Senior </w:t>
            </w:r>
            <w:r w:rsidR="00BF7271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Engineer, CFD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28675" w14:textId="77777777" w:rsidR="00D125B1" w:rsidRPr="00D4305A" w:rsidRDefault="00D125B1" w:rsidP="00D4305A">
            <w:pPr>
              <w:ind w:hanging="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Jan 201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– </w:t>
            </w:r>
            <w:r w:rsidR="00776F52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D125B1" w14:paraId="2E2EDB57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76D0E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Advance development of in-cylinder combustion CFD models and sub-models including multi-phase reacting flows, turbulence, and heat transfer models</w:t>
            </w:r>
          </w:p>
          <w:p w14:paraId="039FA927" w14:textId="77777777" w:rsidR="00BF7271" w:rsidRPr="00CB70AD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Development of numerous pre and post-simulation analysis scripts using Matlab, Python, and R which dramatically reduced simulation setup and analysis time</w:t>
            </w:r>
          </w:p>
          <w:p w14:paraId="1F28E256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Employ machine learning, data mining, and statistical 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analysis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methods</w:t>
            </w:r>
            <w:r w:rsidR="00C30CFE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such as hypothesis testing, regression, classification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data mining techniques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to build models, identify patterns, and analyze data collected from lab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atories, simulation, and engine test cells</w:t>
            </w:r>
          </w:p>
          <w:p w14:paraId="7E7FB450" w14:textId="77777777" w:rsidR="00D125B1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Lead Engineer responsible for </w:t>
            </w:r>
            <w:r w:rsidR="00D125B1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ove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rseeing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the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collection, processing,  storage, and analysis of data collected in 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fuel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laser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diagnostics</w:t>
            </w:r>
            <w:r w:rsid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lab</w:t>
            </w:r>
          </w:p>
          <w:p w14:paraId="04354E50" w14:textId="77777777" w:rsidR="00D125B1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Ensure data integrity </w:t>
            </w:r>
            <w:r w:rsidR="00CB70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hardware safety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by employing statistical testing, change monitoring, and error checks</w:t>
            </w:r>
          </w:p>
          <w:p w14:paraId="0C0A003F" w14:textId="77777777" w:rsidR="00CB70AD" w:rsidRPr="00CB70AD" w:rsidRDefault="00CB70AD" w:rsidP="00BF727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Create and present papers,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presentations,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proposal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materials to ef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fectively communicate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information to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both </w:t>
            </w:r>
            <w:r w:rsidRPr="00C2791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technical and non-technical audiences </w:t>
            </w:r>
          </w:p>
          <w:p w14:paraId="76B838AA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Build and deploy interactive web apps, dashboards, and automatically generated reports using tools such as Knitr, Shiny, and Jupyter Notebook </w:t>
            </w:r>
          </w:p>
          <w:p w14:paraId="1462D26A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 experiments and test plans using design of experiment (DOE) techniques tailored to specific applications and goals including factorial, screening, response surface, Latin hypercube, and other space-filling techniques</w:t>
            </w:r>
          </w:p>
        </w:tc>
      </w:tr>
      <w:tr w:rsidR="00D125B1" w:rsidRPr="00D125B1" w14:paraId="07F5D084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A1603C" w14:textId="77777777" w:rsidR="00D125B1" w:rsidRPr="00BF7271" w:rsidRDefault="00D125B1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3BC22D2D" w14:textId="77777777" w:rsidTr="00520CC3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4D0EF2" w14:textId="77777777" w:rsidR="00CB70AD" w:rsidRPr="00C74738" w:rsidRDefault="00CB70AD" w:rsidP="00D125B1">
            <w:pPr>
              <w:ind w:left="360" w:hanging="9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Combustion System Lead Development Engineer</w:t>
            </w:r>
            <w:r w:rsidRPr="00C74738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  <w:br/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U.S. Army TARDEC Advanced Combat Engine (ACE)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3668E" w14:textId="4441961E" w:rsidR="00CB70AD" w:rsidRPr="00D4305A" w:rsidRDefault="00E86E0A" w:rsidP="00D4305A">
            <w:pPr>
              <w:ind w:hanging="10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Feb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201</w:t>
            </w:r>
            <w:r>
              <w:rPr>
                <w:rFonts w:ascii="Palatino Linotype" w:hAnsi="Palatino Linotype"/>
                <w:b/>
                <w:color w:val="000000" w:themeColor="text1"/>
                <w:szCs w:val="24"/>
              </w:rPr>
              <w:t>5</w:t>
            </w:r>
            <w:r w:rsidR="00CB70AD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 - </w:t>
            </w:r>
            <w:r w:rsidR="00A14BE3"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Mar 2020</w:t>
            </w:r>
          </w:p>
        </w:tc>
      </w:tr>
      <w:tr w:rsidR="00CB70AD" w14:paraId="381011B9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4BFE27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diesel combat engines</w:t>
            </w:r>
          </w:p>
          <w:p w14:paraId="3561D9BD" w14:textId="77777777" w:rsid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Create conjugate heat transfer models and techniques used for thermal analysis of transient combustion events on moving pistons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cylinder liners</w:t>
            </w:r>
          </w:p>
          <w:p w14:paraId="05EAEAA6" w14:textId="77777777" w:rsidR="00CB70AD" w:rsidRPr="00BF727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Developed a statistical model calibration technique to increase model accuracy across 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the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engine operating range, 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identify influential</w:t>
            </w:r>
            <w:r w:rsidR="005D2A85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model</w:t>
            </w:r>
            <w:r w:rsidR="00865857"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tuning parameters, and quantify model uncertainty </w:t>
            </w:r>
            <w:r w:rsidRP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 </w:t>
            </w:r>
          </w:p>
          <w:p w14:paraId="2038A49E" w14:textId="7F27D0A8" w:rsidR="00CB70AD" w:rsidRPr="00C74738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Optimized combustion system design, configuration, and calibration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which exceeded customer metrics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fuel consumption, emissions, and heat rejection</w:t>
            </w:r>
            <w:r w:rsidR="00E86E0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securing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$47 million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phase II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development contract</w:t>
            </w:r>
          </w:p>
        </w:tc>
      </w:tr>
      <w:tr w:rsidR="00CB70AD" w:rsidRPr="00D125B1" w14:paraId="0D2A70A8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84B541" w14:textId="77777777" w:rsidR="00CB70AD" w:rsidRPr="00BF7271" w:rsidRDefault="00CB70AD" w:rsidP="00D125B1">
            <w:pPr>
              <w:ind w:left="36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6EECED96" w14:textId="77777777" w:rsidTr="00520CC3">
        <w:tc>
          <w:tcPr>
            <w:tcW w:w="88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30A20B" w14:textId="77777777" w:rsidR="00CB70AD" w:rsidRPr="00D4305A" w:rsidRDefault="00CB70AD" w:rsidP="00631852">
            <w:pPr>
              <w:ind w:firstLine="27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 xml:space="preserve">Combustion System Development Engineer </w:t>
            </w:r>
          </w:p>
          <w:p w14:paraId="54C53EA3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DOE ARPA –E Gasoline Compression Ignition Medium Duty Multi</w:t>
            </w:r>
            <w:r w:rsidR="004E5449"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-</w:t>
            </w:r>
            <w:r w:rsidRPr="00D4305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cylinder OP Engine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2E00C75C" w14:textId="77777777" w:rsidR="00CB70AD" w:rsidRPr="00D4305A" w:rsidRDefault="00CB70AD" w:rsidP="00D4305A">
            <w:pPr>
              <w:ind w:left="-288" w:firstLine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Apr 2016 – Jul 2019</w:t>
            </w:r>
          </w:p>
        </w:tc>
      </w:tr>
      <w:tr w:rsidR="00CB70AD" w14:paraId="15B20CCD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3732E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Managed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directed gasoline compression ignition (GCI) and diesel combustion simulation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teams consisting of cross-functional experts from industrial partners, DOE National Laboratories, and in-house combustion engineers.</w:t>
            </w:r>
          </w:p>
          <w:p w14:paraId="0C465D8B" w14:textId="77777777" w:rsidR="00BF7271" w:rsidRP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Construct, operate, and maintain computational fluid dynamics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(CFD)</w:t>
            </w:r>
            <w:r w:rsidRPr="0085630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and combustion models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Opposed Piston Two-Stroke (OP2S) GCI  and diesel engines</w:t>
            </w:r>
          </w:p>
          <w:p w14:paraId="027F48F5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Identified fundamental limitations of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available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computational combustion CFD codes concerning </w:t>
            </w:r>
            <w:r w:rsidR="00C512C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low-temperature chemical kinetics, ignition delay, and initial condition sensitivity for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GCI simulation and prediction</w:t>
            </w:r>
          </w:p>
          <w:p w14:paraId="681E9FF7" w14:textId="77777777" w:rsidR="00CB70AD" w:rsidRPr="00B50652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Constructed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managed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multi-path work plans to mitigate GCI combustion simulation shortfalls to meet program deadlines and metrics</w:t>
            </w:r>
          </w:p>
          <w:p w14:paraId="79EBB313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Optimized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combustion system design, configuration, and calibration which exceeded customer metrics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both GCI and diesel versions of the engine securing </w:t>
            </w:r>
            <w:r w:rsidR="005D2A8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follow on program</w:t>
            </w:r>
          </w:p>
          <w:p w14:paraId="6241E9C5" w14:textId="77777777" w:rsidR="00BF7271" w:rsidRPr="00631852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Evaluated state of the art combustion CFD techniques, models, and software to determine suitability for GCI combustion analysis </w:t>
            </w:r>
          </w:p>
        </w:tc>
      </w:tr>
      <w:tr w:rsidR="00CB70AD" w14:paraId="5C411E48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626A2A" w14:textId="77777777" w:rsidR="00CB70AD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382F430E" w14:textId="77777777" w:rsidR="00156266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  <w:p w14:paraId="6AA1CCF7" w14:textId="248FB569" w:rsidR="00156266" w:rsidRPr="00BF7271" w:rsidRDefault="00156266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</w:tr>
      <w:tr w:rsidR="00CB70AD" w14:paraId="41D3AECF" w14:textId="77777777" w:rsidTr="00520CC3">
        <w:tc>
          <w:tcPr>
            <w:tcW w:w="8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3A857" w14:textId="77777777" w:rsidR="00CB70AD" w:rsidRPr="00D4305A" w:rsidRDefault="00CB70AD" w:rsidP="00D125B1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lastRenderedPageBreak/>
              <w:t>Performance and Emissions System Engineer</w:t>
            </w:r>
          </w:p>
        </w:tc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DF8EE" w14:textId="77777777" w:rsidR="00CB70AD" w:rsidRPr="00D4305A" w:rsidRDefault="00CB70AD" w:rsidP="00D4305A">
            <w:pPr>
              <w:ind w:left="-198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Oct 2010 – Dec 2015</w:t>
            </w:r>
          </w:p>
        </w:tc>
      </w:tr>
      <w:tr w:rsidR="00CB70AD" w14:paraId="598241EA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607B3" w14:textId="77777777" w:rsidR="00CB70AD" w:rsidRPr="00D125B1" w:rsidRDefault="001F5E5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Built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validate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 and employ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1D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system</w:t>
            </w:r>
            <w:r w:rsidR="00BF727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level </w:t>
            </w:r>
            <w:r w:rsidR="00CB70AD"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simulation models to analyze and optimize the performance and emissions of internal combustion engines</w:t>
            </w:r>
          </w:p>
          <w:p w14:paraId="43C24953" w14:textId="77777777" w:rsidR="00CB70AD" w:rsidRPr="00D125B1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Conduct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analysis and ma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 recommendations on different air handling recipes including turbo, supercharger, charge air cooler, and after treatment selection and configurations for a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D125B1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variety of engine sizes and applications</w:t>
            </w:r>
          </w:p>
          <w:p w14:paraId="0F83D331" w14:textId="77777777" w:rsidR="00CB70AD" w:rsidRDefault="00CB70AD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Analyze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intake and exhaust pressure wave dynamics and recommend designs to minimize impacts on multi-cylinder OP2</w:t>
            </w:r>
            <w:r w:rsidR="00A14BE3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engine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 ranging from one to twelve cylinders</w:t>
            </w:r>
          </w:p>
          <w:p w14:paraId="4F49B0B4" w14:textId="77777777" w:rsidR="00BF7271" w:rsidRDefault="00BF727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1D brake model able to accurately capture braking performance and down-cylinder gas temperatures</w:t>
            </w:r>
          </w:p>
          <w:p w14:paraId="590CC22E" w14:textId="41CDA00D" w:rsidR="00CB70AD" w:rsidRPr="00D125B1" w:rsidRDefault="00CB70AD" w:rsidP="002541C5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Devise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validate</w:t>
            </w:r>
            <w:r w:rsidR="001F5E5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="002541C5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, and patented trapped burn fraction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control algorithms specific to OP2S engine operation and control</w:t>
            </w:r>
          </w:p>
        </w:tc>
      </w:tr>
      <w:tr w:rsidR="00CB70AD" w:rsidRPr="0063461F" w14:paraId="0B67C0EB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279ABA" w14:textId="77777777" w:rsidR="00CB70AD" w:rsidRPr="00BF7271" w:rsidRDefault="00CB70AD" w:rsidP="0063461F">
            <w:pPr>
              <w:ind w:left="81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</w:tc>
      </w:tr>
      <w:tr w:rsidR="00CB70AD" w14:paraId="4FC35AA0" w14:textId="77777777" w:rsidTr="00520CC3"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0A7DA" w14:textId="77777777" w:rsidR="00CB70AD" w:rsidRPr="00D4305A" w:rsidRDefault="00CB70AD" w:rsidP="00CF6606">
            <w:pPr>
              <w:ind w:left="360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Fuel Systems Engineer</w:t>
            </w: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41DAD" w14:textId="77777777" w:rsidR="00CB70AD" w:rsidRPr="00D4305A" w:rsidRDefault="00CB70AD" w:rsidP="00D4305A">
            <w:pPr>
              <w:ind w:left="-468" w:hanging="90"/>
              <w:jc w:val="right"/>
              <w:rPr>
                <w:rFonts w:ascii="Palatino Linotype" w:hAnsi="Palatino Linotype"/>
                <w:b/>
                <w:color w:val="000000" w:themeColor="text1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Nov 2008 – Sep 2010</w:t>
            </w:r>
          </w:p>
        </w:tc>
      </w:tr>
      <w:tr w:rsidR="00CB70AD" w14:paraId="08164607" w14:textId="77777777" w:rsidTr="00520CC3">
        <w:tc>
          <w:tcPr>
            <w:tcW w:w="110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7891BB" w14:textId="26BBCAC2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Responsible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for managing Fuel Systems </w:t>
            </w:r>
            <w:r w:rsidR="00E86E0A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Laboratory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for testing and calibrating </w:t>
            </w:r>
            <w:r w:rsidR="00CD370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of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various high-pressure fuel system components including pumps, injectors, sensors, controllers, and rails</w:t>
            </w:r>
          </w:p>
          <w:p w14:paraId="707B721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Measure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size, velocity, </w:t>
            </w:r>
            <w:r w:rsidR="004B7C9C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and concentration of atomizing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sprays using laser Phase Doppler anemometry (PDA)</w:t>
            </w:r>
          </w:p>
          <w:p w14:paraId="4AD507A4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Determine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spatially resolved droplet size distribution using Planar Laser-Induced Fluorescence (PLIF)</w:t>
            </w:r>
          </w:p>
          <w:p w14:paraId="69930168" w14:textId="77777777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Capture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high-speed images of fuel injections using pulsed </w:t>
            </w:r>
            <w:proofErr w:type="gramStart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Nd:YAG</w:t>
            </w:r>
            <w:proofErr w:type="gramEnd"/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shadow imagining techniques</w:t>
            </w:r>
          </w:p>
          <w:p w14:paraId="47A9E306" w14:textId="23369210" w:rsidR="00CB70AD" w:rsidRPr="00676946" w:rsidRDefault="00CB70AD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Characterize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 flow fields using Particle Image Vel</w:t>
            </w:r>
            <w:r w:rsidR="000469E2" w:rsidRPr="000469E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ocimetry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(PI</w:t>
            </w:r>
            <w:r w:rsidR="000469E2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V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) techniques</w:t>
            </w:r>
          </w:p>
          <w:p w14:paraId="5B773AC4" w14:textId="77777777" w:rsidR="00CB70AD" w:rsidRPr="00676946" w:rsidRDefault="004E5449" w:rsidP="00676946">
            <w:pPr>
              <w:pStyle w:val="ListParagraph"/>
              <w:numPr>
                <w:ilvl w:val="0"/>
                <w:numId w:val="25"/>
              </w:numPr>
              <w:ind w:left="706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Design</w:t>
            </w:r>
            <w:r w:rsidR="001F5E52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ed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critical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components and </w:t>
            </w:r>
            <w:r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develop testing 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techniques for high</w:t>
            </w:r>
            <w:r w:rsidR="00C512C3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="00CB70AD" w:rsidRPr="00676946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speed endoscopic visualization of in-cylinder combustion of OP2S engines </w:t>
            </w:r>
          </w:p>
        </w:tc>
      </w:tr>
    </w:tbl>
    <w:p w14:paraId="59891F55" w14:textId="77777777" w:rsidR="00BF7271" w:rsidRDefault="00BF7271">
      <w:pPr>
        <w:rPr>
          <w:rFonts w:ascii="Palatino Linotype" w:hAnsi="Palatino Linotype"/>
          <w:sz w:val="16"/>
          <w:szCs w:val="16"/>
        </w:rPr>
      </w:pPr>
    </w:p>
    <w:p w14:paraId="7C83E0D5" w14:textId="77777777" w:rsidR="00C74738" w:rsidRPr="00A14BE3" w:rsidRDefault="00C74738" w:rsidP="00C304D7">
      <w:pPr>
        <w:spacing w:line="240" w:lineRule="auto"/>
        <w:rPr>
          <w:rFonts w:ascii="Palatino Linotype" w:hAnsi="Palatino Linotype"/>
          <w:sz w:val="16"/>
          <w:szCs w:val="1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2610"/>
      </w:tblGrid>
      <w:tr w:rsidR="006F607F" w:rsidRPr="006C6C96" w14:paraId="12D4DF55" w14:textId="77777777" w:rsidTr="00BF7271">
        <w:tc>
          <w:tcPr>
            <w:tcW w:w="8478" w:type="dxa"/>
            <w:vAlign w:val="center"/>
          </w:tcPr>
          <w:p w14:paraId="6A554D3A" w14:textId="77777777" w:rsidR="00F740A9" w:rsidRPr="00993839" w:rsidRDefault="00F740A9" w:rsidP="00F740A9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United States Navy </w:t>
            </w:r>
          </w:p>
        </w:tc>
        <w:tc>
          <w:tcPr>
            <w:tcW w:w="2610" w:type="dxa"/>
            <w:vAlign w:val="center"/>
          </w:tcPr>
          <w:p w14:paraId="6580A207" w14:textId="77777777" w:rsidR="00F740A9" w:rsidRPr="00993839" w:rsidRDefault="00F740A9" w:rsidP="00257634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 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3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–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Sep</w:t>
            </w:r>
            <w:r w:rsidR="00257634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200</w:t>
            </w:r>
            <w:r w:rsidR="00D0357F" w:rsidRPr="00993839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D125B1" w:rsidRPr="006C6C96" w14:paraId="0B9EC8AB" w14:textId="77777777" w:rsidTr="00BF7271">
        <w:tc>
          <w:tcPr>
            <w:tcW w:w="11088" w:type="dxa"/>
            <w:gridSpan w:val="2"/>
          </w:tcPr>
          <w:p w14:paraId="73C40A1B" w14:textId="77777777" w:rsidR="00D125B1" w:rsidRDefault="00D125B1" w:rsidP="00D125B1">
            <w:pPr>
              <w:ind w:left="360"/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</w:pPr>
            <w:r w:rsidRPr="00D4305A">
              <w:rPr>
                <w:rFonts w:ascii="Palatino Linotype" w:hAnsi="Palatino Linotype"/>
                <w:b/>
                <w:color w:val="000000" w:themeColor="text1"/>
                <w:szCs w:val="24"/>
              </w:rPr>
              <w:t>Sonar Technician</w:t>
            </w:r>
            <w:r w:rsidRPr="00D4305A">
              <w:rPr>
                <w:rFonts w:ascii="Palatino Linotype" w:hAnsi="Palatino Linotype"/>
                <w:b/>
                <w:color w:val="28374A" w:themeColor="accent6" w:themeShade="80"/>
                <w:szCs w:val="24"/>
              </w:rPr>
              <w:t xml:space="preserve"> </w:t>
            </w:r>
          </w:p>
          <w:p w14:paraId="0B886BDE" w14:textId="0BF15739" w:rsidR="00CD370D" w:rsidRPr="00CD370D" w:rsidRDefault="00CD370D" w:rsidP="00CD370D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Manag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working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divisions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five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or more personnel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to ensure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maintenance, training,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and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certifications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meet and exceeded standards </w:t>
            </w:r>
          </w:p>
        </w:tc>
      </w:tr>
      <w:tr w:rsidR="00F740A9" w:rsidRPr="006C6C96" w14:paraId="48190886" w14:textId="77777777" w:rsidTr="00BF7271">
        <w:tc>
          <w:tcPr>
            <w:tcW w:w="11088" w:type="dxa"/>
            <w:gridSpan w:val="2"/>
          </w:tcPr>
          <w:p w14:paraId="6584F141" w14:textId="77777777" w:rsidR="003F0A6E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Analyze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interpret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recommend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actions in response to real-time acoustic data compiled from passive and active shipboard and remote sensors </w:t>
            </w:r>
          </w:p>
          <w:p w14:paraId="3828401A" w14:textId="77777777" w:rsidR="00F740A9" w:rsidRPr="006C6C96" w:rsidRDefault="003F0A6E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reate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present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disseminate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</w:t>
            </w:r>
            <w:r w:rsidR="00F740A9"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daily and weekly situation briefs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used for strategic planning</w:t>
            </w:r>
          </w:p>
          <w:p w14:paraId="7A4D719A" w14:textId="77777777" w:rsidR="00F740A9" w:rsidRPr="003F0A6E" w:rsidRDefault="00132282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Maintain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troubleshot, and repair</w:t>
            </w:r>
            <w:r w:rsidR="004B7C9C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ed</w:t>
            </w:r>
            <w:r w:rsid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acoustic detection systems and sub-systems</w:t>
            </w:r>
            <w:r w:rsidR="00F740A9" w:rsidRPr="003F0A6E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             </w:t>
            </w:r>
          </w:p>
          <w:p w14:paraId="080C2CD7" w14:textId="77777777" w:rsidR="00C81A4C" w:rsidRDefault="00F740A9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Qualified and practiced Combat System Watch Officer responsible for overseeing all of a ships combat system maintenance, determining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the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severity </w:t>
            </w:r>
            <w:r w:rsidR="00CD455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and extent of equipment casualties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and coordinating personnel response to equipment casualty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during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port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underway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a</w:t>
            </w:r>
            <w:r w:rsidR="00DA0044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</w:t>
            </w:r>
            <w:r w:rsidR="00214C8D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d combat </w:t>
            </w:r>
            <w:r w:rsidR="00EF3E6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operations</w:t>
            </w:r>
          </w:p>
          <w:p w14:paraId="5620EC60" w14:textId="77777777" w:rsidR="001C0235" w:rsidRPr="00CB2AFB" w:rsidRDefault="00D125B1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125B1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Member of Non-Compliant Visit, Board, Search, and Seizure (VBSS) team responsible for conducting safety and customs inspections,  anti-piracy operations, oil terminal security, and U.N. oil sanction and smuggling enforcement</w:t>
            </w:r>
          </w:p>
        </w:tc>
      </w:tr>
    </w:tbl>
    <w:p w14:paraId="0368DADE" w14:textId="77777777" w:rsidR="00CC3E72" w:rsidRPr="00A14BE3" w:rsidRDefault="00CC3E72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tbl>
      <w:tblPr>
        <w:tblStyle w:val="TableGrid"/>
        <w:tblW w:w="11290" w:type="dxa"/>
        <w:tblLook w:val="04A0" w:firstRow="1" w:lastRow="0" w:firstColumn="1" w:lastColumn="0" w:noHBand="0" w:noVBand="1"/>
      </w:tblPr>
      <w:tblGrid>
        <w:gridCol w:w="7924"/>
        <w:gridCol w:w="3366"/>
      </w:tblGrid>
      <w:tr w:rsidR="00516FC6" w:rsidRPr="00C74738" w14:paraId="19BA7FF6" w14:textId="77777777" w:rsidTr="00BF7271">
        <w:trPr>
          <w:trHeight w:val="278"/>
        </w:trPr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</w:tcPr>
          <w:p w14:paraId="68A1367C" w14:textId="77777777" w:rsidR="00516FC6" w:rsidRPr="00BF7271" w:rsidRDefault="00516FC6" w:rsidP="00CF6606">
            <w:pPr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Univ. of Massachusetts  Electromechanical Engineering lab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0BB429F6" w14:textId="77777777" w:rsidR="00516FC6" w:rsidRPr="00BF7271" w:rsidRDefault="00516FC6" w:rsidP="00CF6606">
            <w:pPr>
              <w:jc w:val="right"/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</w:pPr>
            <w:r w:rsidRPr="00BF7271">
              <w:rPr>
                <w:rFonts w:ascii="Palatino Linotype" w:hAnsi="Palatino Linotype"/>
                <w:b/>
                <w:color w:val="000000" w:themeColor="text1"/>
                <w:sz w:val="26"/>
                <w:szCs w:val="26"/>
              </w:rPr>
              <w:t>May 2002-Feb 2003</w:t>
            </w:r>
          </w:p>
        </w:tc>
      </w:tr>
      <w:tr w:rsidR="00516FC6" w:rsidRPr="00C74738" w14:paraId="7D8562B4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BBFAF" w14:textId="77777777" w:rsidR="00516FC6" w:rsidRPr="00D4305A" w:rsidRDefault="00516FC6" w:rsidP="00CF6606">
            <w:pPr>
              <w:ind w:firstLine="270"/>
              <w:rPr>
                <w:rFonts w:ascii="Arial" w:hAnsi="Arial" w:cs="Arial"/>
                <w:szCs w:val="24"/>
              </w:rPr>
            </w:pPr>
            <w:r w:rsidRPr="00D4305A">
              <w:rPr>
                <w:rFonts w:ascii="Palatino Linotype" w:hAnsi="Palatino Linotype"/>
                <w:b/>
                <w:szCs w:val="24"/>
              </w:rPr>
              <w:t>Undergrad Research Assistant - National Science Foundation Grant</w:t>
            </w:r>
          </w:p>
        </w:tc>
      </w:tr>
      <w:tr w:rsidR="00516FC6" w:rsidRPr="00C74738" w14:paraId="1EE33D22" w14:textId="77777777" w:rsidTr="00BF7271">
        <w:trPr>
          <w:trHeight w:val="278"/>
        </w:trPr>
        <w:tc>
          <w:tcPr>
            <w:tcW w:w="11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89432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Participated in the d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esign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of a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wireless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,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self-energizing pressure sensor for use in high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-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pressure injection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molding machines</w:t>
            </w:r>
          </w:p>
          <w:p w14:paraId="0CC9FEEF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Developed  Finite Element Analysis (FEA) models for modal and harmonic analysis of ultrasonic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piezoelectric transducers</w:t>
            </w:r>
          </w:p>
          <w:p w14:paraId="3C45D637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Establish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ed experimental procedures and </w:t>
            </w:r>
            <w:r w:rsidR="00924A9A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designed and fabricated </w:t>
            </w: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hardware to test ultrasonic transducers</w:t>
            </w:r>
          </w:p>
          <w:p w14:paraId="5E37D495" w14:textId="77777777" w:rsidR="00516FC6" w:rsidRPr="00C74738" w:rsidRDefault="00516FC6" w:rsidP="00BF7271">
            <w:pPr>
              <w:pStyle w:val="ListParagraph"/>
              <w:numPr>
                <w:ilvl w:val="0"/>
                <w:numId w:val="11"/>
              </w:numPr>
              <w:ind w:left="720" w:hanging="180"/>
              <w:rPr>
                <w:rFonts w:ascii="Arial" w:hAnsi="Arial" w:cs="Arial"/>
                <w:sz w:val="22"/>
                <w:szCs w:val="22"/>
              </w:rPr>
            </w:pPr>
            <w:r w:rsidRPr="00C74738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Organized theoretical and experimental research into reports and presentations</w:t>
            </w:r>
          </w:p>
        </w:tc>
      </w:tr>
    </w:tbl>
    <w:p w14:paraId="0EAD1580" w14:textId="679BECB2" w:rsidR="00516FC6" w:rsidRDefault="00516FC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p w14:paraId="63D4462C" w14:textId="77777777" w:rsidR="00156266" w:rsidRPr="00BF7271" w:rsidRDefault="00156266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2"/>
        <w:gridCol w:w="236"/>
      </w:tblGrid>
      <w:tr w:rsidR="00BF7271" w:rsidRPr="00B56942" w14:paraId="2A79A3A8" w14:textId="77777777" w:rsidTr="00BF7271">
        <w:trPr>
          <w:gridAfter w:val="1"/>
          <w:wAfter w:w="236" w:type="dxa"/>
          <w:trHeight w:val="278"/>
        </w:trPr>
        <w:tc>
          <w:tcPr>
            <w:tcW w:w="11022" w:type="dxa"/>
          </w:tcPr>
          <w:p w14:paraId="211E824E" w14:textId="77777777" w:rsidR="00BF7271" w:rsidRPr="00C66932" w:rsidRDefault="00BF7271" w:rsidP="00CF6606">
            <w:pPr>
              <w:jc w:val="center"/>
              <w:rPr>
                <w:rFonts w:ascii="Palatino Linotype" w:hAnsi="Palatino Linotype"/>
                <w:b/>
                <w:sz w:val="26"/>
                <w:szCs w:val="26"/>
              </w:rPr>
            </w:pPr>
            <w:r w:rsidRPr="00993839">
              <w:rPr>
                <w:rFonts w:ascii="Palatino Linotype" w:hAnsi="Palatino Linotype"/>
                <w:b/>
                <w:color w:val="121718" w:themeColor="background2" w:themeShade="1A"/>
                <w:sz w:val="28"/>
                <w:szCs w:val="28"/>
              </w:rPr>
              <w:lastRenderedPageBreak/>
              <w:t>Publications, Presentations, and Patents</w:t>
            </w:r>
          </w:p>
        </w:tc>
      </w:tr>
      <w:tr w:rsidR="00BF7271" w14:paraId="0188407C" w14:textId="77777777" w:rsidTr="00BF7271">
        <w:trPr>
          <w:trHeight w:val="278"/>
        </w:trPr>
        <w:tc>
          <w:tcPr>
            <w:tcW w:w="11022" w:type="dxa"/>
          </w:tcPr>
          <w:p w14:paraId="17883C26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Publications</w:t>
            </w:r>
          </w:p>
        </w:tc>
        <w:tc>
          <w:tcPr>
            <w:tcW w:w="236" w:type="dxa"/>
          </w:tcPr>
          <w:p w14:paraId="607848A8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14:paraId="22603146" w14:textId="77777777" w:rsidTr="00BF7271">
        <w:trPr>
          <w:gridAfter w:val="1"/>
          <w:wAfter w:w="236" w:type="dxa"/>
          <w:trHeight w:val="548"/>
        </w:trPr>
        <w:tc>
          <w:tcPr>
            <w:tcW w:w="11022" w:type="dxa"/>
          </w:tcPr>
          <w:p w14:paraId="631E744A" w14:textId="77777777" w:rsidR="00BF7271" w:rsidRPr="001A1C2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Quimby, Donovan, and Gustaaf B. Jacobs.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99383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 Hybrid Central/WENO-Z Scheme.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AIAA SciTech Forum, (AIAA 2016-0497)</w:t>
            </w:r>
          </w:p>
        </w:tc>
      </w:tr>
      <w:tr w:rsidR="00BF7271" w14:paraId="761BCBAE" w14:textId="77777777" w:rsidTr="00BF7271">
        <w:trPr>
          <w:gridAfter w:val="1"/>
          <w:wAfter w:w="236" w:type="dxa"/>
          <w:trHeight w:val="139"/>
        </w:trPr>
        <w:tc>
          <w:tcPr>
            <w:tcW w:w="11022" w:type="dxa"/>
          </w:tcPr>
          <w:p w14:paraId="5F4F0911" w14:textId="77777777" w:rsidR="00BF7271" w:rsidRPr="00FB0AED" w:rsidRDefault="00BF7271" w:rsidP="00CF6606">
            <w:pPr>
              <w:ind w:left="450"/>
              <w:rPr>
                <w:rFonts w:ascii="Palatino Linotype" w:hAnsi="Palatino Linotype"/>
                <w:sz w:val="12"/>
                <w:szCs w:val="12"/>
              </w:rPr>
            </w:pPr>
          </w:p>
        </w:tc>
      </w:tr>
      <w:tr w:rsidR="00BF7271" w14:paraId="7AB81F7D" w14:textId="77777777" w:rsidTr="00BF7271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361D1BE" w14:textId="64805D4C" w:rsidR="00BF7271" w:rsidRPr="00C81A4C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Sellnau, Mark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C.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, et al. 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 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Fuel Injection System for Opposed-Piston Gasoline Compressio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 Ignited (OP-GCI) Engines” No.</w:t>
            </w:r>
            <w:r w:rsidRPr="003368D9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2019-01-0287. SAE Technical Paper, 2019.</w:t>
            </w:r>
          </w:p>
        </w:tc>
      </w:tr>
      <w:tr w:rsidR="00BF7271" w14:paraId="17B529C8" w14:textId="77777777" w:rsidTr="001C156F">
        <w:trPr>
          <w:gridAfter w:val="1"/>
          <w:wAfter w:w="236" w:type="dxa"/>
          <w:trHeight w:val="179"/>
        </w:trPr>
        <w:tc>
          <w:tcPr>
            <w:tcW w:w="11022" w:type="dxa"/>
          </w:tcPr>
          <w:p w14:paraId="049D0AD4" w14:textId="77777777" w:rsidR="00BF7271" w:rsidRPr="00993839" w:rsidRDefault="00BF7271" w:rsidP="00CF6606">
            <w:pPr>
              <w:rPr>
                <w:rFonts w:ascii="Palatino Linotype" w:hAnsi="Palatino Linotype"/>
                <w:color w:val="121718" w:themeColor="background2" w:themeShade="1A"/>
                <w:sz w:val="12"/>
                <w:szCs w:val="12"/>
              </w:rPr>
            </w:pPr>
          </w:p>
        </w:tc>
      </w:tr>
      <w:tr w:rsidR="00BF7271" w14:paraId="41B3C180" w14:textId="77777777" w:rsidTr="001C156F">
        <w:trPr>
          <w:gridAfter w:val="1"/>
          <w:wAfter w:w="236" w:type="dxa"/>
          <w:trHeight w:val="260"/>
        </w:trPr>
        <w:tc>
          <w:tcPr>
            <w:tcW w:w="11022" w:type="dxa"/>
          </w:tcPr>
          <w:p w14:paraId="1C108B11" w14:textId="77777777" w:rsidR="00BF7271" w:rsidRPr="003368D9" w:rsidRDefault="00BF7271" w:rsidP="00CF6606">
            <w:pPr>
              <w:ind w:firstLine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resentations</w:t>
            </w:r>
          </w:p>
        </w:tc>
      </w:tr>
      <w:tr w:rsidR="00BF7271" w14:paraId="7FC340D6" w14:textId="77777777" w:rsidTr="001C156F">
        <w:trPr>
          <w:gridAfter w:val="1"/>
          <w:wAfter w:w="236" w:type="dxa"/>
          <w:trHeight w:val="458"/>
        </w:trPr>
        <w:tc>
          <w:tcPr>
            <w:tcW w:w="11022" w:type="dxa"/>
          </w:tcPr>
          <w:p w14:paraId="2813196D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Donovan. “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Large Eddy Simulation of a Supersonic Underexpanded Jet with a High-order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Hybrid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Central/WENO-Z Scheme”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54th AIAA Aerospace Sciences Meeting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 4 Jan 2016, San Diego, Ca.</w:t>
            </w:r>
          </w:p>
        </w:tc>
      </w:tr>
      <w:tr w:rsidR="00BF7271" w14:paraId="6C7BC7CC" w14:textId="77777777" w:rsidTr="001C156F">
        <w:trPr>
          <w:trHeight w:val="267"/>
        </w:trPr>
        <w:tc>
          <w:tcPr>
            <w:tcW w:w="11022" w:type="dxa"/>
          </w:tcPr>
          <w:p w14:paraId="009B5492" w14:textId="77777777" w:rsidR="00BF7271" w:rsidRPr="006F1669" w:rsidRDefault="00BF7271" w:rsidP="00CF6606">
            <w:pPr>
              <w:ind w:firstLine="180"/>
              <w:rPr>
                <w:rFonts w:ascii="Palatino Linotype" w:hAnsi="Palatino Linotype"/>
                <w:b/>
              </w:rPr>
            </w:pPr>
            <w:r w:rsidRPr="00925BE5">
              <w:rPr>
                <w:rFonts w:ascii="Palatino Linotype" w:hAnsi="Palatino Linotype"/>
                <w:b/>
                <w:sz w:val="22"/>
                <w:szCs w:val="22"/>
              </w:rPr>
              <w:t>Patents</w:t>
            </w:r>
          </w:p>
        </w:tc>
        <w:tc>
          <w:tcPr>
            <w:tcW w:w="236" w:type="dxa"/>
          </w:tcPr>
          <w:p w14:paraId="62081E35" w14:textId="77777777" w:rsidR="00BF7271" w:rsidRDefault="00BF7271" w:rsidP="00CF6606">
            <w:pPr>
              <w:rPr>
                <w:rFonts w:ascii="Palatino Linotype" w:hAnsi="Palatino Linotype"/>
              </w:rPr>
            </w:pPr>
          </w:p>
        </w:tc>
      </w:tr>
      <w:tr w:rsidR="00BF7271" w:rsidRPr="003368D9" w14:paraId="74A871F3" w14:textId="77777777" w:rsidTr="001C156F">
        <w:trPr>
          <w:gridAfter w:val="1"/>
          <w:wAfter w:w="236" w:type="dxa"/>
          <w:trHeight w:val="521"/>
        </w:trPr>
        <w:tc>
          <w:tcPr>
            <w:tcW w:w="11022" w:type="dxa"/>
          </w:tcPr>
          <w:p w14:paraId="63ACBBAB" w14:textId="77777777" w:rsidR="00BF7271" w:rsidRPr="003368D9" w:rsidRDefault="00BF7271" w:rsidP="00CF6606">
            <w:pPr>
              <w:ind w:left="45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Nagar, Nishit, and Quimby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,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Donovan M. 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“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Trapped burned gas fraction control for opposed-piston engines with uniflow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scavenging.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”</w:t>
            </w:r>
            <w:r w:rsidRPr="006C6C96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 U.S. Pat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ent No. 9,284,884. 15 Mar 2016.</w:t>
            </w:r>
          </w:p>
        </w:tc>
      </w:tr>
    </w:tbl>
    <w:p w14:paraId="7D286784" w14:textId="41B86FA8" w:rsidR="00BF7271" w:rsidRDefault="00BF7271" w:rsidP="00C66932">
      <w:pPr>
        <w:rPr>
          <w:rFonts w:ascii="Palatino Linotype" w:hAnsi="Palatino Linotype"/>
          <w:color w:val="121718" w:themeColor="background2" w:themeShade="1A"/>
          <w:szCs w:val="24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86920" w:rsidRPr="001D4674" w14:paraId="66862098" w14:textId="77777777" w:rsidTr="00792E82">
        <w:tc>
          <w:tcPr>
            <w:tcW w:w="11088" w:type="dxa"/>
          </w:tcPr>
          <w:p w14:paraId="2F518C75" w14:textId="0881D929" w:rsidR="00B86920" w:rsidRPr="00993839" w:rsidRDefault="00792E82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 xml:space="preserve">Select </w:t>
            </w:r>
            <w:r w:rsidR="00B86920">
              <w:rPr>
                <w:rFonts w:ascii="Palatino Linotype" w:hAnsi="Palatino Linotype"/>
                <w:b/>
                <w:sz w:val="28"/>
                <w:szCs w:val="28"/>
              </w:rPr>
              <w:t>Data Science Projects</w:t>
            </w:r>
          </w:p>
        </w:tc>
      </w:tr>
      <w:tr w:rsidR="00792E82" w:rsidRPr="001D4674" w14:paraId="1EB50B58" w14:textId="77777777" w:rsidTr="00792E82">
        <w:tc>
          <w:tcPr>
            <w:tcW w:w="11088" w:type="dxa"/>
          </w:tcPr>
          <w:p w14:paraId="7B8454C5" w14:textId="77777777" w:rsidR="00792E82" w:rsidRPr="00792E82" w:rsidRDefault="00792E82" w:rsidP="00CF6606">
            <w:pPr>
              <w:jc w:val="center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B86920" w:rsidRPr="00A606A8" w14:paraId="6620A185" w14:textId="77777777" w:rsidTr="00792E82">
        <w:tc>
          <w:tcPr>
            <w:tcW w:w="11088" w:type="dxa"/>
          </w:tcPr>
          <w:p w14:paraId="4EA68A9E" w14:textId="35669A4A" w:rsidR="00B86920" w:rsidRPr="00B86920" w:rsidRDefault="00B86920" w:rsidP="00B86920">
            <w:pPr>
              <w:ind w:left="251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B86920">
              <w:rPr>
                <w:rFonts w:ascii="Palatino Linotype" w:hAnsi="Palatino Linotype"/>
                <w:b/>
                <w:sz w:val="22"/>
                <w:szCs w:val="22"/>
              </w:rPr>
              <w:t>Optimal Coordinated Plug-In Vehicle Charging</w:t>
            </w:r>
          </w:p>
        </w:tc>
      </w:tr>
      <w:tr w:rsidR="0049322D" w:rsidRPr="00A606A8" w14:paraId="04E8B200" w14:textId="77777777" w:rsidTr="00792E82">
        <w:tc>
          <w:tcPr>
            <w:tcW w:w="11088" w:type="dxa"/>
          </w:tcPr>
          <w:p w14:paraId="6BB47490" w14:textId="29DA56A2" w:rsidR="0049322D" w:rsidRPr="00B86920" w:rsidRDefault="0049322D" w:rsidP="0049322D">
            <w:pPr>
              <w:ind w:left="521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>Final Report Link:</w:t>
            </w:r>
            <w:r w:rsidRPr="0003052C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hyperlink r:id="rId8" w:history="1">
              <w:r w:rsidR="001103B8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https://donovanquimby.github.io/pev_cord_charg/</w:t>
              </w:r>
            </w:hyperlink>
          </w:p>
        </w:tc>
      </w:tr>
      <w:tr w:rsidR="00614C52" w:rsidRPr="00614C52" w14:paraId="6A68E1B9" w14:textId="77777777" w:rsidTr="00792E82">
        <w:tc>
          <w:tcPr>
            <w:tcW w:w="11088" w:type="dxa"/>
          </w:tcPr>
          <w:p w14:paraId="60D51A90" w14:textId="77777777" w:rsidR="00614C52" w:rsidRPr="00614C52" w:rsidRDefault="00614C52" w:rsidP="00EF0421">
            <w:pPr>
              <w:ind w:left="521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EF0421" w:rsidRPr="00A606A8" w14:paraId="60AD4D86" w14:textId="77777777" w:rsidTr="00792E82">
        <w:tc>
          <w:tcPr>
            <w:tcW w:w="11088" w:type="dxa"/>
          </w:tcPr>
          <w:p w14:paraId="5BE44EBB" w14:textId="30EF302F" w:rsidR="00EF0421" w:rsidRDefault="001C156F" w:rsidP="001C156F">
            <w:pPr>
              <w:ind w:left="341" w:hanging="9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Neuroimaging Normative Age and</w:t>
            </w:r>
            <w:r w:rsidR="00E86E0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Assessments Prediction Using Stacked</w:t>
            </w:r>
            <w:r w:rsidR="00B40BAB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Pr="001C156F">
              <w:rPr>
                <w:rFonts w:ascii="Palatino Linotype" w:hAnsi="Palatino Linotype"/>
                <w:b/>
                <w:sz w:val="22"/>
                <w:szCs w:val="22"/>
              </w:rPr>
              <w:t>Ensemble Learning</w:t>
            </w:r>
          </w:p>
        </w:tc>
      </w:tr>
      <w:tr w:rsidR="0049322D" w:rsidRPr="00A606A8" w14:paraId="3F715508" w14:textId="77777777" w:rsidTr="00792E82">
        <w:tc>
          <w:tcPr>
            <w:tcW w:w="11088" w:type="dxa"/>
          </w:tcPr>
          <w:p w14:paraId="0D4C33F1" w14:textId="5EADE129" w:rsidR="0049322D" w:rsidRPr="0049322D" w:rsidRDefault="0049322D" w:rsidP="0049322D">
            <w:pPr>
              <w:ind w:left="611" w:hanging="90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Final Report Link: </w:t>
            </w:r>
            <w:hyperlink r:id="rId9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https://donovanquimby.github.io/neroimaging_ensemb_models/</w:t>
              </w:r>
            </w:hyperlink>
          </w:p>
        </w:tc>
      </w:tr>
      <w:tr w:rsidR="007270FA" w:rsidRPr="007270FA" w14:paraId="22EEF680" w14:textId="77777777" w:rsidTr="00792E82">
        <w:tc>
          <w:tcPr>
            <w:tcW w:w="11088" w:type="dxa"/>
          </w:tcPr>
          <w:p w14:paraId="7ED3EB18" w14:textId="77777777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7270FA" w:rsidRPr="007270FA" w14:paraId="6F1F0CC6" w14:textId="77777777" w:rsidTr="00792E82">
        <w:tc>
          <w:tcPr>
            <w:tcW w:w="11088" w:type="dxa"/>
          </w:tcPr>
          <w:p w14:paraId="194109BB" w14:textId="758AAF9F" w:rsidR="007270FA" w:rsidRDefault="007270FA" w:rsidP="007270FA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D3.JS Web Browser</w:t>
            </w:r>
            <w:r w:rsidR="00CF6606">
              <w:rPr>
                <w:rFonts w:ascii="Palatino Linotype" w:hAnsi="Palatino Linotype"/>
                <w:b/>
                <w:sz w:val="22"/>
                <w:szCs w:val="22"/>
              </w:rPr>
              <w:t>-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Based Interactive Data Visualizations </w:t>
            </w:r>
          </w:p>
        </w:tc>
      </w:tr>
      <w:tr w:rsidR="007270FA" w:rsidRPr="007270FA" w14:paraId="2D7F0680" w14:textId="77777777" w:rsidTr="00792E82">
        <w:tc>
          <w:tcPr>
            <w:tcW w:w="11088" w:type="dxa"/>
          </w:tcPr>
          <w:p w14:paraId="6D92A2DE" w14:textId="121D85B0" w:rsidR="007270FA" w:rsidRDefault="007270FA" w:rsidP="00676946">
            <w:pPr>
              <w:ind w:left="611" w:firstLine="270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Website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: </w:t>
            </w:r>
            <w:hyperlink r:id="rId10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https://donovanquimby.github.io/d3_examples/</w:t>
              </w:r>
            </w:hyperlink>
          </w:p>
        </w:tc>
      </w:tr>
      <w:tr w:rsidR="007270FA" w:rsidRPr="007270FA" w14:paraId="17B19FF1" w14:textId="77777777" w:rsidTr="00792E82">
        <w:tc>
          <w:tcPr>
            <w:tcW w:w="11088" w:type="dxa"/>
          </w:tcPr>
          <w:p w14:paraId="0038A229" w14:textId="77777777" w:rsidR="007270FA" w:rsidRPr="007270FA" w:rsidRDefault="007270FA" w:rsidP="007270FA">
            <w:pPr>
              <w:ind w:left="244"/>
              <w:rPr>
                <w:rFonts w:ascii="Palatino Linotype" w:hAnsi="Palatino Linotype"/>
                <w:b/>
                <w:sz w:val="6"/>
                <w:szCs w:val="6"/>
              </w:rPr>
            </w:pPr>
          </w:p>
        </w:tc>
      </w:tr>
      <w:tr w:rsidR="007270FA" w:rsidRPr="007270FA" w14:paraId="297B6CE9" w14:textId="77777777" w:rsidTr="00792E82">
        <w:tc>
          <w:tcPr>
            <w:tcW w:w="11088" w:type="dxa"/>
          </w:tcPr>
          <w:p w14:paraId="771987CB" w14:textId="4A1D905D" w:rsidR="007270FA" w:rsidRPr="007270FA" w:rsidRDefault="007270FA" w:rsidP="007270FA">
            <w:pPr>
              <w:ind w:left="244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Binary Random Forest Classification Algorithm </w:t>
            </w:r>
            <w:proofErr w:type="gramStart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7270FA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7270FA" w:rsidRPr="007270FA" w14:paraId="3D21D511" w14:textId="77777777" w:rsidTr="00792E82">
        <w:tc>
          <w:tcPr>
            <w:tcW w:w="11088" w:type="dxa"/>
          </w:tcPr>
          <w:p w14:paraId="540ACB30" w14:textId="7620EACB" w:rsidR="007270FA" w:rsidRPr="007270FA" w:rsidRDefault="007270FA" w:rsidP="007270FA">
            <w:pPr>
              <w:ind w:left="611" w:hanging="90"/>
              <w:rPr>
                <w:rFonts w:ascii="Palatino Linotype" w:hAnsi="Palatino Linotype"/>
                <w:bCs/>
                <w:sz w:val="16"/>
                <w:szCs w:val="16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1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https://github.com/donovanquimby/binary_random_forest_classifier.git</w:t>
              </w:r>
            </w:hyperlink>
          </w:p>
        </w:tc>
      </w:tr>
      <w:tr w:rsidR="00393D12" w:rsidRPr="007270FA" w14:paraId="4E1BC85D" w14:textId="77777777" w:rsidTr="00792E82">
        <w:tc>
          <w:tcPr>
            <w:tcW w:w="11088" w:type="dxa"/>
          </w:tcPr>
          <w:p w14:paraId="6246B85E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52FA5C8E" w14:textId="77777777" w:rsidTr="00792E82">
        <w:tc>
          <w:tcPr>
            <w:tcW w:w="11088" w:type="dxa"/>
          </w:tcPr>
          <w:p w14:paraId="7A6D6CF8" w14:textId="276915FB" w:rsidR="00393D12" w:rsidRPr="00393D12" w:rsidRDefault="00393D12" w:rsidP="00393D12">
            <w:pPr>
              <w:ind w:left="244"/>
              <w:rPr>
                <w:rFonts w:ascii="Palatino Linotype" w:hAnsi="Palatino Linotype"/>
                <w:b/>
                <w:sz w:val="22"/>
                <w:szCs w:val="22"/>
              </w:rPr>
            </w:pPr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Nonlinear Dimensionality Reduction Using </w:t>
            </w:r>
            <w:proofErr w:type="spell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Isomap</w:t>
            </w:r>
            <w:proofErr w:type="spell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Algorithm </w:t>
            </w:r>
            <w:proofErr w:type="gramStart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>From</w:t>
            </w:r>
            <w:proofErr w:type="gramEnd"/>
            <w:r w:rsidRPr="00393D12">
              <w:rPr>
                <w:rFonts w:ascii="Palatino Linotype" w:hAnsi="Palatino Linotype"/>
                <w:b/>
                <w:sz w:val="22"/>
                <w:szCs w:val="22"/>
              </w:rPr>
              <w:t xml:space="preserve"> Scratch</w:t>
            </w:r>
          </w:p>
        </w:tc>
      </w:tr>
      <w:tr w:rsidR="00393D12" w:rsidRPr="007270FA" w14:paraId="37264A9E" w14:textId="77777777" w:rsidTr="00792E82">
        <w:tc>
          <w:tcPr>
            <w:tcW w:w="11088" w:type="dxa"/>
          </w:tcPr>
          <w:p w14:paraId="28EA14A2" w14:textId="7AA1D206" w:rsid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2" w:history="1">
              <w:r w:rsidR="001103B8" w:rsidRPr="001103B8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https://github.com/donovanquimby/isomap_nonlinear_dim_reduction.git</w:t>
              </w:r>
            </w:hyperlink>
          </w:p>
        </w:tc>
      </w:tr>
      <w:tr w:rsidR="00393D12" w:rsidRPr="007270FA" w14:paraId="5752EBD6" w14:textId="77777777" w:rsidTr="00792E82">
        <w:tc>
          <w:tcPr>
            <w:tcW w:w="11088" w:type="dxa"/>
          </w:tcPr>
          <w:p w14:paraId="4406E383" w14:textId="77777777" w:rsidR="00393D12" w:rsidRPr="00393D12" w:rsidRDefault="00393D12" w:rsidP="007270FA">
            <w:pPr>
              <w:ind w:left="611" w:hanging="90"/>
              <w:rPr>
                <w:rFonts w:ascii="Palatino Linotype" w:hAnsi="Palatino Linotype"/>
                <w:bCs/>
                <w:sz w:val="6"/>
                <w:szCs w:val="6"/>
              </w:rPr>
            </w:pPr>
          </w:p>
        </w:tc>
      </w:tr>
      <w:tr w:rsidR="00393D12" w:rsidRPr="007270FA" w14:paraId="2EA055E8" w14:textId="77777777" w:rsidTr="00792E82">
        <w:tc>
          <w:tcPr>
            <w:tcW w:w="11088" w:type="dxa"/>
          </w:tcPr>
          <w:p w14:paraId="40CDB4DD" w14:textId="1E7D23A8" w:rsidR="00393D12" w:rsidRDefault="00792E82" w:rsidP="00792E82">
            <w:pPr>
              <w:ind w:left="611" w:hanging="36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Expectation-Maximization (E</w:t>
            </w:r>
            <w:r w:rsidR="00CF6606">
              <w:rPr>
                <w:rFonts w:ascii="Palatino Linotype" w:hAnsi="Palatino Linotype"/>
                <w:b/>
                <w:sz w:val="22"/>
                <w:szCs w:val="22"/>
              </w:rPr>
              <w:t>.M.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) Algorithm for Gaussian Mixture Model with Rank Reduction</w:t>
            </w:r>
          </w:p>
        </w:tc>
      </w:tr>
      <w:tr w:rsidR="00792E82" w:rsidRPr="007270FA" w14:paraId="63EA0765" w14:textId="77777777" w:rsidTr="00792E82">
        <w:tc>
          <w:tcPr>
            <w:tcW w:w="11088" w:type="dxa"/>
          </w:tcPr>
          <w:p w14:paraId="70CC2D12" w14:textId="3B6FA026" w:rsidR="00792E82" w:rsidRDefault="00792E82" w:rsidP="00792E82">
            <w:pPr>
              <w:ind w:left="611" w:hanging="9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Repository </w:t>
            </w:r>
            <w:r w:rsidRPr="0049322D">
              <w:rPr>
                <w:rFonts w:ascii="Palatino Linotype" w:hAnsi="Palatino Linotype"/>
                <w:bCs/>
                <w:sz w:val="20"/>
                <w:szCs w:val="20"/>
              </w:rPr>
              <w:t xml:space="preserve">Link: </w:t>
            </w:r>
            <w:hyperlink r:id="rId13" w:history="1">
              <w:r w:rsidR="0003052C" w:rsidRPr="0003052C">
                <w:rPr>
                  <w:rStyle w:val="Hyperlink"/>
                  <w:rFonts w:ascii="Palatino Linotype" w:hAnsi="Palatino Linotype"/>
                  <w:bCs/>
                  <w:sz w:val="20"/>
                  <w:szCs w:val="20"/>
                </w:rPr>
                <w:t>https://github.com/donovanquimby/em_gaussian_mixture_model_rank_reduction.git</w:t>
              </w:r>
            </w:hyperlink>
          </w:p>
        </w:tc>
      </w:tr>
      <w:tr w:rsidR="00792E82" w:rsidRPr="00A606A8" w14:paraId="69822096" w14:textId="77777777" w:rsidTr="00792E82">
        <w:tc>
          <w:tcPr>
            <w:tcW w:w="11088" w:type="dxa"/>
          </w:tcPr>
          <w:p w14:paraId="7F89EE26" w14:textId="77777777" w:rsidR="00792E82" w:rsidRPr="0049322D" w:rsidRDefault="00792E82" w:rsidP="00792E82">
            <w:pPr>
              <w:ind w:left="611" w:hanging="90"/>
              <w:rPr>
                <w:rFonts w:ascii="Palatino Linotype" w:hAnsi="Palatino Linotype"/>
                <w:bCs/>
                <w:sz w:val="2"/>
                <w:szCs w:val="2"/>
                <w:u w:val="single"/>
              </w:rPr>
            </w:pPr>
          </w:p>
        </w:tc>
      </w:tr>
    </w:tbl>
    <w:p w14:paraId="0CE14828" w14:textId="77777777" w:rsidR="00B86920" w:rsidRDefault="00B86920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BF7271" w:rsidRPr="001D4674" w14:paraId="4604D08E" w14:textId="77777777" w:rsidTr="0049322D">
        <w:tc>
          <w:tcPr>
            <w:tcW w:w="11088" w:type="dxa"/>
            <w:vAlign w:val="center"/>
          </w:tcPr>
          <w:p w14:paraId="1218370E" w14:textId="77777777" w:rsidR="00BF7271" w:rsidRPr="00993839" w:rsidRDefault="00BF7271" w:rsidP="00CF6606">
            <w:pPr>
              <w:jc w:val="center"/>
              <w:rPr>
                <w:rFonts w:ascii="Palatino Linotype" w:hAnsi="Palatino Linotype"/>
                <w:color w:val="434342" w:themeColor="text2"/>
                <w:sz w:val="28"/>
                <w:szCs w:val="28"/>
              </w:rPr>
            </w:pPr>
            <w:r w:rsidRPr="00993839">
              <w:rPr>
                <w:rFonts w:ascii="Palatino Linotype" w:hAnsi="Palatino Linotype"/>
                <w:b/>
                <w:sz w:val="28"/>
                <w:szCs w:val="28"/>
              </w:rPr>
              <w:t>Professional Development</w:t>
            </w:r>
          </w:p>
        </w:tc>
      </w:tr>
      <w:tr w:rsidR="00BF7271" w:rsidRPr="003A5B06" w14:paraId="3C5C2FD1" w14:textId="77777777" w:rsidTr="0049322D">
        <w:tc>
          <w:tcPr>
            <w:tcW w:w="11088" w:type="dxa"/>
            <w:vAlign w:val="center"/>
          </w:tcPr>
          <w:p w14:paraId="41C1A177" w14:textId="77777777" w:rsidR="00BF7271" w:rsidRPr="00DE0D4F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DE0D4F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Data Science: 10 Course Coursera Specialization, John Hopkins University, October 2019</w:t>
            </w:r>
          </w:p>
        </w:tc>
      </w:tr>
      <w:tr w:rsidR="00BF7271" w:rsidRPr="00A606A8" w14:paraId="0BEB1F8B" w14:textId="77777777" w:rsidTr="0049322D">
        <w:trPr>
          <w:trHeight w:val="350"/>
        </w:trPr>
        <w:tc>
          <w:tcPr>
            <w:tcW w:w="11088" w:type="dxa"/>
            <w:vAlign w:val="center"/>
          </w:tcPr>
          <w:p w14:paraId="37A339BF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Python For Everyone</w:t>
            </w: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 xml:space="preserve">: 5 Course </w:t>
            </w:r>
            <w:r w:rsidRPr="00A606A8"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Coursera Specialization, University of Michigan, August 2018</w:t>
            </w:r>
          </w:p>
        </w:tc>
      </w:tr>
      <w:tr w:rsidR="00BF7271" w:rsidRPr="00A606A8" w14:paraId="03F997D9" w14:textId="77777777" w:rsidTr="00E86E0A">
        <w:trPr>
          <w:trHeight w:val="74"/>
        </w:trPr>
        <w:tc>
          <w:tcPr>
            <w:tcW w:w="11088" w:type="dxa"/>
            <w:vAlign w:val="center"/>
          </w:tcPr>
          <w:p w14:paraId="5625D217" w14:textId="77777777" w:rsidR="00BF7271" w:rsidRPr="00A606A8" w:rsidRDefault="00BF7271" w:rsidP="00CF6606">
            <w:pPr>
              <w:pStyle w:val="ListParagraph"/>
              <w:numPr>
                <w:ilvl w:val="0"/>
                <w:numId w:val="11"/>
              </w:numPr>
              <w:ind w:left="990" w:hanging="180"/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</w:pPr>
            <w:r>
              <w:rPr>
                <w:rFonts w:ascii="Palatino Linotype" w:hAnsi="Palatino Linotype"/>
                <w:color w:val="121718" w:themeColor="background2" w:themeShade="1A"/>
                <w:sz w:val="20"/>
                <w:szCs w:val="20"/>
              </w:rPr>
              <w:t>Professional Certification: SAE Diesel Engine Technology Engineering Academy, June 2010</w:t>
            </w:r>
          </w:p>
        </w:tc>
      </w:tr>
    </w:tbl>
    <w:p w14:paraId="19430AFE" w14:textId="524A485E" w:rsidR="00BF7271" w:rsidRPr="00A14BE3" w:rsidRDefault="00BF7271" w:rsidP="00C66932">
      <w:pPr>
        <w:rPr>
          <w:rFonts w:ascii="Palatino Linotype" w:hAnsi="Palatino Linotype"/>
          <w:color w:val="121718" w:themeColor="background2" w:themeShade="1A"/>
          <w:sz w:val="16"/>
          <w:szCs w:val="16"/>
        </w:rPr>
      </w:pPr>
    </w:p>
    <w:sectPr w:rsidR="00BF7271" w:rsidRPr="00A14BE3" w:rsidSect="003C1D8B">
      <w:footerReference w:type="default" r:id="rId14"/>
      <w:pgSz w:w="12240" w:h="15840"/>
      <w:pgMar w:top="720" w:right="720" w:bottom="108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29DF" w14:textId="77777777" w:rsidR="009C21A8" w:rsidRDefault="009C21A8" w:rsidP="009F575E">
      <w:pPr>
        <w:spacing w:after="0" w:line="240" w:lineRule="auto"/>
      </w:pPr>
      <w:r>
        <w:separator/>
      </w:r>
    </w:p>
  </w:endnote>
  <w:endnote w:type="continuationSeparator" w:id="0">
    <w:p w14:paraId="0FB0FB29" w14:textId="77777777" w:rsidR="009C21A8" w:rsidRDefault="009C21A8" w:rsidP="009F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017B" w14:textId="77777777" w:rsidR="00CF6606" w:rsidRPr="009F575E" w:rsidRDefault="00CF6606" w:rsidP="009F575E">
    <w:pPr>
      <w:pStyle w:val="Footer"/>
      <w:rPr>
        <w:rFonts w:asciiTheme="majorHAnsi" w:eastAsiaTheme="majorEastAsia" w:hAnsiTheme="majorHAnsi" w:cstheme="majorBidi"/>
        <w:sz w:val="18"/>
        <w:szCs w:val="18"/>
      </w:rPr>
    </w:pPr>
    <w:r w:rsidRPr="009F575E">
      <w:rPr>
        <w:rFonts w:asciiTheme="majorHAnsi" w:eastAsiaTheme="majorEastAsia" w:hAnsiTheme="majorHAnsi" w:cstheme="majorBidi"/>
        <w:sz w:val="18"/>
        <w:szCs w:val="18"/>
      </w:rPr>
      <w:t>Donovan Quimby</w:t>
    </w:r>
    <w:r w:rsidRPr="009F575E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9F575E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Pr="009F575E">
      <w:rPr>
        <w:sz w:val="18"/>
        <w:szCs w:val="18"/>
      </w:rPr>
      <w:fldChar w:fldCharType="begin"/>
    </w:r>
    <w:r w:rsidRPr="009F575E">
      <w:rPr>
        <w:sz w:val="18"/>
        <w:szCs w:val="18"/>
      </w:rPr>
      <w:instrText xml:space="preserve"> PAGE   \* MERGEFORMAT </w:instrText>
    </w:r>
    <w:r w:rsidRPr="009F575E">
      <w:rPr>
        <w:sz w:val="18"/>
        <w:szCs w:val="18"/>
      </w:rPr>
      <w:fldChar w:fldCharType="separate"/>
    </w:r>
    <w:r w:rsidRPr="00DA0044">
      <w:rPr>
        <w:rFonts w:asciiTheme="majorHAnsi" w:eastAsiaTheme="majorEastAsia" w:hAnsiTheme="majorHAnsi" w:cstheme="majorBidi"/>
        <w:noProof/>
        <w:sz w:val="18"/>
        <w:szCs w:val="18"/>
      </w:rPr>
      <w:t>3</w:t>
    </w:r>
    <w:r w:rsidRPr="009F575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</w:p>
  <w:p w14:paraId="551E9B8E" w14:textId="77777777" w:rsidR="00CF6606" w:rsidRPr="009F575E" w:rsidRDefault="00CF6606" w:rsidP="009F575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3382" w14:textId="77777777" w:rsidR="009C21A8" w:rsidRDefault="009C21A8" w:rsidP="009F575E">
      <w:pPr>
        <w:spacing w:after="0" w:line="240" w:lineRule="auto"/>
      </w:pPr>
      <w:r>
        <w:separator/>
      </w:r>
    </w:p>
  </w:footnote>
  <w:footnote w:type="continuationSeparator" w:id="0">
    <w:p w14:paraId="0EA02384" w14:textId="77777777" w:rsidR="009C21A8" w:rsidRDefault="009C21A8" w:rsidP="009F5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707.25pt;height:1068.75pt;visibility:visible" o:bullet="t">
        <v:imagedata r:id="rId1" o:title="color_icons_green_home[1]"/>
      </v:shape>
    </w:pict>
  </w:numPicBullet>
  <w:numPicBullet w:numPicBulletId="1">
    <w:pict>
      <v:shape id="_x0000_i1090" type="#_x0000_t75" alt="https://thumbs.dreamstime.com/b/icon-research-investigation-research-153084293.jpg" style="width:192pt;height:192pt;visibility:visible" o:bullet="t">
        <v:imagedata r:id="rId2" o:title="icon-research-investigation-research-153084293" croptop="15425f" cropbottom="15650f" cropleft="11211f" cropright="11136f"/>
      </v:shape>
    </w:pict>
  </w:numPicBullet>
  <w:numPicBullet w:numPicBulletId="2">
    <w:pict>
      <v:shape id="_x0000_i1091" type="#_x0000_t75" alt="Image result for research clipart black and white&quot;" style="width:690pt;height:795pt;visibility:visible" o:bullet="t">
        <v:imagedata r:id="rId3" o:title="Image result for research clipart black and white&quot;" croptop="1371f" cropbottom="9853f" cropleft="3762f" cropright="3386f"/>
      </v:shape>
    </w:pict>
  </w:numPicBullet>
  <w:abstractNum w:abstractNumId="0" w15:restartNumberingAfterBreak="0">
    <w:nsid w:val="02076FBC"/>
    <w:multiLevelType w:val="hybridMultilevel"/>
    <w:tmpl w:val="C146417C"/>
    <w:lvl w:ilvl="0" w:tplc="B56CA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81F5D"/>
    <w:multiLevelType w:val="multilevel"/>
    <w:tmpl w:val="E58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6301"/>
    <w:multiLevelType w:val="hybridMultilevel"/>
    <w:tmpl w:val="1AF6C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B333A"/>
    <w:multiLevelType w:val="hybridMultilevel"/>
    <w:tmpl w:val="F7A05542"/>
    <w:lvl w:ilvl="0" w:tplc="325AFD9C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18A47AA5"/>
    <w:multiLevelType w:val="hybridMultilevel"/>
    <w:tmpl w:val="A82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25EC"/>
    <w:multiLevelType w:val="hybridMultilevel"/>
    <w:tmpl w:val="1966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4FB3"/>
    <w:multiLevelType w:val="hybridMultilevel"/>
    <w:tmpl w:val="3C10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0271E"/>
    <w:multiLevelType w:val="hybridMultilevel"/>
    <w:tmpl w:val="BB22B6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EED5B75"/>
    <w:multiLevelType w:val="hybridMultilevel"/>
    <w:tmpl w:val="AEE61898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1174945"/>
    <w:multiLevelType w:val="hybridMultilevel"/>
    <w:tmpl w:val="340AB886"/>
    <w:lvl w:ilvl="0" w:tplc="633EB2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182DAE"/>
    <w:multiLevelType w:val="hybridMultilevel"/>
    <w:tmpl w:val="66B6E31E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16DAA"/>
    <w:multiLevelType w:val="hybridMultilevel"/>
    <w:tmpl w:val="5CD6D4EC"/>
    <w:lvl w:ilvl="0" w:tplc="F662D34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D35F3"/>
    <w:multiLevelType w:val="hybridMultilevel"/>
    <w:tmpl w:val="91A63A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9D07866"/>
    <w:multiLevelType w:val="hybridMultilevel"/>
    <w:tmpl w:val="44B0788A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24D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29A8D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C02C8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E2E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03A22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8098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4275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4F060E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4B6F2441"/>
    <w:multiLevelType w:val="hybridMultilevel"/>
    <w:tmpl w:val="04B4D942"/>
    <w:lvl w:ilvl="0" w:tplc="834452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4F0369DA"/>
    <w:multiLevelType w:val="hybridMultilevel"/>
    <w:tmpl w:val="1AD6EEFC"/>
    <w:lvl w:ilvl="0" w:tplc="C2DE4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A3243"/>
    <w:multiLevelType w:val="hybridMultilevel"/>
    <w:tmpl w:val="01E0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D56E5"/>
    <w:multiLevelType w:val="hybridMultilevel"/>
    <w:tmpl w:val="B156A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07CEE"/>
    <w:multiLevelType w:val="multilevel"/>
    <w:tmpl w:val="FD8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A6B81"/>
    <w:multiLevelType w:val="hybridMultilevel"/>
    <w:tmpl w:val="F26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304A5"/>
    <w:multiLevelType w:val="hybridMultilevel"/>
    <w:tmpl w:val="24288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3254C"/>
    <w:multiLevelType w:val="multilevel"/>
    <w:tmpl w:val="2CE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E5BF2"/>
    <w:multiLevelType w:val="hybridMultilevel"/>
    <w:tmpl w:val="290CFBB6"/>
    <w:lvl w:ilvl="0" w:tplc="210AC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F5C43"/>
    <w:multiLevelType w:val="multilevel"/>
    <w:tmpl w:val="87E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51654"/>
    <w:multiLevelType w:val="hybridMultilevel"/>
    <w:tmpl w:val="7B364A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59542C7"/>
    <w:multiLevelType w:val="multilevel"/>
    <w:tmpl w:val="3FA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31383"/>
    <w:multiLevelType w:val="hybridMultilevel"/>
    <w:tmpl w:val="59AA4E10"/>
    <w:lvl w:ilvl="0" w:tplc="AFE8F3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06948"/>
    <w:multiLevelType w:val="hybridMultilevel"/>
    <w:tmpl w:val="4D76F63C"/>
    <w:lvl w:ilvl="0" w:tplc="B56C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6E94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B2F59"/>
    <w:multiLevelType w:val="multilevel"/>
    <w:tmpl w:val="318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F5A65"/>
    <w:multiLevelType w:val="hybridMultilevel"/>
    <w:tmpl w:val="AAFC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C24"/>
    <w:multiLevelType w:val="hybridMultilevel"/>
    <w:tmpl w:val="6A94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49001">
    <w:abstractNumId w:val="17"/>
  </w:num>
  <w:num w:numId="2" w16cid:durableId="1619527229">
    <w:abstractNumId w:val="22"/>
  </w:num>
  <w:num w:numId="3" w16cid:durableId="1663582149">
    <w:abstractNumId w:val="27"/>
  </w:num>
  <w:num w:numId="4" w16cid:durableId="2130467907">
    <w:abstractNumId w:val="30"/>
  </w:num>
  <w:num w:numId="5" w16cid:durableId="492335935">
    <w:abstractNumId w:val="15"/>
  </w:num>
  <w:num w:numId="6" w16cid:durableId="1157576128">
    <w:abstractNumId w:val="29"/>
  </w:num>
  <w:num w:numId="7" w16cid:durableId="714962059">
    <w:abstractNumId w:val="5"/>
  </w:num>
  <w:num w:numId="8" w16cid:durableId="662706732">
    <w:abstractNumId w:val="10"/>
  </w:num>
  <w:num w:numId="9" w16cid:durableId="2141721152">
    <w:abstractNumId w:val="0"/>
  </w:num>
  <w:num w:numId="10" w16cid:durableId="2122605385">
    <w:abstractNumId w:val="9"/>
  </w:num>
  <w:num w:numId="11" w16cid:durableId="666173656">
    <w:abstractNumId w:val="11"/>
  </w:num>
  <w:num w:numId="12" w16cid:durableId="626745314">
    <w:abstractNumId w:val="13"/>
  </w:num>
  <w:num w:numId="13" w16cid:durableId="960460670">
    <w:abstractNumId w:val="26"/>
  </w:num>
  <w:num w:numId="14" w16cid:durableId="582379311">
    <w:abstractNumId w:val="2"/>
  </w:num>
  <w:num w:numId="15" w16cid:durableId="974216801">
    <w:abstractNumId w:val="20"/>
  </w:num>
  <w:num w:numId="16" w16cid:durableId="68621477">
    <w:abstractNumId w:val="24"/>
  </w:num>
  <w:num w:numId="17" w16cid:durableId="351035840">
    <w:abstractNumId w:val="7"/>
  </w:num>
  <w:num w:numId="18" w16cid:durableId="875317825">
    <w:abstractNumId w:val="8"/>
  </w:num>
  <w:num w:numId="19" w16cid:durableId="1408649995">
    <w:abstractNumId w:val="14"/>
  </w:num>
  <w:num w:numId="20" w16cid:durableId="676351070">
    <w:abstractNumId w:val="3"/>
  </w:num>
  <w:num w:numId="21" w16cid:durableId="440422715">
    <w:abstractNumId w:val="6"/>
  </w:num>
  <w:num w:numId="22" w16cid:durableId="2367105">
    <w:abstractNumId w:val="19"/>
  </w:num>
  <w:num w:numId="23" w16cid:durableId="564994630">
    <w:abstractNumId w:val="4"/>
  </w:num>
  <w:num w:numId="24" w16cid:durableId="1086654008">
    <w:abstractNumId w:val="16"/>
  </w:num>
  <w:num w:numId="25" w16cid:durableId="437339326">
    <w:abstractNumId w:val="12"/>
  </w:num>
  <w:num w:numId="26" w16cid:durableId="841504849">
    <w:abstractNumId w:val="21"/>
  </w:num>
  <w:num w:numId="27" w16cid:durableId="324361676">
    <w:abstractNumId w:val="28"/>
  </w:num>
  <w:num w:numId="28" w16cid:durableId="973408715">
    <w:abstractNumId w:val="18"/>
  </w:num>
  <w:num w:numId="29" w16cid:durableId="359669060">
    <w:abstractNumId w:val="25"/>
  </w:num>
  <w:num w:numId="30" w16cid:durableId="512959732">
    <w:abstractNumId w:val="1"/>
  </w:num>
  <w:num w:numId="31" w16cid:durableId="5796046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MDSzMDI0MTKzsDRR0lEKTi0uzszPAykwNqoFAB+GGc4tAAAA"/>
  </w:docVars>
  <w:rsids>
    <w:rsidRoot w:val="007D7E9F"/>
    <w:rsid w:val="00001E34"/>
    <w:rsid w:val="00003E8B"/>
    <w:rsid w:val="000076A0"/>
    <w:rsid w:val="0003052C"/>
    <w:rsid w:val="000314AF"/>
    <w:rsid w:val="0004140E"/>
    <w:rsid w:val="000469E2"/>
    <w:rsid w:val="0005150F"/>
    <w:rsid w:val="000668E1"/>
    <w:rsid w:val="00070012"/>
    <w:rsid w:val="00073B73"/>
    <w:rsid w:val="000776D1"/>
    <w:rsid w:val="00085D95"/>
    <w:rsid w:val="00092CCE"/>
    <w:rsid w:val="000A63E4"/>
    <w:rsid w:val="000A6B25"/>
    <w:rsid w:val="000A716B"/>
    <w:rsid w:val="000B3CCF"/>
    <w:rsid w:val="000C2EAC"/>
    <w:rsid w:val="000D1A69"/>
    <w:rsid w:val="000D5E14"/>
    <w:rsid w:val="000E07B2"/>
    <w:rsid w:val="000E21F7"/>
    <w:rsid w:val="00100B16"/>
    <w:rsid w:val="00101273"/>
    <w:rsid w:val="00106F07"/>
    <w:rsid w:val="001103B8"/>
    <w:rsid w:val="00132282"/>
    <w:rsid w:val="00152BD6"/>
    <w:rsid w:val="001544E7"/>
    <w:rsid w:val="00156266"/>
    <w:rsid w:val="00166E4F"/>
    <w:rsid w:val="001718A1"/>
    <w:rsid w:val="001810DF"/>
    <w:rsid w:val="001A1C29"/>
    <w:rsid w:val="001A5BFA"/>
    <w:rsid w:val="001C0235"/>
    <w:rsid w:val="001C086D"/>
    <w:rsid w:val="001C156F"/>
    <w:rsid w:val="001D04C1"/>
    <w:rsid w:val="001D0644"/>
    <w:rsid w:val="001D0FCE"/>
    <w:rsid w:val="001D4674"/>
    <w:rsid w:val="001F5E52"/>
    <w:rsid w:val="001F6109"/>
    <w:rsid w:val="001F78F5"/>
    <w:rsid w:val="0020020E"/>
    <w:rsid w:val="002146DE"/>
    <w:rsid w:val="00214C8D"/>
    <w:rsid w:val="0022140F"/>
    <w:rsid w:val="0022221F"/>
    <w:rsid w:val="00225408"/>
    <w:rsid w:val="0023642C"/>
    <w:rsid w:val="00244230"/>
    <w:rsid w:val="00246041"/>
    <w:rsid w:val="002541C5"/>
    <w:rsid w:val="00254F90"/>
    <w:rsid w:val="00257634"/>
    <w:rsid w:val="00264161"/>
    <w:rsid w:val="002665C6"/>
    <w:rsid w:val="00270FED"/>
    <w:rsid w:val="002757D4"/>
    <w:rsid w:val="002A1F15"/>
    <w:rsid w:val="002A3AAC"/>
    <w:rsid w:val="002C0429"/>
    <w:rsid w:val="002E3CDC"/>
    <w:rsid w:val="002F53A4"/>
    <w:rsid w:val="00316ABE"/>
    <w:rsid w:val="00322BB4"/>
    <w:rsid w:val="00323BD5"/>
    <w:rsid w:val="0032444F"/>
    <w:rsid w:val="00330965"/>
    <w:rsid w:val="003317E9"/>
    <w:rsid w:val="003368D9"/>
    <w:rsid w:val="0034149D"/>
    <w:rsid w:val="003474EB"/>
    <w:rsid w:val="00352DE9"/>
    <w:rsid w:val="00357A4F"/>
    <w:rsid w:val="00360E4C"/>
    <w:rsid w:val="003630A3"/>
    <w:rsid w:val="00367A81"/>
    <w:rsid w:val="00375A04"/>
    <w:rsid w:val="00383D3E"/>
    <w:rsid w:val="00393D12"/>
    <w:rsid w:val="0039592D"/>
    <w:rsid w:val="003A3B61"/>
    <w:rsid w:val="003A4463"/>
    <w:rsid w:val="003A5B06"/>
    <w:rsid w:val="003B2752"/>
    <w:rsid w:val="003B279F"/>
    <w:rsid w:val="003B548E"/>
    <w:rsid w:val="003C1D8B"/>
    <w:rsid w:val="003D4941"/>
    <w:rsid w:val="003E3FE0"/>
    <w:rsid w:val="003F0A6E"/>
    <w:rsid w:val="003F7928"/>
    <w:rsid w:val="00410223"/>
    <w:rsid w:val="004206FC"/>
    <w:rsid w:val="004249CC"/>
    <w:rsid w:val="004325A9"/>
    <w:rsid w:val="00436216"/>
    <w:rsid w:val="004411AF"/>
    <w:rsid w:val="004463F0"/>
    <w:rsid w:val="00450B16"/>
    <w:rsid w:val="00453AC7"/>
    <w:rsid w:val="00467C6D"/>
    <w:rsid w:val="00484577"/>
    <w:rsid w:val="00490F0A"/>
    <w:rsid w:val="0049322D"/>
    <w:rsid w:val="004B4A00"/>
    <w:rsid w:val="004B78DF"/>
    <w:rsid w:val="004B7C9C"/>
    <w:rsid w:val="004C11D0"/>
    <w:rsid w:val="004C1F4A"/>
    <w:rsid w:val="004C228F"/>
    <w:rsid w:val="004C2652"/>
    <w:rsid w:val="004C3640"/>
    <w:rsid w:val="004D2A71"/>
    <w:rsid w:val="004E5449"/>
    <w:rsid w:val="004E71C8"/>
    <w:rsid w:val="004F26D8"/>
    <w:rsid w:val="00501AEF"/>
    <w:rsid w:val="00510491"/>
    <w:rsid w:val="0051323D"/>
    <w:rsid w:val="00513AA2"/>
    <w:rsid w:val="00516FC6"/>
    <w:rsid w:val="00520682"/>
    <w:rsid w:val="00520CC3"/>
    <w:rsid w:val="00543D1D"/>
    <w:rsid w:val="005519C0"/>
    <w:rsid w:val="005643E7"/>
    <w:rsid w:val="005673B8"/>
    <w:rsid w:val="0057445A"/>
    <w:rsid w:val="00580FBF"/>
    <w:rsid w:val="0058192C"/>
    <w:rsid w:val="00583540"/>
    <w:rsid w:val="00587D4A"/>
    <w:rsid w:val="005A60DA"/>
    <w:rsid w:val="005B3735"/>
    <w:rsid w:val="005C1082"/>
    <w:rsid w:val="005C3FC8"/>
    <w:rsid w:val="005D0381"/>
    <w:rsid w:val="005D2A85"/>
    <w:rsid w:val="005D4F7F"/>
    <w:rsid w:val="005E3280"/>
    <w:rsid w:val="005F67F5"/>
    <w:rsid w:val="00614C52"/>
    <w:rsid w:val="00615CE4"/>
    <w:rsid w:val="00630301"/>
    <w:rsid w:val="00631852"/>
    <w:rsid w:val="0063461F"/>
    <w:rsid w:val="00645225"/>
    <w:rsid w:val="00650527"/>
    <w:rsid w:val="00665078"/>
    <w:rsid w:val="00671985"/>
    <w:rsid w:val="00676946"/>
    <w:rsid w:val="00681185"/>
    <w:rsid w:val="00687F2E"/>
    <w:rsid w:val="00692E83"/>
    <w:rsid w:val="006A36BC"/>
    <w:rsid w:val="006C328F"/>
    <w:rsid w:val="006C4E21"/>
    <w:rsid w:val="006C5A29"/>
    <w:rsid w:val="006C6C96"/>
    <w:rsid w:val="006D233F"/>
    <w:rsid w:val="006D3310"/>
    <w:rsid w:val="006E5FB5"/>
    <w:rsid w:val="006F0D14"/>
    <w:rsid w:val="006F1669"/>
    <w:rsid w:val="006F383D"/>
    <w:rsid w:val="006F607F"/>
    <w:rsid w:val="0070458C"/>
    <w:rsid w:val="00714E1C"/>
    <w:rsid w:val="00716944"/>
    <w:rsid w:val="00723DA9"/>
    <w:rsid w:val="00724485"/>
    <w:rsid w:val="00726223"/>
    <w:rsid w:val="007270FA"/>
    <w:rsid w:val="0072727B"/>
    <w:rsid w:val="007613C0"/>
    <w:rsid w:val="00762D57"/>
    <w:rsid w:val="007763D0"/>
    <w:rsid w:val="00776F52"/>
    <w:rsid w:val="00792E82"/>
    <w:rsid w:val="0079711A"/>
    <w:rsid w:val="007B1CE1"/>
    <w:rsid w:val="007D7E9F"/>
    <w:rsid w:val="007E2016"/>
    <w:rsid w:val="0081067A"/>
    <w:rsid w:val="00821124"/>
    <w:rsid w:val="00826556"/>
    <w:rsid w:val="008306B0"/>
    <w:rsid w:val="008327A1"/>
    <w:rsid w:val="008408ED"/>
    <w:rsid w:val="00846E3F"/>
    <w:rsid w:val="00856308"/>
    <w:rsid w:val="00861F58"/>
    <w:rsid w:val="0086381E"/>
    <w:rsid w:val="00865857"/>
    <w:rsid w:val="00871547"/>
    <w:rsid w:val="00872B5A"/>
    <w:rsid w:val="0089356E"/>
    <w:rsid w:val="008C1041"/>
    <w:rsid w:val="008E215C"/>
    <w:rsid w:val="008F14C0"/>
    <w:rsid w:val="00924A9A"/>
    <w:rsid w:val="00925BE5"/>
    <w:rsid w:val="009359D3"/>
    <w:rsid w:val="00962802"/>
    <w:rsid w:val="00980F9C"/>
    <w:rsid w:val="00993839"/>
    <w:rsid w:val="00993A16"/>
    <w:rsid w:val="00997AA6"/>
    <w:rsid w:val="009A088C"/>
    <w:rsid w:val="009C21A8"/>
    <w:rsid w:val="009C4FD4"/>
    <w:rsid w:val="009E3488"/>
    <w:rsid w:val="009F575E"/>
    <w:rsid w:val="00A01A53"/>
    <w:rsid w:val="00A048F1"/>
    <w:rsid w:val="00A059D9"/>
    <w:rsid w:val="00A14BE3"/>
    <w:rsid w:val="00A25569"/>
    <w:rsid w:val="00A426C1"/>
    <w:rsid w:val="00A50C83"/>
    <w:rsid w:val="00A55E2E"/>
    <w:rsid w:val="00A606A8"/>
    <w:rsid w:val="00A75D8F"/>
    <w:rsid w:val="00A86DB9"/>
    <w:rsid w:val="00A87B84"/>
    <w:rsid w:val="00A87CDA"/>
    <w:rsid w:val="00A94FC7"/>
    <w:rsid w:val="00A95833"/>
    <w:rsid w:val="00A95953"/>
    <w:rsid w:val="00A96E57"/>
    <w:rsid w:val="00AA0878"/>
    <w:rsid w:val="00AC0B10"/>
    <w:rsid w:val="00AC1D47"/>
    <w:rsid w:val="00AC26EB"/>
    <w:rsid w:val="00B02BAA"/>
    <w:rsid w:val="00B342F8"/>
    <w:rsid w:val="00B37F63"/>
    <w:rsid w:val="00B40BAB"/>
    <w:rsid w:val="00B44292"/>
    <w:rsid w:val="00B50652"/>
    <w:rsid w:val="00B56942"/>
    <w:rsid w:val="00B635BA"/>
    <w:rsid w:val="00B668FB"/>
    <w:rsid w:val="00B671C7"/>
    <w:rsid w:val="00B764D8"/>
    <w:rsid w:val="00B86920"/>
    <w:rsid w:val="00B87F4C"/>
    <w:rsid w:val="00B90B9A"/>
    <w:rsid w:val="00BC2054"/>
    <w:rsid w:val="00BC78DD"/>
    <w:rsid w:val="00BD7D3F"/>
    <w:rsid w:val="00BF7271"/>
    <w:rsid w:val="00C050FD"/>
    <w:rsid w:val="00C10C13"/>
    <w:rsid w:val="00C17137"/>
    <w:rsid w:val="00C2430D"/>
    <w:rsid w:val="00C27913"/>
    <w:rsid w:val="00C304D7"/>
    <w:rsid w:val="00C30CFE"/>
    <w:rsid w:val="00C50466"/>
    <w:rsid w:val="00C512C3"/>
    <w:rsid w:val="00C60438"/>
    <w:rsid w:val="00C66932"/>
    <w:rsid w:val="00C74738"/>
    <w:rsid w:val="00C81A4C"/>
    <w:rsid w:val="00C82F76"/>
    <w:rsid w:val="00C84E06"/>
    <w:rsid w:val="00C85BA9"/>
    <w:rsid w:val="00CB0760"/>
    <w:rsid w:val="00CB2AFB"/>
    <w:rsid w:val="00CB37B8"/>
    <w:rsid w:val="00CB70AD"/>
    <w:rsid w:val="00CC0420"/>
    <w:rsid w:val="00CC31EA"/>
    <w:rsid w:val="00CC3E72"/>
    <w:rsid w:val="00CC7E92"/>
    <w:rsid w:val="00CD0895"/>
    <w:rsid w:val="00CD370D"/>
    <w:rsid w:val="00CD455D"/>
    <w:rsid w:val="00CE145D"/>
    <w:rsid w:val="00CF6606"/>
    <w:rsid w:val="00CF7263"/>
    <w:rsid w:val="00D0357F"/>
    <w:rsid w:val="00D10D9D"/>
    <w:rsid w:val="00D125B1"/>
    <w:rsid w:val="00D27614"/>
    <w:rsid w:val="00D4305A"/>
    <w:rsid w:val="00D44201"/>
    <w:rsid w:val="00D65E46"/>
    <w:rsid w:val="00D700C0"/>
    <w:rsid w:val="00D735AA"/>
    <w:rsid w:val="00D80F44"/>
    <w:rsid w:val="00D84628"/>
    <w:rsid w:val="00D850AC"/>
    <w:rsid w:val="00D858E5"/>
    <w:rsid w:val="00DA0044"/>
    <w:rsid w:val="00DB4359"/>
    <w:rsid w:val="00DC17FB"/>
    <w:rsid w:val="00DC39BE"/>
    <w:rsid w:val="00DD0290"/>
    <w:rsid w:val="00DD474A"/>
    <w:rsid w:val="00DD74C4"/>
    <w:rsid w:val="00DE0D4F"/>
    <w:rsid w:val="00DF3B60"/>
    <w:rsid w:val="00DF57E5"/>
    <w:rsid w:val="00E0689C"/>
    <w:rsid w:val="00E15EB1"/>
    <w:rsid w:val="00E16771"/>
    <w:rsid w:val="00E16C69"/>
    <w:rsid w:val="00E300BB"/>
    <w:rsid w:val="00E7454C"/>
    <w:rsid w:val="00E84EFF"/>
    <w:rsid w:val="00E86E0A"/>
    <w:rsid w:val="00EC28F5"/>
    <w:rsid w:val="00EF0421"/>
    <w:rsid w:val="00EF3E66"/>
    <w:rsid w:val="00F2069A"/>
    <w:rsid w:val="00F322A6"/>
    <w:rsid w:val="00F324E6"/>
    <w:rsid w:val="00F40856"/>
    <w:rsid w:val="00F413E9"/>
    <w:rsid w:val="00F519FD"/>
    <w:rsid w:val="00F63174"/>
    <w:rsid w:val="00F7034A"/>
    <w:rsid w:val="00F740A9"/>
    <w:rsid w:val="00F81ABA"/>
    <w:rsid w:val="00FB0AED"/>
    <w:rsid w:val="00FC7468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7706"/>
  <w15:docId w15:val="{4EEF2164-01EB-43EA-8918-18ADE6FD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9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0D"/>
    <w:pPr>
      <w:ind w:left="720"/>
      <w:contextualSpacing/>
    </w:pPr>
  </w:style>
  <w:style w:type="character" w:customStyle="1" w:styleId="nlmstring-name">
    <w:name w:val="nlm_string-name"/>
    <w:basedOn w:val="DefaultParagraphFont"/>
    <w:rsid w:val="00A606A8"/>
  </w:style>
  <w:style w:type="character" w:styleId="Hyperlink">
    <w:name w:val="Hyperlink"/>
    <w:basedOn w:val="DefaultParagraphFont"/>
    <w:uiPriority w:val="99"/>
    <w:unhideWhenUsed/>
    <w:rsid w:val="001103B8"/>
    <w:rPr>
      <w:color w:val="0070C0"/>
      <w:u w:val="single"/>
    </w:rPr>
  </w:style>
  <w:style w:type="paragraph" w:customStyle="1" w:styleId="ResumeStyle1">
    <w:name w:val="ResumeStyle1"/>
    <w:basedOn w:val="TOAHeading"/>
    <w:link w:val="ResumeStyle1Char"/>
    <w:qFormat/>
    <w:rsid w:val="00C74738"/>
    <w:pPr>
      <w:widowControl w:val="0"/>
      <w:tabs>
        <w:tab w:val="left" w:pos="0"/>
        <w:tab w:val="right" w:pos="9360"/>
      </w:tabs>
      <w:suppressAutoHyphens/>
      <w:spacing w:before="0" w:after="0" w:line="240" w:lineRule="auto"/>
      <w:ind w:firstLine="432"/>
    </w:pPr>
    <w:rPr>
      <w:rFonts w:ascii="Times New Roman" w:eastAsia="Times New Roman" w:hAnsi="Times New Roman" w:cs="Times New Roman"/>
      <w:b w:val="0"/>
      <w:bCs w:val="0"/>
      <w:snapToGrid w:val="0"/>
    </w:rPr>
  </w:style>
  <w:style w:type="character" w:customStyle="1" w:styleId="ResumeStyle1Char">
    <w:name w:val="ResumeStyle1 Char"/>
    <w:basedOn w:val="DefaultParagraphFont"/>
    <w:link w:val="ResumeStyle1"/>
    <w:rsid w:val="00C74738"/>
    <w:rPr>
      <w:rFonts w:ascii="Times New Roman" w:eastAsia="Times New Roman" w:hAnsi="Times New Roman" w:cs="Times New Roman"/>
      <w:snapToGrid w:val="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C7473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5E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F0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E8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ovanquimby.github.io/pev_cord_charg/" TargetMode="External"/><Relationship Id="rId13" Type="http://schemas.openxmlformats.org/officeDocument/2006/relationships/hyperlink" Target="https://github.com/donovanquimby/em_gaussian_mixture_model_rank_reductio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novanquimby/isomap_nonlinear_dim_reduc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ovanquimby/binary_random_forest_classifier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novanquimby.github.io/d3_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ovanquimby.github.io/neroimaging_ensemb_models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26C4-7212-4A74-A3C0-CCC01404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Quimby CV</vt:lpstr>
    </vt:vector>
  </TitlesOfParts>
  <Company>Microsoft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Quimby CV</dc:title>
  <dc:subject/>
  <dc:creator>Donovan Quimby</dc:creator>
  <cp:keywords/>
  <dc:description/>
  <cp:lastModifiedBy>jeanne quimby</cp:lastModifiedBy>
  <cp:revision>2</cp:revision>
  <cp:lastPrinted>2022-01-16T19:05:00Z</cp:lastPrinted>
  <dcterms:created xsi:type="dcterms:W3CDTF">2022-08-14T15:53:00Z</dcterms:created>
  <dcterms:modified xsi:type="dcterms:W3CDTF">2022-08-14T15:53:00Z</dcterms:modified>
</cp:coreProperties>
</file>