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Prop Firm Scalping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 ] HTF Direction Clear (1H/4H bias confirmed)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 ] Clean FVG or S&amp;R Zone nearby on 15M/5M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 ] No high-impact news in the next 15 minutes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 ] SL setup available (under 1% risk)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 ] Entry confluences present (FVG + EMA + structure shift)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 ] Trade respects prop firm rules (daily loss, max drawdown)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 ] Reasonable RR (1.5R+ is ideal)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 ] Not overtrading (3 trades or less for the day) Win or Lose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 ] Emotionally neutral (not revenge trading or forcing setups)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 ] Protect capital - Move SL to BE or in profit, trail SL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 ] Journal screenshot and notes post-trade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 ] Check requirements on longevity of trade ( Required to be in a trade for a min of 5 min etc)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Don't trade like you're trying to get rich, Trade like you're trying to stay funded!!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Passing is about Consistency, not Aggression!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EXAMPLE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Daily Loss Limit  - 4%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Max Drawdown - 7%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Profit Target - 14%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Consistency Rule - 15% ( $14,000 profit target, Daily profit should not surpass $2,100)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(Profit target X 15% = Daily target)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Leverage - 1:3 indices, 1.:50 Forex etc ( $100,000 account, trading NAS, you can trade up to 0.14 lots) 1 lot= 100 X 21083=$2,108,300 trade value/ $300,000 ÷ $2,108,300=0.14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Challenge duration requirement - Usually none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News - Sometimes allowed with Swing accounts, but not one phase or regular challenges. I wouldn't recommend trying to trade news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