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color w:val="242424"/>
          <w:sz w:val="30"/>
          <w:szCs w:val="30"/>
        </w:rPr>
      </w:pPr>
      <w:r w:rsidDel="00000000" w:rsidR="00000000" w:rsidRPr="00000000">
        <w:rPr>
          <w:color w:val="242424"/>
          <w:sz w:val="30"/>
          <w:szCs w:val="30"/>
          <w:rtl w:val="0"/>
        </w:rPr>
        <w:t xml:space="preserve">Please Note: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color w:val="242424"/>
          <w:sz w:val="30"/>
          <w:szCs w:val="30"/>
        </w:rPr>
      </w:pPr>
      <w:r w:rsidDel="00000000" w:rsidR="00000000" w:rsidRPr="00000000">
        <w:rPr>
          <w:color w:val="242424"/>
          <w:sz w:val="30"/>
          <w:szCs w:val="30"/>
          <w:rtl w:val="0"/>
        </w:rPr>
        <w:t xml:space="preserve">Purchase of the SLS Strategy Vault includes access to previously recorded educational material only. It does not include any ongoing education, future updates, live sessions, consultation, one-on-one assistance, coaching, trade reviews, or direct support of any kind from Shea.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