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83B56"/>
          <w:sz w:val="68"/>
        </w:rPr>
        <w:t>VEYNLO</w:t>
      </w:r>
    </w:p>
    <w:p>
      <w:pPr>
        <w:jc w:val="center"/>
      </w:pPr>
      <w:r>
        <w:rPr>
          <w:b/>
          <w:color w:val="2B5D7C"/>
          <w:sz w:val="40"/>
        </w:rPr>
        <w:t>Production Architecture &amp; Deployment Blueprint</w:t>
      </w:r>
    </w:p>
    <w:p>
      <w:pPr>
        <w:jc w:val="center"/>
      </w:pPr>
      <w:r>
        <w:rPr>
          <w:i/>
        </w:rPr>
        <w:t>Updated architecture recommendation for development, staging, public launch, app-store distribution, scale, security, and disaster recovery</w:t>
      </w:r>
    </w:p>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Decision — </w:t>
            </w:r>
            <w:r>
              <w:t>AWS remains the recommended production cloud. The earlier architecture was strong, but this document intentionally upgrades several parts before they are frozen into the codebase: Aurora PostgreSQL Serverless v2 replaces a fixed RDS instance; production expands to three Availability Zones; webhook intake is separated into a serverless edge; AWS Control Tower governs a true multi-account environment; regional NAT is preferred where available; and subscription state is unified across Apple, Google, and web billing.</w:t>
            </w:r>
          </w:p>
        </w:tc>
      </w:tr>
    </w:tbl>
    <w:p/>
    <w:p>
      <w:pPr>
        <w:jc w:val="center"/>
      </w:pPr>
      <w:r>
        <w:rPr>
          <w:color w:val="6D7A86"/>
          <w:sz w:val="18"/>
        </w:rPr>
        <w:t>Architecture review date: August 28, 2026</w:t>
      </w:r>
    </w:p>
    <w:p>
      <w:r>
        <w:br w:type="page"/>
      </w:r>
    </w:p>
    <w:p>
      <w:pPr>
        <w:pStyle w:val="Heading1"/>
      </w:pPr>
      <w:r>
        <w:t>Contents</w:t>
      </w:r>
    </w:p>
    <w:p>
      <w:pPr>
        <w:spacing w:after="16" w:line="240" w:lineRule="auto"/>
        <w:ind w:left="144"/>
      </w:pPr>
      <w:r>
        <w:rPr>
          <w:sz w:val="16"/>
        </w:rPr>
        <w:t>1. Executive conclusion and changes from the earlier recommendation</w:t>
      </w:r>
    </w:p>
    <w:p>
      <w:pPr>
        <w:spacing w:after="16" w:line="240" w:lineRule="auto"/>
        <w:ind w:left="144"/>
      </w:pPr>
      <w:r>
        <w:rPr>
          <w:sz w:val="16"/>
        </w:rPr>
        <w:t>2. Architecture principles</w:t>
      </w:r>
    </w:p>
    <w:p>
      <w:pPr>
        <w:spacing w:after="16" w:line="240" w:lineRule="auto"/>
        <w:ind w:left="144"/>
      </w:pPr>
      <w:r>
        <w:rPr>
          <w:sz w:val="16"/>
        </w:rPr>
        <w:t>3. Final production stack at a glance</w:t>
      </w:r>
    </w:p>
    <w:p>
      <w:pPr>
        <w:spacing w:after="16" w:line="240" w:lineRule="auto"/>
        <w:ind w:left="144"/>
      </w:pPr>
      <w:r>
        <w:rPr>
          <w:sz w:val="16"/>
        </w:rPr>
        <w:t>4. Reference architecture</w:t>
      </w:r>
    </w:p>
    <w:p>
      <w:pPr>
        <w:spacing w:after="16" w:line="240" w:lineRule="auto"/>
        <w:ind w:left="144"/>
      </w:pPr>
      <w:r>
        <w:rPr>
          <w:sz w:val="16"/>
        </w:rPr>
        <w:t>5. AWS organization and account isolation</w:t>
      </w:r>
    </w:p>
    <w:p>
      <w:pPr>
        <w:spacing w:after="16" w:line="240" w:lineRule="auto"/>
        <w:ind w:left="144"/>
      </w:pPr>
      <w:r>
        <w:rPr>
          <w:sz w:val="16"/>
        </w:rPr>
        <w:t>6. Region and Availability Zone strategy</w:t>
      </w:r>
    </w:p>
    <w:p>
      <w:pPr>
        <w:spacing w:after="16" w:line="240" w:lineRule="auto"/>
        <w:ind w:left="144"/>
      </w:pPr>
      <w:r>
        <w:rPr>
          <w:sz w:val="16"/>
        </w:rPr>
        <w:t>7. VPC and networking</w:t>
      </w:r>
    </w:p>
    <w:p>
      <w:pPr>
        <w:spacing w:after="16" w:line="240" w:lineRule="auto"/>
        <w:ind w:left="144"/>
      </w:pPr>
      <w:r>
        <w:rPr>
          <w:sz w:val="16"/>
        </w:rPr>
        <w:t>8. DNS, TLS, edge, WAF, and DDoS protection</w:t>
      </w:r>
    </w:p>
    <w:p>
      <w:pPr>
        <w:spacing w:after="16" w:line="240" w:lineRule="auto"/>
        <w:ind w:left="144"/>
      </w:pPr>
      <w:r>
        <w:rPr>
          <w:sz w:val="16"/>
        </w:rPr>
        <w:t>9. Web frontend and marketing site</w:t>
      </w:r>
    </w:p>
    <w:p>
      <w:pPr>
        <w:pageBreakBefore w:val="0"/>
        <w:spacing w:after="16" w:line="240" w:lineRule="auto"/>
        <w:ind w:left="144"/>
      </w:pPr>
      <w:r>
        <w:rPr>
          <w:sz w:val="16"/>
        </w:rPr>
        <w:t>10. Core API compute</w:t>
      </w:r>
    </w:p>
    <w:p>
      <w:pPr>
        <w:pageBreakBefore w:val="0"/>
        <w:spacing w:after="16" w:line="240" w:lineRule="auto"/>
        <w:ind w:left="144"/>
      </w:pPr>
      <w:r>
        <w:rPr>
          <w:sz w:val="16"/>
        </w:rPr>
        <w:t>11. Dedicated webhook ingress</w:t>
      </w:r>
    </w:p>
    <w:p>
      <w:pPr>
        <w:pageBreakBefore w:val="0"/>
        <w:spacing w:after="16" w:line="240" w:lineRule="auto"/>
        <w:ind w:left="144"/>
      </w:pPr>
      <w:r>
        <w:rPr>
          <w:sz w:val="16"/>
        </w:rPr>
        <w:t>12. Background workers and asynchronous processing</w:t>
      </w:r>
    </w:p>
    <w:p>
      <w:pPr>
        <w:spacing w:after="16" w:line="240" w:lineRule="auto"/>
        <w:ind w:left="144"/>
      </w:pPr>
      <w:r>
        <w:rPr>
          <w:sz w:val="16"/>
        </w:rPr>
        <w:t>13. Queues, events, scheduling, and idempotency</w:t>
      </w:r>
    </w:p>
    <w:p>
      <w:pPr>
        <w:spacing w:after="16" w:line="240" w:lineRule="auto"/>
        <w:ind w:left="144"/>
      </w:pPr>
      <w:r>
        <w:rPr>
          <w:sz w:val="16"/>
        </w:rPr>
        <w:t>14. Primary database: Aurora PostgreSQL Serverless v2</w:t>
      </w:r>
    </w:p>
    <w:p>
      <w:pPr>
        <w:spacing w:after="16" w:line="240" w:lineRule="auto"/>
        <w:ind w:left="144"/>
      </w:pPr>
      <w:r>
        <w:rPr>
          <w:sz w:val="16"/>
        </w:rPr>
        <w:t>15. Database schema and data-access approach</w:t>
      </w:r>
    </w:p>
    <w:p>
      <w:pPr>
        <w:spacing w:after="16" w:line="240" w:lineRule="auto"/>
        <w:ind w:left="144"/>
      </w:pPr>
      <w:r>
        <w:rPr>
          <w:sz w:val="16"/>
        </w:rPr>
        <w:t>16. Cache and distributed coordination</w:t>
      </w:r>
    </w:p>
    <w:p>
      <w:pPr>
        <w:spacing w:after="16" w:line="240" w:lineRule="auto"/>
        <w:ind w:left="144"/>
      </w:pPr>
      <w:r>
        <w:rPr>
          <w:sz w:val="16"/>
        </w:rPr>
        <w:t>17. Private file and document storage</w:t>
      </w:r>
    </w:p>
    <w:p>
      <w:pPr>
        <w:spacing w:after="16" w:line="240" w:lineRule="auto"/>
        <w:ind w:left="144"/>
      </w:pPr>
      <w:r>
        <w:rPr>
          <w:sz w:val="16"/>
        </w:rPr>
        <w:t>18. Search and vector retrieval</w:t>
      </w:r>
    </w:p>
    <w:p>
      <w:pPr>
        <w:spacing w:after="16" w:line="240" w:lineRule="auto"/>
        <w:ind w:left="144"/>
      </w:pPr>
      <w:r>
        <w:rPr>
          <w:sz w:val="16"/>
        </w:rPr>
        <w:t>19. AI and document-intelligence architecture</w:t>
      </w:r>
    </w:p>
    <w:p>
      <w:pPr>
        <w:spacing w:after="16" w:line="240" w:lineRule="auto"/>
        <w:ind w:left="144"/>
      </w:pPr>
      <w:r>
        <w:rPr>
          <w:sz w:val="16"/>
        </w:rPr>
        <w:t>20. Authentication and user identity</w:t>
      </w:r>
    </w:p>
    <w:p>
      <w:pPr>
        <w:spacing w:after="16" w:line="240" w:lineRule="auto"/>
        <w:ind w:left="144"/>
      </w:pPr>
      <w:r>
        <w:rPr>
          <w:sz w:val="16"/>
        </w:rPr>
        <w:t>21. Connected-account OAuth token vault</w:t>
      </w:r>
    </w:p>
    <w:p>
      <w:pPr>
        <w:spacing w:after="16" w:line="240" w:lineRule="auto"/>
        <w:ind w:left="144"/>
      </w:pPr>
      <w:r>
        <w:rPr>
          <w:sz w:val="16"/>
        </w:rPr>
        <w:t>22. Billing, subscriptions, entitlements, and app stores</w:t>
      </w:r>
    </w:p>
    <w:p>
      <w:pPr>
        <w:spacing w:after="16" w:line="240" w:lineRule="auto"/>
        <w:ind w:left="144"/>
      </w:pPr>
      <w:r>
        <w:rPr>
          <w:sz w:val="16"/>
        </w:rPr>
        <w:t>23. Notifications and outbound communications</w:t>
      </w:r>
    </w:p>
    <w:p>
      <w:pPr>
        <w:spacing w:after="16" w:line="240" w:lineRule="auto"/>
        <w:ind w:left="144"/>
      </w:pPr>
      <w:r>
        <w:rPr>
          <w:sz w:val="16"/>
        </w:rPr>
        <w:t>24. Local, development, staging, and production environments</w:t>
      </w:r>
    </w:p>
    <w:p>
      <w:pPr>
        <w:spacing w:after="16" w:line="240" w:lineRule="auto"/>
        <w:ind w:left="144"/>
      </w:pPr>
      <w:r>
        <w:rPr>
          <w:sz w:val="16"/>
        </w:rPr>
        <w:t>25. CI/CD and release management</w:t>
      </w:r>
    </w:p>
    <w:p>
      <w:pPr>
        <w:spacing w:after="16" w:line="240" w:lineRule="auto"/>
        <w:ind w:left="144"/>
      </w:pPr>
      <w:r>
        <w:rPr>
          <w:sz w:val="16"/>
        </w:rPr>
        <w:t>26. iOS/iPadOS and Android production builds</w:t>
      </w:r>
    </w:p>
    <w:p>
      <w:pPr>
        <w:spacing w:after="16" w:line="240" w:lineRule="auto"/>
        <w:ind w:left="144"/>
      </w:pPr>
      <w:r>
        <w:rPr>
          <w:sz w:val="16"/>
        </w:rPr>
        <w:t>27. macOS and Windows distribution</w:t>
      </w:r>
    </w:p>
    <w:p>
      <w:pPr>
        <w:spacing w:after="16" w:line="240" w:lineRule="auto"/>
        <w:ind w:left="144"/>
      </w:pPr>
      <w:r>
        <w:rPr>
          <w:sz w:val="16"/>
        </w:rPr>
        <w:t>28. Security baseline and privacy controls</w:t>
      </w:r>
    </w:p>
    <w:p>
      <w:pPr>
        <w:spacing w:after="16" w:line="240" w:lineRule="auto"/>
        <w:ind w:left="144"/>
      </w:pPr>
      <w:r>
        <w:rPr>
          <w:sz w:val="16"/>
        </w:rPr>
        <w:t>29. Backup, restore, and disaster recovery</w:t>
      </w:r>
    </w:p>
    <w:p>
      <w:pPr>
        <w:spacing w:after="16" w:line="240" w:lineRule="auto"/>
        <w:ind w:left="144"/>
      </w:pPr>
      <w:r>
        <w:rPr>
          <w:sz w:val="16"/>
        </w:rPr>
        <w:t>30. Observability, monitoring, and operational tooling</w:t>
      </w:r>
    </w:p>
    <w:p>
      <w:pPr>
        <w:spacing w:after="16" w:line="240" w:lineRule="auto"/>
        <w:ind w:left="144"/>
      </w:pPr>
      <w:r>
        <w:rPr>
          <w:sz w:val="16"/>
        </w:rPr>
        <w:t>31. Exact public-launch sizing</w:t>
      </w:r>
    </w:p>
    <w:p>
      <w:pPr>
        <w:spacing w:after="16" w:line="240" w:lineRule="auto"/>
        <w:ind w:left="144"/>
      </w:pPr>
      <w:r>
        <w:rPr>
          <w:sz w:val="16"/>
        </w:rPr>
        <w:t>32. Autoscaling rules</w:t>
      </w:r>
    </w:p>
    <w:p>
      <w:pPr>
        <w:spacing w:after="16" w:line="240" w:lineRule="auto"/>
        <w:ind w:left="144"/>
      </w:pPr>
      <w:r>
        <w:rPr>
          <w:sz w:val="16"/>
        </w:rPr>
        <w:t>33. Cost controls</w:t>
      </w:r>
    </w:p>
    <w:p>
      <w:pPr>
        <w:spacing w:after="16" w:line="240" w:lineRule="auto"/>
        <w:ind w:left="144"/>
      </w:pPr>
      <w:r>
        <w:rPr>
          <w:sz w:val="16"/>
        </w:rPr>
        <w:t>34. Scaling path from launch to very large consumer scale</w:t>
      </w:r>
    </w:p>
    <w:p>
      <w:pPr>
        <w:spacing w:after="16" w:line="240" w:lineRule="auto"/>
        <w:ind w:left="144"/>
      </w:pPr>
      <w:r>
        <w:rPr>
          <w:sz w:val="16"/>
        </w:rPr>
        <w:t>35. What should not be used as Veynlo's core architecture</w:t>
      </w:r>
    </w:p>
    <w:p>
      <w:pPr>
        <w:spacing w:after="16" w:line="240" w:lineRule="auto"/>
        <w:ind w:left="144"/>
      </w:pPr>
      <w:r>
        <w:rPr>
          <w:sz w:val="16"/>
        </w:rPr>
        <w:t>36. Production-readiness migration checklist</w:t>
      </w:r>
    </w:p>
    <w:p>
      <w:pPr>
        <w:spacing w:after="16" w:line="240" w:lineRule="auto"/>
        <w:ind w:left="144"/>
      </w:pPr>
      <w:r>
        <w:rPr>
          <w:sz w:val="16"/>
        </w:rPr>
        <w:t>37. Requirements Claude should follow now</w:t>
      </w:r>
    </w:p>
    <w:p>
      <w:pPr>
        <w:spacing w:after="16" w:line="240" w:lineRule="auto"/>
        <w:ind w:left="144"/>
      </w:pPr>
      <w:r>
        <w:rPr>
          <w:sz w:val="16"/>
        </w:rPr>
        <w:t>38. Final recommendation</w:t>
      </w:r>
    </w:p>
    <w:p>
      <w:pPr>
        <w:spacing w:after="16" w:line="240" w:lineRule="auto"/>
        <w:ind w:left="144"/>
      </w:pPr>
      <w:r>
        <w:rPr>
          <w:sz w:val="16"/>
        </w:rPr>
        <w:t>Appendix A. Domain and environment naming</w:t>
      </w:r>
    </w:p>
    <w:p>
      <w:pPr>
        <w:spacing w:after="16" w:line="240" w:lineRule="auto"/>
        <w:ind w:left="144"/>
      </w:pPr>
      <w:r>
        <w:rPr>
          <w:sz w:val="16"/>
        </w:rPr>
        <w:t>Appendix B. Service inventory</w:t>
      </w:r>
    </w:p>
    <w:p>
      <w:pPr>
        <w:spacing w:after="16" w:line="240" w:lineRule="auto"/>
        <w:ind w:left="144"/>
      </w:pPr>
      <w:r>
        <w:rPr>
          <w:sz w:val="16"/>
        </w:rPr>
        <w:t>Appendix C. Verified current platform facts and sources</w:t>
      </w:r>
    </w:p>
    <w:p>
      <w:pPr>
        <w:spacing w:after="16"/>
      </w:pPr>
      <w:r>
        <w:rPr>
          <w:sz w:val="16"/>
        </w:rPr>
        <w:br w:type="page"/>
      </w:r>
    </w:p>
    <w:p>
      <w:pPr>
        <w:pStyle w:val="Heading1"/>
      </w:pPr>
      <w:r>
        <w:t>1. Executive conclusion and changes from the earlier recommendation</w:t>
      </w:r>
    </w:p>
    <w:p>
      <w:r>
        <w:t>There is no architecture that is literally “the absolute best” for every company, workload, budget, team, and future. There is, however, a best-fit architecture for the product Veynlo is intended to become. After re-checking the current AWS capabilities, deployment model, mobile-store requirements, security boundaries, and likely workload pattern, the architecture in this document is the one I would choose if I were building Veynlo for a real public launch today.</w:t>
      </w:r>
    </w:p>
    <w:p>
      <w:r>
        <w:t>The original recommendation was directionally correct: AWS, containerized TypeScript services, PostgreSQL, S3, queues, managed cache, Cognito, KMS, WAF, Terraform, and separate environments remain the right foundation. I would not freeze every earlier detail unchanged, because several improvements materially reduce future migration risk.</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83B56"/>
            <w:tcMar>
              <w:top w:w="80" w:type="dxa"/>
              <w:start w:w="80" w:type="dxa"/>
              <w:bottom w:w="80" w:type="dxa"/>
              <w:end w:w="80" w:type="dxa"/>
            </w:tcMar>
          </w:tcPr>
          <w:p>
            <w:r>
              <w:rPr>
                <w:b/>
                <w:color w:val="FFFFFF"/>
                <w:sz w:val="16"/>
              </w:rPr>
              <w:t>Earlier recommendation</w:t>
            </w:r>
          </w:p>
        </w:tc>
        <w:tc>
          <w:tcPr>
            <w:tcW w:type="dxa" w:w="3312"/>
            <w:shd w:fill="183B56"/>
            <w:tcMar>
              <w:top w:w="80" w:type="dxa"/>
              <w:start w:w="80" w:type="dxa"/>
              <w:bottom w:w="80" w:type="dxa"/>
              <w:end w:w="80" w:type="dxa"/>
            </w:tcMar>
          </w:tcPr>
          <w:p>
            <w:r>
              <w:rPr>
                <w:b/>
                <w:color w:val="FFFFFF"/>
                <w:sz w:val="16"/>
              </w:rPr>
              <w:t>Updated recommendation</w:t>
            </w:r>
          </w:p>
        </w:tc>
        <w:tc>
          <w:tcPr>
            <w:tcW w:type="dxa" w:w="4464"/>
            <w:shd w:fill="183B56"/>
            <w:tcMar>
              <w:top w:w="80" w:type="dxa"/>
              <w:start w:w="80" w:type="dxa"/>
              <w:bottom w:w="80" w:type="dxa"/>
              <w:end w:w="80" w:type="dxa"/>
            </w:tcMar>
          </w:tcPr>
          <w:p>
            <w:r>
              <w:rPr>
                <w:b/>
                <w:color w:val="FFFFFF"/>
                <w:sz w:val="16"/>
              </w:rPr>
              <w:t>Why the change matters</w:t>
            </w:r>
          </w:p>
        </w:tc>
      </w:tr>
      <w:tr>
        <w:tc>
          <w:tcPr>
            <w:tcW w:type="dxa" w:w="2592"/>
            <w:vAlign w:val="top"/>
            <w:shd w:fill="F4F7F9"/>
            <w:tcMar>
              <w:top w:w="80" w:type="dxa"/>
              <w:start w:w="80" w:type="dxa"/>
              <w:bottom w:w="80" w:type="dxa"/>
              <w:end w:w="80" w:type="dxa"/>
            </w:tcMar>
          </w:tcPr>
          <w:p>
            <w:pPr>
              <w:spacing w:after="20"/>
            </w:pPr>
            <w:r>
              <w:rPr>
                <w:sz w:val="16"/>
              </w:rPr>
              <w:t>RDS PostgreSQL on a fixed db.t4g.large</w:t>
            </w:r>
          </w:p>
        </w:tc>
        <w:tc>
          <w:tcPr>
            <w:tcW w:type="dxa" w:w="3312"/>
            <w:vAlign w:val="top"/>
            <w:shd w:fill="F4F7F9"/>
            <w:tcMar>
              <w:top w:w="80" w:type="dxa"/>
              <w:start w:w="80" w:type="dxa"/>
              <w:bottom w:w="80" w:type="dxa"/>
              <w:end w:w="80" w:type="dxa"/>
            </w:tcMar>
          </w:tcPr>
          <w:p>
            <w:pPr>
              <w:spacing w:after="20"/>
            </w:pPr>
            <w:r>
              <w:rPr>
                <w:sz w:val="16"/>
              </w:rPr>
              <w:t>Aurora PostgreSQL 17.7 LTS Serverless v2, writer + hot reader</w:t>
            </w:r>
          </w:p>
        </w:tc>
        <w:tc>
          <w:tcPr>
            <w:tcW w:type="dxa" w:w="4464"/>
            <w:vAlign w:val="top"/>
            <w:shd w:fill="F4F7F9"/>
            <w:tcMar>
              <w:top w:w="80" w:type="dxa"/>
              <w:start w:w="80" w:type="dxa"/>
              <w:bottom w:w="80" w:type="dxa"/>
              <w:end w:w="80" w:type="dxa"/>
            </w:tcMar>
          </w:tcPr>
          <w:p>
            <w:pPr>
              <w:spacing w:after="20"/>
            </w:pPr>
            <w:r>
              <w:rPr>
                <w:sz w:val="16"/>
              </w:rPr>
              <w:t>Better fit for unpredictable consumer growth, automatic capacity scaling, Aurora storage durability across three AZs, and an easier path to very high database scale.</w:t>
            </w:r>
          </w:p>
        </w:tc>
      </w:tr>
      <w:tr>
        <w:tc>
          <w:tcPr>
            <w:tcW w:type="dxa" w:w="2592"/>
            <w:vAlign w:val="top"/>
            <w:tcMar>
              <w:top w:w="80" w:type="dxa"/>
              <w:start w:w="80" w:type="dxa"/>
              <w:bottom w:w="80" w:type="dxa"/>
              <w:end w:w="80" w:type="dxa"/>
            </w:tcMar>
          </w:tcPr>
          <w:p>
            <w:pPr>
              <w:spacing w:after="20"/>
            </w:pPr>
            <w:r>
              <w:rPr>
                <w:sz w:val="16"/>
              </w:rPr>
              <w:t>Two-AZ production baseline</w:t>
            </w:r>
          </w:p>
        </w:tc>
        <w:tc>
          <w:tcPr>
            <w:tcW w:type="dxa" w:w="3312"/>
            <w:vAlign w:val="top"/>
            <w:tcMar>
              <w:top w:w="80" w:type="dxa"/>
              <w:start w:w="80" w:type="dxa"/>
              <w:bottom w:w="80" w:type="dxa"/>
              <w:end w:w="80" w:type="dxa"/>
            </w:tcMar>
          </w:tcPr>
          <w:p>
            <w:pPr>
              <w:spacing w:after="20"/>
            </w:pPr>
            <w:r>
              <w:rPr>
                <w:sz w:val="16"/>
              </w:rPr>
              <w:t>Three-AZ application/network footprint</w:t>
            </w:r>
          </w:p>
        </w:tc>
        <w:tc>
          <w:tcPr>
            <w:tcW w:type="dxa" w:w="4464"/>
            <w:vAlign w:val="top"/>
            <w:tcMar>
              <w:top w:w="80" w:type="dxa"/>
              <w:start w:w="80" w:type="dxa"/>
              <w:bottom w:w="80" w:type="dxa"/>
              <w:end w:w="80" w:type="dxa"/>
            </w:tcMar>
          </w:tcPr>
          <w:p>
            <w:pPr>
              <w:spacing w:after="20"/>
            </w:pPr>
            <w:r>
              <w:rPr>
                <w:sz w:val="16"/>
              </w:rPr>
              <w:t>A three-AZ footprint reduces dependence on any single zone and gives the scheduler more room to keep API and worker capacity available.</w:t>
            </w:r>
          </w:p>
        </w:tc>
      </w:tr>
      <w:tr>
        <w:tc>
          <w:tcPr>
            <w:tcW w:type="dxa" w:w="2592"/>
            <w:vAlign w:val="top"/>
            <w:shd w:fill="F4F7F9"/>
            <w:tcMar>
              <w:top w:w="80" w:type="dxa"/>
              <w:start w:w="80" w:type="dxa"/>
              <w:bottom w:w="80" w:type="dxa"/>
              <w:end w:w="80" w:type="dxa"/>
            </w:tcMar>
          </w:tcPr>
          <w:p>
            <w:pPr>
              <w:spacing w:after="20"/>
            </w:pPr>
            <w:r>
              <w:rPr>
                <w:sz w:val="16"/>
              </w:rPr>
              <w:t>Conventional per-AZ NAT gateways</w:t>
            </w:r>
          </w:p>
        </w:tc>
        <w:tc>
          <w:tcPr>
            <w:tcW w:type="dxa" w:w="3312"/>
            <w:vAlign w:val="top"/>
            <w:shd w:fill="F4F7F9"/>
            <w:tcMar>
              <w:top w:w="80" w:type="dxa"/>
              <w:start w:w="80" w:type="dxa"/>
              <w:bottom w:w="80" w:type="dxa"/>
              <w:end w:w="80" w:type="dxa"/>
            </w:tcMar>
          </w:tcPr>
          <w:p>
            <w:pPr>
              <w:spacing w:after="20"/>
            </w:pPr>
            <w:r>
              <w:rPr>
                <w:sz w:val="16"/>
              </w:rPr>
              <w:t>Regional NAT Gateway where supported; per-AZ zonal NAT as fallback</w:t>
            </w:r>
          </w:p>
        </w:tc>
        <w:tc>
          <w:tcPr>
            <w:tcW w:type="dxa" w:w="4464"/>
            <w:vAlign w:val="top"/>
            <w:shd w:fill="F4F7F9"/>
            <w:tcMar>
              <w:top w:w="80" w:type="dxa"/>
              <w:start w:w="80" w:type="dxa"/>
              <w:bottom w:w="80" w:type="dxa"/>
              <w:end w:w="80" w:type="dxa"/>
            </w:tcMar>
          </w:tcPr>
          <w:p>
            <w:pPr>
              <w:spacing w:after="20"/>
            </w:pPr>
            <w:r>
              <w:rPr>
                <w:sz w:val="16"/>
              </w:rPr>
              <w:t>AWS now offers regional NAT that automatically expands across workload AZs, simplifying high-availability egress.</w:t>
            </w:r>
          </w:p>
        </w:tc>
      </w:tr>
      <w:tr>
        <w:tc>
          <w:tcPr>
            <w:tcW w:type="dxa" w:w="2592"/>
            <w:vAlign w:val="top"/>
            <w:tcMar>
              <w:top w:w="80" w:type="dxa"/>
              <w:start w:w="80" w:type="dxa"/>
              <w:bottom w:w="80" w:type="dxa"/>
              <w:end w:w="80" w:type="dxa"/>
            </w:tcMar>
          </w:tcPr>
          <w:p>
            <w:pPr>
              <w:spacing w:after="20"/>
            </w:pPr>
            <w:r>
              <w:rPr>
                <w:sz w:val="16"/>
              </w:rPr>
              <w:t>Webhooks handled by the ordinary API</w:t>
            </w:r>
          </w:p>
        </w:tc>
        <w:tc>
          <w:tcPr>
            <w:tcW w:type="dxa" w:w="3312"/>
            <w:vAlign w:val="top"/>
            <w:tcMar>
              <w:top w:w="80" w:type="dxa"/>
              <w:start w:w="80" w:type="dxa"/>
              <w:bottom w:w="80" w:type="dxa"/>
              <w:end w:w="80" w:type="dxa"/>
            </w:tcMar>
          </w:tcPr>
          <w:p>
            <w:pPr>
              <w:spacing w:after="20"/>
            </w:pPr>
            <w:r>
              <w:rPr>
                <w:sz w:val="16"/>
              </w:rPr>
              <w:t>API Gateway + Lambda webhook edge that validates quickly and enqueues work</w:t>
            </w:r>
          </w:p>
        </w:tc>
        <w:tc>
          <w:tcPr>
            <w:tcW w:type="dxa" w:w="4464"/>
            <w:vAlign w:val="top"/>
            <w:tcMar>
              <w:top w:w="80" w:type="dxa"/>
              <w:start w:w="80" w:type="dxa"/>
              <w:bottom w:w="80" w:type="dxa"/>
              <w:end w:w="80" w:type="dxa"/>
            </w:tcMar>
          </w:tcPr>
          <w:p>
            <w:pPr>
              <w:spacing w:after="20"/>
            </w:pPr>
            <w:r>
              <w:rPr>
                <w:sz w:val="16"/>
              </w:rPr>
              <w:t>Provider webhooks must be acknowledged quickly; a tiny serverless edge isolates bursts and protects the main API.</w:t>
            </w:r>
          </w:p>
        </w:tc>
      </w:tr>
      <w:tr>
        <w:tc>
          <w:tcPr>
            <w:tcW w:type="dxa" w:w="2592"/>
            <w:vAlign w:val="top"/>
            <w:shd w:fill="F4F7F9"/>
            <w:tcMar>
              <w:top w:w="80" w:type="dxa"/>
              <w:start w:w="80" w:type="dxa"/>
              <w:bottom w:w="80" w:type="dxa"/>
              <w:end w:w="80" w:type="dxa"/>
            </w:tcMar>
          </w:tcPr>
          <w:p>
            <w:pPr>
              <w:spacing w:after="20"/>
            </w:pPr>
            <w:r>
              <w:rPr>
                <w:sz w:val="16"/>
              </w:rPr>
              <w:t>Basic separate AWS accounts</w:t>
            </w:r>
          </w:p>
        </w:tc>
        <w:tc>
          <w:tcPr>
            <w:tcW w:type="dxa" w:w="3312"/>
            <w:vAlign w:val="top"/>
            <w:shd w:fill="F4F7F9"/>
            <w:tcMar>
              <w:top w:w="80" w:type="dxa"/>
              <w:start w:w="80" w:type="dxa"/>
              <w:bottom w:w="80" w:type="dxa"/>
              <w:end w:w="80" w:type="dxa"/>
            </w:tcMar>
          </w:tcPr>
          <w:p>
            <w:pPr>
              <w:spacing w:after="20"/>
            </w:pPr>
            <w:r>
              <w:rPr>
                <w:sz w:val="16"/>
              </w:rPr>
              <w:t>AWS Control Tower landing zone with management, log archive, audit/security, dev, staging, prod, and backup/DR accounts</w:t>
            </w:r>
          </w:p>
        </w:tc>
        <w:tc>
          <w:tcPr>
            <w:tcW w:type="dxa" w:w="4464"/>
            <w:vAlign w:val="top"/>
            <w:shd w:fill="F4F7F9"/>
            <w:tcMar>
              <w:top w:w="80" w:type="dxa"/>
              <w:start w:w="80" w:type="dxa"/>
              <w:bottom w:w="80" w:type="dxa"/>
              <w:end w:w="80" w:type="dxa"/>
            </w:tcMar>
          </w:tcPr>
          <w:p>
            <w:pPr>
              <w:spacing w:after="20"/>
            </w:pPr>
            <w:r>
              <w:rPr>
                <w:sz w:val="16"/>
              </w:rPr>
              <w:t>Creates real security and blast-radius boundaries before customer data exists.</w:t>
            </w:r>
          </w:p>
        </w:tc>
      </w:tr>
      <w:tr>
        <w:tc>
          <w:tcPr>
            <w:tcW w:type="dxa" w:w="2592"/>
            <w:vAlign w:val="top"/>
            <w:tcMar>
              <w:top w:w="80" w:type="dxa"/>
              <w:start w:w="80" w:type="dxa"/>
              <w:bottom w:w="80" w:type="dxa"/>
              <w:end w:w="80" w:type="dxa"/>
            </w:tcMar>
          </w:tcPr>
          <w:p>
            <w:pPr>
              <w:spacing w:after="20"/>
            </w:pPr>
            <w:r>
              <w:rPr>
                <w:sz w:val="16"/>
              </w:rPr>
              <w:t>App-store billing handled per client</w:t>
            </w:r>
          </w:p>
        </w:tc>
        <w:tc>
          <w:tcPr>
            <w:tcW w:type="dxa" w:w="3312"/>
            <w:vAlign w:val="top"/>
            <w:tcMar>
              <w:top w:w="80" w:type="dxa"/>
              <w:start w:w="80" w:type="dxa"/>
              <w:bottom w:w="80" w:type="dxa"/>
              <w:end w:w="80" w:type="dxa"/>
            </w:tcMar>
          </w:tcPr>
          <w:p>
            <w:pPr>
              <w:spacing w:after="20"/>
            </w:pPr>
            <w:r>
              <w:rPr>
                <w:sz w:val="16"/>
              </w:rPr>
              <w:t>RevenueCat entitlement layer across Apple, Google Play, and web billing, with Stripe for web</w:t>
            </w:r>
          </w:p>
        </w:tc>
        <w:tc>
          <w:tcPr>
            <w:tcW w:type="dxa" w:w="4464"/>
            <w:vAlign w:val="top"/>
            <w:tcMar>
              <w:top w:w="80" w:type="dxa"/>
              <w:start w:w="80" w:type="dxa"/>
              <w:bottom w:w="80" w:type="dxa"/>
              <w:end w:w="80" w:type="dxa"/>
            </w:tcMar>
          </w:tcPr>
          <w:p>
            <w:pPr>
              <w:spacing w:after="20"/>
            </w:pPr>
            <w:r>
              <w:rPr>
                <w:sz w:val="16"/>
              </w:rPr>
              <w:t>Prevents subscription logic from splintering into three separate sources of truth.</w:t>
            </w:r>
          </w:p>
        </w:tc>
      </w:tr>
    </w:tbl>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Bottom line — </w:t>
            </w:r>
            <w:r>
              <w:t>Build locally and in non-production using the same containers, schemas, interfaces, migration system, and infrastructure definitions that production will use. Production should be a capacity/configuration change, not a rewrite.</w:t>
            </w:r>
          </w:p>
        </w:tc>
      </w:tr>
    </w:tbl>
    <w:p/>
    <w:p>
      <w:pPr>
        <w:pStyle w:val="Heading1"/>
      </w:pPr>
      <w:r>
        <w:t>2. Architecture principles</w:t>
      </w:r>
    </w:p>
    <w:p>
      <w:pPr>
        <w:pStyle w:val="ListBullet"/>
        <w:spacing w:after="40"/>
      </w:pPr>
      <w:r>
        <w:t>No single Veynlo server. API, ingestion, AI/document work, database, cache, queues, storage, and notifications scale independently.</w:t>
      </w:r>
    </w:p>
    <w:p>
      <w:pPr>
        <w:pStyle w:val="ListBullet"/>
        <w:spacing w:after="40"/>
      </w:pPr>
      <w:r>
        <w:t>Stateless application containers. Anything that must survive a task restart belongs in Aurora, S3, Valkey only when ephemeral, or a durable queue.</w:t>
      </w:r>
    </w:p>
    <w:p>
      <w:pPr>
        <w:pStyle w:val="ListBullet"/>
        <w:spacing w:after="40"/>
      </w:pPr>
      <w:r>
        <w:t>Managed services before self-managed infrastructure. Veynlo should spend engineering effort on the product, not operating PostgreSQL, Redis, load balancers, or Kubernetes control planes.</w:t>
      </w:r>
    </w:p>
    <w:p>
      <w:pPr>
        <w:pStyle w:val="ListBullet"/>
        <w:spacing w:after="40"/>
      </w:pPr>
      <w:r>
        <w:t>Production isolation by AWS account, not just by environment variables.</w:t>
      </w:r>
    </w:p>
    <w:p>
      <w:pPr>
        <w:pStyle w:val="ListBullet"/>
        <w:spacing w:after="40"/>
      </w:pPr>
      <w:r>
        <w:t>Three Availability Zones for public production application traffic; no production database or application task receives a public IP.</w:t>
      </w:r>
    </w:p>
    <w:p>
      <w:pPr>
        <w:pStyle w:val="ListBullet"/>
        <w:spacing w:after="40"/>
      </w:pPr>
      <w:r>
        <w:t>Event-driven ingestion. Provider changes are acknowledged quickly, queued durably, processed asynchronously, and made idempotent.</w:t>
      </w:r>
    </w:p>
    <w:p>
      <w:pPr>
        <w:pStyle w:val="ListBullet"/>
        <w:spacing w:after="40"/>
      </w:pPr>
      <w:r>
        <w:t>PostgreSQL is the transactional source of truth; S3 holds files/raw payloads; Valkey holds ephemeral state; SQS holds work; EventBridge distributes domain events.</w:t>
      </w:r>
    </w:p>
    <w:p>
      <w:pPr>
        <w:pStyle w:val="ListBullet"/>
        <w:spacing w:after="40"/>
      </w:pPr>
      <w:r>
        <w:t>The AI layer is replaceable. No domain logic should require one model vendor forever.</w:t>
      </w:r>
    </w:p>
    <w:p>
      <w:pPr>
        <w:pStyle w:val="ListBullet"/>
        <w:spacing w:after="40"/>
      </w:pPr>
      <w:r>
        <w:t>The mobile applications never contain server secrets. All privileged provider/API access occurs through the backend.</w:t>
      </w:r>
    </w:p>
    <w:p>
      <w:pPr>
        <w:pStyle w:val="ListBullet"/>
        <w:spacing w:after="40"/>
      </w:pPr>
      <w:r>
        <w:t>Every release environment uses the same migration discipline, container build pipeline, domain interfaces, and infrastructure-as-code.</w:t>
      </w:r>
    </w:p>
    <w:p>
      <w:pPr>
        <w:pStyle w:val="ListBullet"/>
        <w:spacing w:after="40"/>
      </w:pPr>
      <w:r>
        <w:t>Security and privacy are architectural concerns, not pre-launch cleanup work.</w:t>
      </w:r>
    </w:p>
    <w:p>
      <w:pPr>
        <w:pStyle w:val="Heading1"/>
      </w:pPr>
      <w:r>
        <w:t>3. Final production stack at a glance</w:t>
      </w:r>
    </w:p>
    <w:tbl>
      <w:tblPr>
        <w:tblStyle w:val="TableGrid"/>
        <w:tblW w:type="auto" w:w="0"/>
        <w:jc w:val="center"/>
        <w:tblLook w:firstColumn="1" w:firstRow="1" w:lastColumn="0" w:lastRow="0" w:noHBand="0" w:noVBand="1" w:val="04A0"/>
      </w:tblPr>
      <w:tblGrid>
        <w:gridCol w:w="3389"/>
        <w:gridCol w:w="3389"/>
        <w:gridCol w:w="3389"/>
      </w:tblGrid>
      <w:tr>
        <w:tc>
          <w:tcPr>
            <w:tcW w:type="dxa" w:w="2088"/>
            <w:shd w:fill="183B56"/>
            <w:tcMar>
              <w:top w:w="80" w:type="dxa"/>
              <w:start w:w="80" w:type="dxa"/>
              <w:bottom w:w="80" w:type="dxa"/>
              <w:end w:w="80" w:type="dxa"/>
            </w:tcMar>
          </w:tcPr>
          <w:p>
            <w:r>
              <w:rPr>
                <w:b/>
                <w:color w:val="FFFFFF"/>
                <w:sz w:val="15"/>
              </w:rPr>
              <w:t>Layer</w:t>
            </w:r>
          </w:p>
        </w:tc>
        <w:tc>
          <w:tcPr>
            <w:tcW w:type="dxa" w:w="3456"/>
            <w:shd w:fill="183B56"/>
            <w:tcMar>
              <w:top w:w="80" w:type="dxa"/>
              <w:start w:w="80" w:type="dxa"/>
              <w:bottom w:w="80" w:type="dxa"/>
              <w:end w:w="80" w:type="dxa"/>
            </w:tcMar>
          </w:tcPr>
          <w:p>
            <w:r>
              <w:rPr>
                <w:b/>
                <w:color w:val="FFFFFF"/>
                <w:sz w:val="15"/>
              </w:rPr>
              <w:t>Choice</w:t>
            </w:r>
          </w:p>
        </w:tc>
        <w:tc>
          <w:tcPr>
            <w:tcW w:type="dxa" w:w="4968"/>
            <w:shd w:fill="183B56"/>
            <w:tcMar>
              <w:top w:w="80" w:type="dxa"/>
              <w:start w:w="80" w:type="dxa"/>
              <w:bottom w:w="80" w:type="dxa"/>
              <w:end w:w="80" w:type="dxa"/>
            </w:tcMar>
          </w:tcPr>
          <w:p>
            <w:r>
              <w:rPr>
                <w:b/>
                <w:color w:val="FFFFFF"/>
                <w:sz w:val="15"/>
              </w:rPr>
              <w:t>Role</w:t>
            </w:r>
          </w:p>
        </w:tc>
      </w:tr>
      <w:tr>
        <w:tc>
          <w:tcPr>
            <w:tcW w:type="dxa" w:w="2088"/>
            <w:vAlign w:val="top"/>
            <w:shd w:fill="F4F7F9"/>
            <w:tcMar>
              <w:top w:w="80" w:type="dxa"/>
              <w:start w:w="80" w:type="dxa"/>
              <w:bottom w:w="80" w:type="dxa"/>
              <w:end w:w="80" w:type="dxa"/>
            </w:tcMar>
          </w:tcPr>
          <w:p>
            <w:pPr>
              <w:spacing w:after="20"/>
            </w:pPr>
            <w:r>
              <w:rPr>
                <w:sz w:val="15"/>
              </w:rPr>
              <w:t>Cloud</w:t>
            </w:r>
          </w:p>
        </w:tc>
        <w:tc>
          <w:tcPr>
            <w:tcW w:type="dxa" w:w="3456"/>
            <w:vAlign w:val="top"/>
            <w:shd w:fill="F4F7F9"/>
            <w:tcMar>
              <w:top w:w="80" w:type="dxa"/>
              <w:start w:w="80" w:type="dxa"/>
              <w:bottom w:w="80" w:type="dxa"/>
              <w:end w:w="80" w:type="dxa"/>
            </w:tcMar>
          </w:tcPr>
          <w:p>
            <w:pPr>
              <w:spacing w:after="20"/>
            </w:pPr>
            <w:r>
              <w:rPr>
                <w:sz w:val="15"/>
              </w:rPr>
              <w:t>AWS</w:t>
            </w:r>
          </w:p>
        </w:tc>
        <w:tc>
          <w:tcPr>
            <w:tcW w:type="dxa" w:w="4968"/>
            <w:vAlign w:val="top"/>
            <w:shd w:fill="F4F7F9"/>
            <w:tcMar>
              <w:top w:w="80" w:type="dxa"/>
              <w:start w:w="80" w:type="dxa"/>
              <w:bottom w:w="80" w:type="dxa"/>
              <w:end w:w="80" w:type="dxa"/>
            </w:tcMar>
          </w:tcPr>
          <w:p>
            <w:pPr>
              <w:spacing w:after="20"/>
            </w:pPr>
            <w:r>
              <w:rPr>
                <w:sz w:val="15"/>
              </w:rPr>
              <w:t>Primary production cloud and managed service platform.</w:t>
            </w:r>
          </w:p>
        </w:tc>
      </w:tr>
      <w:tr>
        <w:tc>
          <w:tcPr>
            <w:tcW w:type="dxa" w:w="2088"/>
            <w:vAlign w:val="top"/>
            <w:tcMar>
              <w:top w:w="80" w:type="dxa"/>
              <w:start w:w="80" w:type="dxa"/>
              <w:bottom w:w="80" w:type="dxa"/>
              <w:end w:w="80" w:type="dxa"/>
            </w:tcMar>
          </w:tcPr>
          <w:p>
            <w:pPr>
              <w:spacing w:after="20"/>
            </w:pPr>
            <w:r>
              <w:rPr>
                <w:sz w:val="15"/>
              </w:rPr>
              <w:t>Landing zone</w:t>
            </w:r>
          </w:p>
        </w:tc>
        <w:tc>
          <w:tcPr>
            <w:tcW w:type="dxa" w:w="3456"/>
            <w:vAlign w:val="top"/>
            <w:tcMar>
              <w:top w:w="80" w:type="dxa"/>
              <w:start w:w="80" w:type="dxa"/>
              <w:bottom w:w="80" w:type="dxa"/>
              <w:end w:w="80" w:type="dxa"/>
            </w:tcMar>
          </w:tcPr>
          <w:p>
            <w:pPr>
              <w:spacing w:after="20"/>
            </w:pPr>
            <w:r>
              <w:rPr>
                <w:sz w:val="15"/>
              </w:rPr>
              <w:t>AWS Control Tower + Organizations</w:t>
            </w:r>
          </w:p>
        </w:tc>
        <w:tc>
          <w:tcPr>
            <w:tcW w:type="dxa" w:w="4968"/>
            <w:vAlign w:val="top"/>
            <w:tcMar>
              <w:top w:w="80" w:type="dxa"/>
              <w:start w:w="80" w:type="dxa"/>
              <w:bottom w:w="80" w:type="dxa"/>
              <w:end w:w="80" w:type="dxa"/>
            </w:tcMar>
          </w:tcPr>
          <w:p>
            <w:pPr>
              <w:spacing w:after="20"/>
            </w:pPr>
            <w:r>
              <w:rPr>
                <w:sz w:val="15"/>
              </w:rPr>
              <w:t>Separate accounts, centralized audit/logging, governance controls.</w:t>
            </w:r>
          </w:p>
        </w:tc>
      </w:tr>
      <w:tr>
        <w:tc>
          <w:tcPr>
            <w:tcW w:type="dxa" w:w="2088"/>
            <w:vAlign w:val="top"/>
            <w:shd w:fill="F4F7F9"/>
            <w:tcMar>
              <w:top w:w="80" w:type="dxa"/>
              <w:start w:w="80" w:type="dxa"/>
              <w:bottom w:w="80" w:type="dxa"/>
              <w:end w:w="80" w:type="dxa"/>
            </w:tcMar>
          </w:tcPr>
          <w:p>
            <w:pPr>
              <w:spacing w:after="20"/>
            </w:pPr>
            <w:r>
              <w:rPr>
                <w:sz w:val="15"/>
              </w:rPr>
              <w:t>Primary region</w:t>
            </w:r>
          </w:p>
        </w:tc>
        <w:tc>
          <w:tcPr>
            <w:tcW w:type="dxa" w:w="3456"/>
            <w:vAlign w:val="top"/>
            <w:shd w:fill="F4F7F9"/>
            <w:tcMar>
              <w:top w:w="80" w:type="dxa"/>
              <w:start w:w="80" w:type="dxa"/>
              <w:bottom w:w="80" w:type="dxa"/>
              <w:end w:w="80" w:type="dxa"/>
            </w:tcMar>
          </w:tcPr>
          <w:p>
            <w:pPr>
              <w:spacing w:after="20"/>
            </w:pPr>
            <w:r>
              <w:rPr>
                <w:sz w:val="15"/>
              </w:rPr>
              <w:t>us-east-1</w:t>
            </w:r>
          </w:p>
        </w:tc>
        <w:tc>
          <w:tcPr>
            <w:tcW w:type="dxa" w:w="4968"/>
            <w:vAlign w:val="top"/>
            <w:shd w:fill="F4F7F9"/>
            <w:tcMar>
              <w:top w:w="80" w:type="dxa"/>
              <w:start w:w="80" w:type="dxa"/>
              <w:bottom w:w="80" w:type="dxa"/>
              <w:end w:w="80" w:type="dxa"/>
            </w:tcMar>
          </w:tcPr>
          <w:p>
            <w:pPr>
              <w:spacing w:after="20"/>
            </w:pPr>
            <w:r>
              <w:rPr>
                <w:sz w:val="15"/>
              </w:rPr>
              <w:t>Broad AWS service availability; secondary DR copies in us-west-2.</w:t>
            </w:r>
          </w:p>
        </w:tc>
      </w:tr>
      <w:tr>
        <w:tc>
          <w:tcPr>
            <w:tcW w:type="dxa" w:w="2088"/>
            <w:vAlign w:val="top"/>
            <w:tcMar>
              <w:top w:w="80" w:type="dxa"/>
              <w:start w:w="80" w:type="dxa"/>
              <w:bottom w:w="80" w:type="dxa"/>
              <w:end w:w="80" w:type="dxa"/>
            </w:tcMar>
          </w:tcPr>
          <w:p>
            <w:pPr>
              <w:spacing w:after="20"/>
            </w:pPr>
            <w:r>
              <w:rPr>
                <w:sz w:val="15"/>
              </w:rPr>
              <w:t>Availability zones</w:t>
            </w:r>
          </w:p>
        </w:tc>
        <w:tc>
          <w:tcPr>
            <w:tcW w:type="dxa" w:w="3456"/>
            <w:vAlign w:val="top"/>
            <w:tcMar>
              <w:top w:w="80" w:type="dxa"/>
              <w:start w:w="80" w:type="dxa"/>
              <w:bottom w:w="80" w:type="dxa"/>
              <w:end w:w="80" w:type="dxa"/>
            </w:tcMar>
          </w:tcPr>
          <w:p>
            <w:pPr>
              <w:spacing w:after="20"/>
            </w:pPr>
            <w:r>
              <w:rPr>
                <w:sz w:val="15"/>
              </w:rPr>
              <w:t>3 active AZs</w:t>
            </w:r>
          </w:p>
        </w:tc>
        <w:tc>
          <w:tcPr>
            <w:tcW w:type="dxa" w:w="4968"/>
            <w:vAlign w:val="top"/>
            <w:tcMar>
              <w:top w:w="80" w:type="dxa"/>
              <w:start w:w="80" w:type="dxa"/>
              <w:bottom w:w="80" w:type="dxa"/>
              <w:end w:w="80" w:type="dxa"/>
            </w:tcMar>
          </w:tcPr>
          <w:p>
            <w:pPr>
              <w:spacing w:after="20"/>
            </w:pPr>
            <w:r>
              <w:rPr>
                <w:sz w:val="15"/>
              </w:rPr>
              <w:t>API/worker/network spread across three zones.</w:t>
            </w:r>
          </w:p>
        </w:tc>
      </w:tr>
      <w:tr>
        <w:tc>
          <w:tcPr>
            <w:tcW w:type="dxa" w:w="2088"/>
            <w:vAlign w:val="top"/>
            <w:shd w:fill="F4F7F9"/>
            <w:tcMar>
              <w:top w:w="80" w:type="dxa"/>
              <w:start w:w="80" w:type="dxa"/>
              <w:bottom w:w="80" w:type="dxa"/>
              <w:end w:w="80" w:type="dxa"/>
            </w:tcMar>
          </w:tcPr>
          <w:p>
            <w:pPr>
              <w:spacing w:after="20"/>
            </w:pPr>
            <w:r>
              <w:rPr>
                <w:sz w:val="15"/>
              </w:rPr>
              <w:t>DNS</w:t>
            </w:r>
          </w:p>
        </w:tc>
        <w:tc>
          <w:tcPr>
            <w:tcW w:type="dxa" w:w="3456"/>
            <w:vAlign w:val="top"/>
            <w:shd w:fill="F4F7F9"/>
            <w:tcMar>
              <w:top w:w="80" w:type="dxa"/>
              <w:start w:w="80" w:type="dxa"/>
              <w:bottom w:w="80" w:type="dxa"/>
              <w:end w:w="80" w:type="dxa"/>
            </w:tcMar>
          </w:tcPr>
          <w:p>
            <w:pPr>
              <w:spacing w:after="20"/>
            </w:pPr>
            <w:r>
              <w:rPr>
                <w:sz w:val="15"/>
              </w:rPr>
              <w:t>Route 53</w:t>
            </w:r>
          </w:p>
        </w:tc>
        <w:tc>
          <w:tcPr>
            <w:tcW w:type="dxa" w:w="4968"/>
            <w:vAlign w:val="top"/>
            <w:shd w:fill="F4F7F9"/>
            <w:tcMar>
              <w:top w:w="80" w:type="dxa"/>
              <w:start w:w="80" w:type="dxa"/>
              <w:bottom w:w="80" w:type="dxa"/>
              <w:end w:w="80" w:type="dxa"/>
            </w:tcMar>
          </w:tcPr>
          <w:p>
            <w:pPr>
              <w:spacing w:after="20"/>
            </w:pPr>
            <w:r>
              <w:rPr>
                <w:sz w:val="15"/>
              </w:rPr>
              <w:t>Public DNS and health-aware routing.</w:t>
            </w:r>
          </w:p>
        </w:tc>
      </w:tr>
      <w:tr>
        <w:tc>
          <w:tcPr>
            <w:tcW w:type="dxa" w:w="2088"/>
            <w:vAlign w:val="top"/>
            <w:tcMar>
              <w:top w:w="80" w:type="dxa"/>
              <w:start w:w="80" w:type="dxa"/>
              <w:bottom w:w="80" w:type="dxa"/>
              <w:end w:w="80" w:type="dxa"/>
            </w:tcMar>
          </w:tcPr>
          <w:p>
            <w:pPr>
              <w:spacing w:after="20"/>
            </w:pPr>
            <w:r>
              <w:rPr>
                <w:sz w:val="15"/>
              </w:rPr>
              <w:t>TLS</w:t>
            </w:r>
          </w:p>
        </w:tc>
        <w:tc>
          <w:tcPr>
            <w:tcW w:type="dxa" w:w="3456"/>
            <w:vAlign w:val="top"/>
            <w:tcMar>
              <w:top w:w="80" w:type="dxa"/>
              <w:start w:w="80" w:type="dxa"/>
              <w:bottom w:w="80" w:type="dxa"/>
              <w:end w:w="80" w:type="dxa"/>
            </w:tcMar>
          </w:tcPr>
          <w:p>
            <w:pPr>
              <w:spacing w:after="20"/>
            </w:pPr>
            <w:r>
              <w:rPr>
                <w:sz w:val="15"/>
              </w:rPr>
              <w:t>AWS Certificate Manager</w:t>
            </w:r>
          </w:p>
        </w:tc>
        <w:tc>
          <w:tcPr>
            <w:tcW w:type="dxa" w:w="4968"/>
            <w:vAlign w:val="top"/>
            <w:tcMar>
              <w:top w:w="80" w:type="dxa"/>
              <w:start w:w="80" w:type="dxa"/>
              <w:bottom w:w="80" w:type="dxa"/>
              <w:end w:w="80" w:type="dxa"/>
            </w:tcMar>
          </w:tcPr>
          <w:p>
            <w:pPr>
              <w:spacing w:after="20"/>
            </w:pPr>
            <w:r>
              <w:rPr>
                <w:sz w:val="15"/>
              </w:rPr>
              <w:t>Managed public certificates for AWS endpoints.</w:t>
            </w:r>
          </w:p>
        </w:tc>
      </w:tr>
      <w:tr>
        <w:tc>
          <w:tcPr>
            <w:tcW w:type="dxa" w:w="2088"/>
            <w:vAlign w:val="top"/>
            <w:shd w:fill="F4F7F9"/>
            <w:tcMar>
              <w:top w:w="80" w:type="dxa"/>
              <w:start w:w="80" w:type="dxa"/>
              <w:bottom w:w="80" w:type="dxa"/>
              <w:end w:w="80" w:type="dxa"/>
            </w:tcMar>
          </w:tcPr>
          <w:p>
            <w:pPr>
              <w:spacing w:after="20"/>
            </w:pPr>
            <w:r>
              <w:rPr>
                <w:sz w:val="15"/>
              </w:rPr>
              <w:t>Static web</w:t>
            </w:r>
          </w:p>
        </w:tc>
        <w:tc>
          <w:tcPr>
            <w:tcW w:type="dxa" w:w="3456"/>
            <w:vAlign w:val="top"/>
            <w:shd w:fill="F4F7F9"/>
            <w:tcMar>
              <w:top w:w="80" w:type="dxa"/>
              <w:start w:w="80" w:type="dxa"/>
              <w:bottom w:w="80" w:type="dxa"/>
              <w:end w:w="80" w:type="dxa"/>
            </w:tcMar>
          </w:tcPr>
          <w:p>
            <w:pPr>
              <w:spacing w:after="20"/>
            </w:pPr>
            <w:r>
              <w:rPr>
                <w:sz w:val="15"/>
              </w:rPr>
              <w:t>S3 + CloudFront + Origin Access Control</w:t>
            </w:r>
          </w:p>
        </w:tc>
        <w:tc>
          <w:tcPr>
            <w:tcW w:type="dxa" w:w="4968"/>
            <w:vAlign w:val="top"/>
            <w:shd w:fill="F4F7F9"/>
            <w:tcMar>
              <w:top w:w="80" w:type="dxa"/>
              <w:start w:w="80" w:type="dxa"/>
              <w:bottom w:w="80" w:type="dxa"/>
              <w:end w:w="80" w:type="dxa"/>
            </w:tcMar>
          </w:tcPr>
          <w:p>
            <w:pPr>
              <w:spacing w:after="20"/>
            </w:pPr>
            <w:r>
              <w:rPr>
                <w:sz w:val="15"/>
              </w:rPr>
              <w:t>Authenticated SPA/static assets and marketing static assets.</w:t>
            </w:r>
          </w:p>
        </w:tc>
      </w:tr>
      <w:tr>
        <w:tc>
          <w:tcPr>
            <w:tcW w:type="dxa" w:w="2088"/>
            <w:vAlign w:val="top"/>
            <w:tcMar>
              <w:top w:w="80" w:type="dxa"/>
              <w:start w:w="80" w:type="dxa"/>
              <w:bottom w:w="80" w:type="dxa"/>
              <w:end w:w="80" w:type="dxa"/>
            </w:tcMar>
          </w:tcPr>
          <w:p>
            <w:pPr>
              <w:spacing w:after="20"/>
            </w:pPr>
            <w:r>
              <w:rPr>
                <w:sz w:val="15"/>
              </w:rPr>
              <w:t>Dynamic/SSR web if needed</w:t>
            </w:r>
          </w:p>
        </w:tc>
        <w:tc>
          <w:tcPr>
            <w:tcW w:type="dxa" w:w="3456"/>
            <w:vAlign w:val="top"/>
            <w:tcMar>
              <w:top w:w="80" w:type="dxa"/>
              <w:start w:w="80" w:type="dxa"/>
              <w:bottom w:w="80" w:type="dxa"/>
              <w:end w:w="80" w:type="dxa"/>
            </w:tcMar>
          </w:tcPr>
          <w:p>
            <w:pPr>
              <w:spacing w:after="20"/>
            </w:pPr>
            <w:r>
              <w:rPr>
                <w:sz w:val="15"/>
              </w:rPr>
              <w:t>ECS Fargate</w:t>
            </w:r>
          </w:p>
        </w:tc>
        <w:tc>
          <w:tcPr>
            <w:tcW w:type="dxa" w:w="4968"/>
            <w:vAlign w:val="top"/>
            <w:tcMar>
              <w:top w:w="80" w:type="dxa"/>
              <w:start w:w="80" w:type="dxa"/>
              <w:bottom w:w="80" w:type="dxa"/>
              <w:end w:w="80" w:type="dxa"/>
            </w:tcMar>
          </w:tcPr>
          <w:p>
            <w:pPr>
              <w:spacing w:after="20"/>
            </w:pPr>
            <w:r>
              <w:rPr>
                <w:sz w:val="15"/>
              </w:rPr>
              <w:t>Only when server-side rendering is actually required.</w:t>
            </w:r>
          </w:p>
        </w:tc>
      </w:tr>
      <w:tr>
        <w:tc>
          <w:tcPr>
            <w:tcW w:type="dxa" w:w="2088"/>
            <w:vAlign w:val="top"/>
            <w:shd w:fill="F4F7F9"/>
            <w:tcMar>
              <w:top w:w="80" w:type="dxa"/>
              <w:start w:w="80" w:type="dxa"/>
              <w:bottom w:w="80" w:type="dxa"/>
              <w:end w:w="80" w:type="dxa"/>
            </w:tcMar>
          </w:tcPr>
          <w:p>
            <w:pPr>
              <w:spacing w:after="20"/>
            </w:pPr>
            <w:r>
              <w:rPr>
                <w:sz w:val="15"/>
              </w:rPr>
              <w:t>API</w:t>
            </w:r>
          </w:p>
        </w:tc>
        <w:tc>
          <w:tcPr>
            <w:tcW w:type="dxa" w:w="3456"/>
            <w:vAlign w:val="top"/>
            <w:shd w:fill="F4F7F9"/>
            <w:tcMar>
              <w:top w:w="80" w:type="dxa"/>
              <w:start w:w="80" w:type="dxa"/>
              <w:bottom w:w="80" w:type="dxa"/>
              <w:end w:w="80" w:type="dxa"/>
            </w:tcMar>
          </w:tcPr>
          <w:p>
            <w:pPr>
              <w:spacing w:after="20"/>
            </w:pPr>
            <w:r>
              <w:rPr>
                <w:sz w:val="15"/>
              </w:rPr>
              <w:t>NestJS + Fastify on ECS Fargate ARM64</w:t>
            </w:r>
          </w:p>
        </w:tc>
        <w:tc>
          <w:tcPr>
            <w:tcW w:type="dxa" w:w="4968"/>
            <w:vAlign w:val="top"/>
            <w:shd w:fill="F4F7F9"/>
            <w:tcMar>
              <w:top w:w="80" w:type="dxa"/>
              <w:start w:w="80" w:type="dxa"/>
              <w:bottom w:w="80" w:type="dxa"/>
              <w:end w:w="80" w:type="dxa"/>
            </w:tcMar>
          </w:tcPr>
          <w:p>
            <w:pPr>
              <w:spacing w:after="20"/>
            </w:pPr>
            <w:r>
              <w:rPr>
                <w:sz w:val="15"/>
              </w:rPr>
              <w:t>Long-running production HTTP API.</w:t>
            </w:r>
          </w:p>
        </w:tc>
      </w:tr>
      <w:tr>
        <w:tc>
          <w:tcPr>
            <w:tcW w:type="dxa" w:w="2088"/>
            <w:vAlign w:val="top"/>
            <w:tcMar>
              <w:top w:w="80" w:type="dxa"/>
              <w:start w:w="80" w:type="dxa"/>
              <w:bottom w:w="80" w:type="dxa"/>
              <w:end w:w="80" w:type="dxa"/>
            </w:tcMar>
          </w:tcPr>
          <w:p>
            <w:pPr>
              <w:spacing w:after="20"/>
            </w:pPr>
            <w:r>
              <w:rPr>
                <w:sz w:val="15"/>
              </w:rPr>
              <w:t>Load balancing</w:t>
            </w:r>
          </w:p>
        </w:tc>
        <w:tc>
          <w:tcPr>
            <w:tcW w:type="dxa" w:w="3456"/>
            <w:vAlign w:val="top"/>
            <w:tcMar>
              <w:top w:w="80" w:type="dxa"/>
              <w:start w:w="80" w:type="dxa"/>
              <w:bottom w:w="80" w:type="dxa"/>
              <w:end w:w="80" w:type="dxa"/>
            </w:tcMar>
          </w:tcPr>
          <w:p>
            <w:pPr>
              <w:spacing w:after="20"/>
            </w:pPr>
            <w:r>
              <w:rPr>
                <w:sz w:val="15"/>
              </w:rPr>
              <w:t>Application Load Balancer</w:t>
            </w:r>
          </w:p>
        </w:tc>
        <w:tc>
          <w:tcPr>
            <w:tcW w:type="dxa" w:w="4968"/>
            <w:vAlign w:val="top"/>
            <w:tcMar>
              <w:top w:w="80" w:type="dxa"/>
              <w:start w:w="80" w:type="dxa"/>
              <w:bottom w:w="80" w:type="dxa"/>
              <w:end w:w="80" w:type="dxa"/>
            </w:tcMar>
          </w:tcPr>
          <w:p>
            <w:pPr>
              <w:spacing w:after="20"/>
            </w:pPr>
            <w:r>
              <w:rPr>
                <w:sz w:val="15"/>
              </w:rPr>
              <w:t>Layer-7 routing to Fargate API services.</w:t>
            </w:r>
          </w:p>
        </w:tc>
      </w:tr>
      <w:tr>
        <w:tc>
          <w:tcPr>
            <w:tcW w:type="dxa" w:w="2088"/>
            <w:vAlign w:val="top"/>
            <w:shd w:fill="F4F7F9"/>
            <w:tcMar>
              <w:top w:w="80" w:type="dxa"/>
              <w:start w:w="80" w:type="dxa"/>
              <w:bottom w:w="80" w:type="dxa"/>
              <w:end w:w="80" w:type="dxa"/>
            </w:tcMar>
          </w:tcPr>
          <w:p>
            <w:pPr>
              <w:spacing w:after="20"/>
            </w:pPr>
            <w:r>
              <w:rPr>
                <w:sz w:val="15"/>
              </w:rPr>
              <w:t>Webhook edge</w:t>
            </w:r>
          </w:p>
        </w:tc>
        <w:tc>
          <w:tcPr>
            <w:tcW w:type="dxa" w:w="3456"/>
            <w:vAlign w:val="top"/>
            <w:shd w:fill="F4F7F9"/>
            <w:tcMar>
              <w:top w:w="80" w:type="dxa"/>
              <w:start w:w="80" w:type="dxa"/>
              <w:bottom w:w="80" w:type="dxa"/>
              <w:end w:w="80" w:type="dxa"/>
            </w:tcMar>
          </w:tcPr>
          <w:p>
            <w:pPr>
              <w:spacing w:after="20"/>
            </w:pPr>
            <w:r>
              <w:rPr>
                <w:sz w:val="15"/>
              </w:rPr>
              <w:t>API Gateway HTTP API + Lambda</w:t>
            </w:r>
          </w:p>
        </w:tc>
        <w:tc>
          <w:tcPr>
            <w:tcW w:type="dxa" w:w="4968"/>
            <w:vAlign w:val="top"/>
            <w:shd w:fill="F4F7F9"/>
            <w:tcMar>
              <w:top w:w="80" w:type="dxa"/>
              <w:start w:w="80" w:type="dxa"/>
              <w:bottom w:w="80" w:type="dxa"/>
              <w:end w:w="80" w:type="dxa"/>
            </w:tcMar>
          </w:tcPr>
          <w:p>
            <w:pPr>
              <w:spacing w:after="20"/>
            </w:pPr>
            <w:r>
              <w:rPr>
                <w:sz w:val="15"/>
              </w:rPr>
              <w:t>Fast verification/acknowledgement and queue handoff.</w:t>
            </w:r>
          </w:p>
        </w:tc>
      </w:tr>
      <w:tr>
        <w:tc>
          <w:tcPr>
            <w:tcW w:type="dxa" w:w="2088"/>
            <w:vAlign w:val="top"/>
            <w:tcMar>
              <w:top w:w="80" w:type="dxa"/>
              <w:start w:w="80" w:type="dxa"/>
              <w:bottom w:w="80" w:type="dxa"/>
              <w:end w:w="80" w:type="dxa"/>
            </w:tcMar>
          </w:tcPr>
          <w:p>
            <w:pPr>
              <w:spacing w:after="20"/>
            </w:pPr>
            <w:r>
              <w:rPr>
                <w:sz w:val="15"/>
              </w:rPr>
              <w:t>Workers</w:t>
            </w:r>
          </w:p>
        </w:tc>
        <w:tc>
          <w:tcPr>
            <w:tcW w:type="dxa" w:w="3456"/>
            <w:vAlign w:val="top"/>
            <w:tcMar>
              <w:top w:w="80" w:type="dxa"/>
              <w:start w:w="80" w:type="dxa"/>
              <w:bottom w:w="80" w:type="dxa"/>
              <w:end w:w="80" w:type="dxa"/>
            </w:tcMar>
          </w:tcPr>
          <w:p>
            <w:pPr>
              <w:spacing w:after="20"/>
            </w:pPr>
            <w:r>
              <w:rPr>
                <w:sz w:val="15"/>
              </w:rPr>
              <w:t>ECS Fargate</w:t>
            </w:r>
          </w:p>
        </w:tc>
        <w:tc>
          <w:tcPr>
            <w:tcW w:type="dxa" w:w="4968"/>
            <w:vAlign w:val="top"/>
            <w:tcMar>
              <w:top w:w="80" w:type="dxa"/>
              <w:start w:w="80" w:type="dxa"/>
              <w:bottom w:w="80" w:type="dxa"/>
              <w:end w:w="80" w:type="dxa"/>
            </w:tcMar>
          </w:tcPr>
          <w:p>
            <w:pPr>
              <w:spacing w:after="20"/>
            </w:pPr>
            <w:r>
              <w:rPr>
                <w:sz w:val="15"/>
              </w:rPr>
              <w:t>Ingestion, normalization, AI, document, indexing, export/deletion jobs.</w:t>
            </w:r>
          </w:p>
        </w:tc>
      </w:tr>
      <w:tr>
        <w:tc>
          <w:tcPr>
            <w:tcW w:type="dxa" w:w="2088"/>
            <w:vAlign w:val="top"/>
            <w:shd w:fill="F4F7F9"/>
            <w:tcMar>
              <w:top w:w="80" w:type="dxa"/>
              <w:start w:w="80" w:type="dxa"/>
              <w:bottom w:w="80" w:type="dxa"/>
              <w:end w:w="80" w:type="dxa"/>
            </w:tcMar>
          </w:tcPr>
          <w:p>
            <w:pPr>
              <w:spacing w:after="20"/>
            </w:pPr>
            <w:r>
              <w:rPr>
                <w:sz w:val="15"/>
              </w:rPr>
              <w:t>Opportunistic worker capacity</w:t>
            </w:r>
          </w:p>
        </w:tc>
        <w:tc>
          <w:tcPr>
            <w:tcW w:type="dxa" w:w="3456"/>
            <w:vAlign w:val="top"/>
            <w:shd w:fill="F4F7F9"/>
            <w:tcMar>
              <w:top w:w="80" w:type="dxa"/>
              <w:start w:w="80" w:type="dxa"/>
              <w:bottom w:w="80" w:type="dxa"/>
              <w:end w:w="80" w:type="dxa"/>
            </w:tcMar>
          </w:tcPr>
          <w:p>
            <w:pPr>
              <w:spacing w:after="20"/>
            </w:pPr>
            <w:r>
              <w:rPr>
                <w:sz w:val="15"/>
              </w:rPr>
              <w:t>Fargate Spot</w:t>
            </w:r>
          </w:p>
        </w:tc>
        <w:tc>
          <w:tcPr>
            <w:tcW w:type="dxa" w:w="4968"/>
            <w:vAlign w:val="top"/>
            <w:shd w:fill="F4F7F9"/>
            <w:tcMar>
              <w:top w:w="80" w:type="dxa"/>
              <w:start w:w="80" w:type="dxa"/>
              <w:bottom w:w="80" w:type="dxa"/>
              <w:end w:w="80" w:type="dxa"/>
            </w:tcMar>
          </w:tcPr>
          <w:p>
            <w:pPr>
              <w:spacing w:after="20"/>
            </w:pPr>
            <w:r>
              <w:rPr>
                <w:sz w:val="15"/>
              </w:rPr>
              <w:t>Only for retry-safe, interruptible queues.</w:t>
            </w:r>
          </w:p>
        </w:tc>
      </w:tr>
      <w:tr>
        <w:tc>
          <w:tcPr>
            <w:tcW w:type="dxa" w:w="2088"/>
            <w:vAlign w:val="top"/>
            <w:tcMar>
              <w:top w:w="80" w:type="dxa"/>
              <w:start w:w="80" w:type="dxa"/>
              <w:bottom w:w="80" w:type="dxa"/>
              <w:end w:w="80" w:type="dxa"/>
            </w:tcMar>
          </w:tcPr>
          <w:p>
            <w:pPr>
              <w:spacing w:after="20"/>
            </w:pPr>
            <w:r>
              <w:rPr>
                <w:sz w:val="15"/>
              </w:rPr>
              <w:t>Primary database</w:t>
            </w:r>
          </w:p>
        </w:tc>
        <w:tc>
          <w:tcPr>
            <w:tcW w:type="dxa" w:w="3456"/>
            <w:vAlign w:val="top"/>
            <w:tcMar>
              <w:top w:w="80" w:type="dxa"/>
              <w:start w:w="80" w:type="dxa"/>
              <w:bottom w:w="80" w:type="dxa"/>
              <w:end w:w="80" w:type="dxa"/>
            </w:tcMar>
          </w:tcPr>
          <w:p>
            <w:pPr>
              <w:spacing w:after="20"/>
            </w:pPr>
            <w:r>
              <w:rPr>
                <w:sz w:val="15"/>
              </w:rPr>
              <w:t>Aurora PostgreSQL 17.7 LTS Serverless v2</w:t>
            </w:r>
          </w:p>
        </w:tc>
        <w:tc>
          <w:tcPr>
            <w:tcW w:type="dxa" w:w="4968"/>
            <w:vAlign w:val="top"/>
            <w:tcMar>
              <w:top w:w="80" w:type="dxa"/>
              <w:start w:w="80" w:type="dxa"/>
              <w:bottom w:w="80" w:type="dxa"/>
              <w:end w:w="80" w:type="dxa"/>
            </w:tcMar>
          </w:tcPr>
          <w:p>
            <w:pPr>
              <w:spacing w:after="20"/>
            </w:pPr>
            <w:r>
              <w:rPr>
                <w:sz w:val="15"/>
              </w:rPr>
              <w:t>Transactional data, knowledge graph, pgvector at launch.</w:t>
            </w:r>
          </w:p>
        </w:tc>
      </w:tr>
      <w:tr>
        <w:tc>
          <w:tcPr>
            <w:tcW w:type="dxa" w:w="2088"/>
            <w:vAlign w:val="top"/>
            <w:shd w:fill="F4F7F9"/>
            <w:tcMar>
              <w:top w:w="80" w:type="dxa"/>
              <w:start w:w="80" w:type="dxa"/>
              <w:bottom w:w="80" w:type="dxa"/>
              <w:end w:w="80" w:type="dxa"/>
            </w:tcMar>
          </w:tcPr>
          <w:p>
            <w:pPr>
              <w:spacing w:after="20"/>
            </w:pPr>
            <w:r>
              <w:rPr>
                <w:sz w:val="15"/>
              </w:rPr>
              <w:t>DB connection management</w:t>
            </w:r>
          </w:p>
        </w:tc>
        <w:tc>
          <w:tcPr>
            <w:tcW w:type="dxa" w:w="3456"/>
            <w:vAlign w:val="top"/>
            <w:shd w:fill="F4F7F9"/>
            <w:tcMar>
              <w:top w:w="80" w:type="dxa"/>
              <w:start w:w="80" w:type="dxa"/>
              <w:bottom w:w="80" w:type="dxa"/>
              <w:end w:w="80" w:type="dxa"/>
            </w:tcMar>
          </w:tcPr>
          <w:p>
            <w:pPr>
              <w:spacing w:after="20"/>
            </w:pPr>
            <w:r>
              <w:rPr>
                <w:sz w:val="15"/>
              </w:rPr>
              <w:t>RDS Proxy</w:t>
            </w:r>
          </w:p>
        </w:tc>
        <w:tc>
          <w:tcPr>
            <w:tcW w:type="dxa" w:w="4968"/>
            <w:vAlign w:val="top"/>
            <w:shd w:fill="F4F7F9"/>
            <w:tcMar>
              <w:top w:w="80" w:type="dxa"/>
              <w:start w:w="80" w:type="dxa"/>
              <w:bottom w:w="80" w:type="dxa"/>
              <w:end w:w="80" w:type="dxa"/>
            </w:tcMar>
          </w:tcPr>
          <w:p>
            <w:pPr>
              <w:spacing w:after="20"/>
            </w:pPr>
            <w:r>
              <w:rPr>
                <w:sz w:val="15"/>
              </w:rPr>
              <w:t>Connection pooling/failover resilience.</w:t>
            </w:r>
          </w:p>
        </w:tc>
      </w:tr>
      <w:tr>
        <w:tc>
          <w:tcPr>
            <w:tcW w:type="dxa" w:w="2088"/>
            <w:vAlign w:val="top"/>
            <w:tcMar>
              <w:top w:w="80" w:type="dxa"/>
              <w:start w:w="80" w:type="dxa"/>
              <w:bottom w:w="80" w:type="dxa"/>
              <w:end w:w="80" w:type="dxa"/>
            </w:tcMar>
          </w:tcPr>
          <w:p>
            <w:pPr>
              <w:spacing w:after="20"/>
            </w:pPr>
            <w:r>
              <w:rPr>
                <w:sz w:val="15"/>
              </w:rPr>
              <w:t>Cache/locks</w:t>
            </w:r>
          </w:p>
        </w:tc>
        <w:tc>
          <w:tcPr>
            <w:tcW w:type="dxa" w:w="3456"/>
            <w:vAlign w:val="top"/>
            <w:tcMar>
              <w:top w:w="80" w:type="dxa"/>
              <w:start w:w="80" w:type="dxa"/>
              <w:bottom w:w="80" w:type="dxa"/>
              <w:end w:w="80" w:type="dxa"/>
            </w:tcMar>
          </w:tcPr>
          <w:p>
            <w:pPr>
              <w:spacing w:after="20"/>
            </w:pPr>
            <w:r>
              <w:rPr>
                <w:sz w:val="15"/>
              </w:rPr>
              <w:t>ElastiCache Valkey Serverless</w:t>
            </w:r>
          </w:p>
        </w:tc>
        <w:tc>
          <w:tcPr>
            <w:tcW w:type="dxa" w:w="4968"/>
            <w:vAlign w:val="top"/>
            <w:tcMar>
              <w:top w:w="80" w:type="dxa"/>
              <w:start w:w="80" w:type="dxa"/>
              <w:bottom w:w="80" w:type="dxa"/>
              <w:end w:w="80" w:type="dxa"/>
            </w:tcMar>
          </w:tcPr>
          <w:p>
            <w:pPr>
              <w:spacing w:after="20"/>
            </w:pPr>
            <w:r>
              <w:rPr>
                <w:sz w:val="15"/>
              </w:rPr>
              <w:t>Ephemeral cache, rate limits, distributed locks.</w:t>
            </w:r>
          </w:p>
        </w:tc>
      </w:tr>
      <w:tr>
        <w:tc>
          <w:tcPr>
            <w:tcW w:type="dxa" w:w="2088"/>
            <w:vAlign w:val="top"/>
            <w:shd w:fill="F4F7F9"/>
            <w:tcMar>
              <w:top w:w="80" w:type="dxa"/>
              <w:start w:w="80" w:type="dxa"/>
              <w:bottom w:w="80" w:type="dxa"/>
              <w:end w:w="80" w:type="dxa"/>
            </w:tcMar>
          </w:tcPr>
          <w:p>
            <w:pPr>
              <w:spacing w:after="20"/>
            </w:pPr>
            <w:r>
              <w:rPr>
                <w:sz w:val="15"/>
              </w:rPr>
              <w:t>Queues</w:t>
            </w:r>
          </w:p>
        </w:tc>
        <w:tc>
          <w:tcPr>
            <w:tcW w:type="dxa" w:w="3456"/>
            <w:vAlign w:val="top"/>
            <w:shd w:fill="F4F7F9"/>
            <w:tcMar>
              <w:top w:w="80" w:type="dxa"/>
              <w:start w:w="80" w:type="dxa"/>
              <w:bottom w:w="80" w:type="dxa"/>
              <w:end w:w="80" w:type="dxa"/>
            </w:tcMar>
          </w:tcPr>
          <w:p>
            <w:pPr>
              <w:spacing w:after="20"/>
            </w:pPr>
            <w:r>
              <w:rPr>
                <w:sz w:val="15"/>
              </w:rPr>
              <w:t>Amazon SQS</w:t>
            </w:r>
          </w:p>
        </w:tc>
        <w:tc>
          <w:tcPr>
            <w:tcW w:type="dxa" w:w="4968"/>
            <w:vAlign w:val="top"/>
            <w:shd w:fill="F4F7F9"/>
            <w:tcMar>
              <w:top w:w="80" w:type="dxa"/>
              <w:start w:w="80" w:type="dxa"/>
              <w:bottom w:w="80" w:type="dxa"/>
              <w:end w:w="80" w:type="dxa"/>
            </w:tcMar>
          </w:tcPr>
          <w:p>
            <w:pPr>
              <w:spacing w:after="20"/>
            </w:pPr>
            <w:r>
              <w:rPr>
                <w:sz w:val="15"/>
              </w:rPr>
              <w:t>Durable asynchronous work and back-pressure.</w:t>
            </w:r>
          </w:p>
        </w:tc>
      </w:tr>
      <w:tr>
        <w:tc>
          <w:tcPr>
            <w:tcW w:type="dxa" w:w="2088"/>
            <w:vAlign w:val="top"/>
            <w:tcMar>
              <w:top w:w="80" w:type="dxa"/>
              <w:start w:w="80" w:type="dxa"/>
              <w:bottom w:w="80" w:type="dxa"/>
              <w:end w:w="80" w:type="dxa"/>
            </w:tcMar>
          </w:tcPr>
          <w:p>
            <w:pPr>
              <w:spacing w:after="20"/>
            </w:pPr>
            <w:r>
              <w:rPr>
                <w:sz w:val="15"/>
              </w:rPr>
              <w:t>Domain event bus</w:t>
            </w:r>
          </w:p>
        </w:tc>
        <w:tc>
          <w:tcPr>
            <w:tcW w:type="dxa" w:w="3456"/>
            <w:vAlign w:val="top"/>
            <w:tcMar>
              <w:top w:w="80" w:type="dxa"/>
              <w:start w:w="80" w:type="dxa"/>
              <w:bottom w:w="80" w:type="dxa"/>
              <w:end w:w="80" w:type="dxa"/>
            </w:tcMar>
          </w:tcPr>
          <w:p>
            <w:pPr>
              <w:spacing w:after="20"/>
            </w:pPr>
            <w:r>
              <w:rPr>
                <w:sz w:val="15"/>
              </w:rPr>
              <w:t>Amazon EventBridge</w:t>
            </w:r>
          </w:p>
        </w:tc>
        <w:tc>
          <w:tcPr>
            <w:tcW w:type="dxa" w:w="4968"/>
            <w:vAlign w:val="top"/>
            <w:tcMar>
              <w:top w:w="80" w:type="dxa"/>
              <w:start w:w="80" w:type="dxa"/>
              <w:bottom w:w="80" w:type="dxa"/>
              <w:end w:w="80" w:type="dxa"/>
            </w:tcMar>
          </w:tcPr>
          <w:p>
            <w:pPr>
              <w:spacing w:after="20"/>
            </w:pPr>
            <w:r>
              <w:rPr>
                <w:sz w:val="15"/>
              </w:rPr>
              <w:t>Fan-out/routing of internal domain events.</w:t>
            </w:r>
          </w:p>
        </w:tc>
      </w:tr>
      <w:tr>
        <w:tc>
          <w:tcPr>
            <w:tcW w:type="dxa" w:w="2088"/>
            <w:vAlign w:val="top"/>
            <w:shd w:fill="F4F7F9"/>
            <w:tcMar>
              <w:top w:w="80" w:type="dxa"/>
              <w:start w:w="80" w:type="dxa"/>
              <w:bottom w:w="80" w:type="dxa"/>
              <w:end w:w="80" w:type="dxa"/>
            </w:tcMar>
          </w:tcPr>
          <w:p>
            <w:pPr>
              <w:spacing w:after="20"/>
            </w:pPr>
            <w:r>
              <w:rPr>
                <w:sz w:val="15"/>
              </w:rPr>
              <w:t>Scheduling</w:t>
            </w:r>
          </w:p>
        </w:tc>
        <w:tc>
          <w:tcPr>
            <w:tcW w:type="dxa" w:w="3456"/>
            <w:vAlign w:val="top"/>
            <w:shd w:fill="F4F7F9"/>
            <w:tcMar>
              <w:top w:w="80" w:type="dxa"/>
              <w:start w:w="80" w:type="dxa"/>
              <w:bottom w:w="80" w:type="dxa"/>
              <w:end w:w="80" w:type="dxa"/>
            </w:tcMar>
          </w:tcPr>
          <w:p>
            <w:pPr>
              <w:spacing w:after="20"/>
            </w:pPr>
            <w:r>
              <w:rPr>
                <w:sz w:val="15"/>
              </w:rPr>
              <w:t>EventBridge Scheduler</w:t>
            </w:r>
          </w:p>
        </w:tc>
        <w:tc>
          <w:tcPr>
            <w:tcW w:type="dxa" w:w="4968"/>
            <w:vAlign w:val="top"/>
            <w:shd w:fill="F4F7F9"/>
            <w:tcMar>
              <w:top w:w="80" w:type="dxa"/>
              <w:start w:w="80" w:type="dxa"/>
              <w:bottom w:w="80" w:type="dxa"/>
              <w:end w:w="80" w:type="dxa"/>
            </w:tcMar>
          </w:tcPr>
          <w:p>
            <w:pPr>
              <w:spacing w:after="20"/>
            </w:pPr>
            <w:r>
              <w:rPr>
                <w:sz w:val="15"/>
              </w:rPr>
              <w:t>Durable timers and recurring jobs.</w:t>
            </w:r>
          </w:p>
        </w:tc>
      </w:tr>
      <w:tr>
        <w:tc>
          <w:tcPr>
            <w:tcW w:type="dxa" w:w="2088"/>
            <w:vAlign w:val="top"/>
            <w:tcMar>
              <w:top w:w="80" w:type="dxa"/>
              <w:start w:w="80" w:type="dxa"/>
              <w:bottom w:w="80" w:type="dxa"/>
              <w:end w:w="80" w:type="dxa"/>
            </w:tcMar>
          </w:tcPr>
          <w:p>
            <w:pPr>
              <w:spacing w:after="20"/>
            </w:pPr>
            <w:r>
              <w:rPr>
                <w:sz w:val="15"/>
              </w:rPr>
              <w:t>Private files</w:t>
            </w:r>
          </w:p>
        </w:tc>
        <w:tc>
          <w:tcPr>
            <w:tcW w:type="dxa" w:w="3456"/>
            <w:vAlign w:val="top"/>
            <w:tcMar>
              <w:top w:w="80" w:type="dxa"/>
              <w:start w:w="80" w:type="dxa"/>
              <w:bottom w:w="80" w:type="dxa"/>
              <w:end w:w="80" w:type="dxa"/>
            </w:tcMar>
          </w:tcPr>
          <w:p>
            <w:pPr>
              <w:spacing w:after="20"/>
            </w:pPr>
            <w:r>
              <w:rPr>
                <w:sz w:val="15"/>
              </w:rPr>
              <w:t>Amazon S3</w:t>
            </w:r>
          </w:p>
        </w:tc>
        <w:tc>
          <w:tcPr>
            <w:tcW w:type="dxa" w:w="4968"/>
            <w:vAlign w:val="top"/>
            <w:tcMar>
              <w:top w:w="80" w:type="dxa"/>
              <w:start w:w="80" w:type="dxa"/>
              <w:bottom w:w="80" w:type="dxa"/>
              <w:end w:w="80" w:type="dxa"/>
            </w:tcMar>
          </w:tcPr>
          <w:p>
            <w:pPr>
              <w:spacing w:after="20"/>
            </w:pPr>
            <w:r>
              <w:rPr>
                <w:sz w:val="15"/>
              </w:rPr>
              <w:t>Documents, images, receipts, raw source payloads, derivatives.</w:t>
            </w:r>
          </w:p>
        </w:tc>
      </w:tr>
      <w:tr>
        <w:tc>
          <w:tcPr>
            <w:tcW w:type="dxa" w:w="2088"/>
            <w:vAlign w:val="top"/>
            <w:shd w:fill="F4F7F9"/>
            <w:tcMar>
              <w:top w:w="80" w:type="dxa"/>
              <w:start w:w="80" w:type="dxa"/>
              <w:bottom w:w="80" w:type="dxa"/>
              <w:end w:w="80" w:type="dxa"/>
            </w:tcMar>
          </w:tcPr>
          <w:p>
            <w:pPr>
              <w:spacing w:after="20"/>
            </w:pPr>
            <w:r>
              <w:rPr>
                <w:sz w:val="15"/>
              </w:rPr>
              <w:t>Search at launch</w:t>
            </w:r>
          </w:p>
        </w:tc>
        <w:tc>
          <w:tcPr>
            <w:tcW w:type="dxa" w:w="3456"/>
            <w:vAlign w:val="top"/>
            <w:shd w:fill="F4F7F9"/>
            <w:tcMar>
              <w:top w:w="80" w:type="dxa"/>
              <w:start w:w="80" w:type="dxa"/>
              <w:bottom w:w="80" w:type="dxa"/>
              <w:end w:w="80" w:type="dxa"/>
            </w:tcMar>
          </w:tcPr>
          <w:p>
            <w:pPr>
              <w:spacing w:after="20"/>
            </w:pPr>
            <w:r>
              <w:rPr>
                <w:sz w:val="15"/>
              </w:rPr>
              <w:t>Aurora full-text + pgvector</w:t>
            </w:r>
          </w:p>
        </w:tc>
        <w:tc>
          <w:tcPr>
            <w:tcW w:type="dxa" w:w="4968"/>
            <w:vAlign w:val="top"/>
            <w:shd w:fill="F4F7F9"/>
            <w:tcMar>
              <w:top w:w="80" w:type="dxa"/>
              <w:start w:w="80" w:type="dxa"/>
              <w:bottom w:w="80" w:type="dxa"/>
              <w:end w:w="80" w:type="dxa"/>
            </w:tcMar>
          </w:tcPr>
          <w:p>
            <w:pPr>
              <w:spacing w:after="20"/>
            </w:pPr>
            <w:r>
              <w:rPr>
                <w:sz w:val="15"/>
              </w:rPr>
              <w:t>Avoid a separate search cluster until justified.</w:t>
            </w:r>
          </w:p>
        </w:tc>
      </w:tr>
      <w:tr>
        <w:tc>
          <w:tcPr>
            <w:tcW w:type="dxa" w:w="2088"/>
            <w:vAlign w:val="top"/>
            <w:tcMar>
              <w:top w:w="80" w:type="dxa"/>
              <w:start w:w="80" w:type="dxa"/>
              <w:bottom w:w="80" w:type="dxa"/>
              <w:end w:w="80" w:type="dxa"/>
            </w:tcMar>
          </w:tcPr>
          <w:p>
            <w:pPr>
              <w:spacing w:after="20"/>
            </w:pPr>
            <w:r>
              <w:rPr>
                <w:sz w:val="15"/>
              </w:rPr>
              <w:t>Search at large scale</w:t>
            </w:r>
          </w:p>
        </w:tc>
        <w:tc>
          <w:tcPr>
            <w:tcW w:type="dxa" w:w="3456"/>
            <w:vAlign w:val="top"/>
            <w:tcMar>
              <w:top w:w="80" w:type="dxa"/>
              <w:start w:w="80" w:type="dxa"/>
              <w:bottom w:w="80" w:type="dxa"/>
              <w:end w:w="80" w:type="dxa"/>
            </w:tcMar>
          </w:tcPr>
          <w:p>
            <w:pPr>
              <w:spacing w:after="20"/>
            </w:pPr>
            <w:r>
              <w:rPr>
                <w:sz w:val="15"/>
              </w:rPr>
              <w:t>OpenSearch Service</w:t>
            </w:r>
          </w:p>
        </w:tc>
        <w:tc>
          <w:tcPr>
            <w:tcW w:type="dxa" w:w="4968"/>
            <w:vAlign w:val="top"/>
            <w:tcMar>
              <w:top w:w="80" w:type="dxa"/>
              <w:start w:w="80" w:type="dxa"/>
              <w:bottom w:w="80" w:type="dxa"/>
              <w:end w:w="80" w:type="dxa"/>
            </w:tcMar>
          </w:tcPr>
          <w:p>
            <w:pPr>
              <w:spacing w:after="20"/>
            </w:pPr>
            <w:r>
              <w:rPr>
                <w:sz w:val="15"/>
              </w:rPr>
              <w:t>Introduce when search volume/index size justifies it.</w:t>
            </w:r>
          </w:p>
        </w:tc>
      </w:tr>
      <w:tr>
        <w:tc>
          <w:tcPr>
            <w:tcW w:type="dxa" w:w="2088"/>
            <w:vAlign w:val="top"/>
            <w:shd w:fill="F4F7F9"/>
            <w:tcMar>
              <w:top w:w="80" w:type="dxa"/>
              <w:start w:w="80" w:type="dxa"/>
              <w:bottom w:w="80" w:type="dxa"/>
              <w:end w:w="80" w:type="dxa"/>
            </w:tcMar>
          </w:tcPr>
          <w:p>
            <w:pPr>
              <w:spacing w:after="20"/>
            </w:pPr>
            <w:r>
              <w:rPr>
                <w:sz w:val="15"/>
              </w:rPr>
              <w:t>Authentication</w:t>
            </w:r>
          </w:p>
        </w:tc>
        <w:tc>
          <w:tcPr>
            <w:tcW w:type="dxa" w:w="3456"/>
            <w:vAlign w:val="top"/>
            <w:shd w:fill="F4F7F9"/>
            <w:tcMar>
              <w:top w:w="80" w:type="dxa"/>
              <w:start w:w="80" w:type="dxa"/>
              <w:bottom w:w="80" w:type="dxa"/>
              <w:end w:w="80" w:type="dxa"/>
            </w:tcMar>
          </w:tcPr>
          <w:p>
            <w:pPr>
              <w:spacing w:after="20"/>
            </w:pPr>
            <w:r>
              <w:rPr>
                <w:sz w:val="15"/>
              </w:rPr>
              <w:t>Amazon Cognito User Pools</w:t>
            </w:r>
          </w:p>
        </w:tc>
        <w:tc>
          <w:tcPr>
            <w:tcW w:type="dxa" w:w="4968"/>
            <w:vAlign w:val="top"/>
            <w:shd w:fill="F4F7F9"/>
            <w:tcMar>
              <w:top w:w="80" w:type="dxa"/>
              <w:start w:w="80" w:type="dxa"/>
              <w:bottom w:w="80" w:type="dxa"/>
              <w:end w:w="80" w:type="dxa"/>
            </w:tcMar>
          </w:tcPr>
          <w:p>
            <w:pPr>
              <w:spacing w:after="20"/>
            </w:pPr>
            <w:r>
              <w:rPr>
                <w:sz w:val="15"/>
              </w:rPr>
              <w:t>Passkeys, social federation, OIDC/JWT.</w:t>
            </w:r>
          </w:p>
        </w:tc>
      </w:tr>
      <w:tr>
        <w:tc>
          <w:tcPr>
            <w:tcW w:type="dxa" w:w="2088"/>
            <w:vAlign w:val="top"/>
            <w:tcMar>
              <w:top w:w="80" w:type="dxa"/>
              <w:start w:w="80" w:type="dxa"/>
              <w:bottom w:w="80" w:type="dxa"/>
              <w:end w:w="80" w:type="dxa"/>
            </w:tcMar>
          </w:tcPr>
          <w:p>
            <w:pPr>
              <w:spacing w:after="20"/>
            </w:pPr>
            <w:r>
              <w:rPr>
                <w:sz w:val="15"/>
              </w:rPr>
              <w:t>Service secrets</w:t>
            </w:r>
          </w:p>
        </w:tc>
        <w:tc>
          <w:tcPr>
            <w:tcW w:type="dxa" w:w="3456"/>
            <w:vAlign w:val="top"/>
            <w:tcMar>
              <w:top w:w="80" w:type="dxa"/>
              <w:start w:w="80" w:type="dxa"/>
              <w:bottom w:w="80" w:type="dxa"/>
              <w:end w:w="80" w:type="dxa"/>
            </w:tcMar>
          </w:tcPr>
          <w:p>
            <w:pPr>
              <w:spacing w:after="20"/>
            </w:pPr>
            <w:r>
              <w:rPr>
                <w:sz w:val="15"/>
              </w:rPr>
              <w:t>Secrets Manager</w:t>
            </w:r>
          </w:p>
        </w:tc>
        <w:tc>
          <w:tcPr>
            <w:tcW w:type="dxa" w:w="4968"/>
            <w:vAlign w:val="top"/>
            <w:tcMar>
              <w:top w:w="80" w:type="dxa"/>
              <w:start w:w="80" w:type="dxa"/>
              <w:bottom w:w="80" w:type="dxa"/>
              <w:end w:w="80" w:type="dxa"/>
            </w:tcMar>
          </w:tcPr>
          <w:p>
            <w:pPr>
              <w:spacing w:after="20"/>
            </w:pPr>
            <w:r>
              <w:rPr>
                <w:sz w:val="15"/>
              </w:rPr>
              <w:t>Provider credentials and application secrets.</w:t>
            </w:r>
          </w:p>
        </w:tc>
      </w:tr>
      <w:tr>
        <w:tc>
          <w:tcPr>
            <w:tcW w:type="dxa" w:w="2088"/>
            <w:vAlign w:val="top"/>
            <w:shd w:fill="F4F7F9"/>
            <w:tcMar>
              <w:top w:w="80" w:type="dxa"/>
              <w:start w:w="80" w:type="dxa"/>
              <w:bottom w:w="80" w:type="dxa"/>
              <w:end w:w="80" w:type="dxa"/>
            </w:tcMar>
          </w:tcPr>
          <w:p>
            <w:pPr>
              <w:spacing w:after="20"/>
            </w:pPr>
            <w:r>
              <w:rPr>
                <w:sz w:val="15"/>
              </w:rPr>
              <w:t>Encryption</w:t>
            </w:r>
          </w:p>
        </w:tc>
        <w:tc>
          <w:tcPr>
            <w:tcW w:type="dxa" w:w="3456"/>
            <w:vAlign w:val="top"/>
            <w:shd w:fill="F4F7F9"/>
            <w:tcMar>
              <w:top w:w="80" w:type="dxa"/>
              <w:start w:w="80" w:type="dxa"/>
              <w:bottom w:w="80" w:type="dxa"/>
              <w:end w:w="80" w:type="dxa"/>
            </w:tcMar>
          </w:tcPr>
          <w:p>
            <w:pPr>
              <w:spacing w:after="20"/>
            </w:pPr>
            <w:r>
              <w:rPr>
                <w:sz w:val="15"/>
              </w:rPr>
              <w:t>AWS KMS</w:t>
            </w:r>
          </w:p>
        </w:tc>
        <w:tc>
          <w:tcPr>
            <w:tcW w:type="dxa" w:w="4968"/>
            <w:vAlign w:val="top"/>
            <w:shd w:fill="F4F7F9"/>
            <w:tcMar>
              <w:top w:w="80" w:type="dxa"/>
              <w:start w:w="80" w:type="dxa"/>
              <w:bottom w:w="80" w:type="dxa"/>
              <w:end w:w="80" w:type="dxa"/>
            </w:tcMar>
          </w:tcPr>
          <w:p>
            <w:pPr>
              <w:spacing w:after="20"/>
            </w:pPr>
            <w:r>
              <w:rPr>
                <w:sz w:val="15"/>
              </w:rPr>
              <w:t>Key management and envelope-encryption root keys.</w:t>
            </w:r>
          </w:p>
        </w:tc>
      </w:tr>
      <w:tr>
        <w:tc>
          <w:tcPr>
            <w:tcW w:type="dxa" w:w="2088"/>
            <w:vAlign w:val="top"/>
            <w:tcMar>
              <w:top w:w="80" w:type="dxa"/>
              <w:start w:w="80" w:type="dxa"/>
              <w:bottom w:w="80" w:type="dxa"/>
              <w:end w:w="80" w:type="dxa"/>
            </w:tcMar>
          </w:tcPr>
          <w:p>
            <w:pPr>
              <w:spacing w:after="20"/>
            </w:pPr>
            <w:r>
              <w:rPr>
                <w:sz w:val="15"/>
              </w:rPr>
              <w:t>Security edge</w:t>
            </w:r>
          </w:p>
        </w:tc>
        <w:tc>
          <w:tcPr>
            <w:tcW w:type="dxa" w:w="3456"/>
            <w:vAlign w:val="top"/>
            <w:tcMar>
              <w:top w:w="80" w:type="dxa"/>
              <w:start w:w="80" w:type="dxa"/>
              <w:bottom w:w="80" w:type="dxa"/>
              <w:end w:w="80" w:type="dxa"/>
            </w:tcMar>
          </w:tcPr>
          <w:p>
            <w:pPr>
              <w:spacing w:after="20"/>
            </w:pPr>
            <w:r>
              <w:rPr>
                <w:sz w:val="15"/>
              </w:rPr>
              <w:t>AWS WAF + Shield Standard</w:t>
            </w:r>
          </w:p>
        </w:tc>
        <w:tc>
          <w:tcPr>
            <w:tcW w:type="dxa" w:w="4968"/>
            <w:vAlign w:val="top"/>
            <w:tcMar>
              <w:top w:w="80" w:type="dxa"/>
              <w:start w:w="80" w:type="dxa"/>
              <w:bottom w:w="80" w:type="dxa"/>
              <w:end w:w="80" w:type="dxa"/>
            </w:tcMar>
          </w:tcPr>
          <w:p>
            <w:pPr>
              <w:spacing w:after="20"/>
            </w:pPr>
            <w:r>
              <w:rPr>
                <w:sz w:val="15"/>
              </w:rPr>
              <w:t>Managed web filtering/rate controls and baseline DDoS protection.</w:t>
            </w:r>
          </w:p>
        </w:tc>
      </w:tr>
      <w:tr>
        <w:tc>
          <w:tcPr>
            <w:tcW w:type="dxa" w:w="2088"/>
            <w:vAlign w:val="top"/>
            <w:shd w:fill="F4F7F9"/>
            <w:tcMar>
              <w:top w:w="80" w:type="dxa"/>
              <w:start w:w="80" w:type="dxa"/>
              <w:bottom w:w="80" w:type="dxa"/>
              <w:end w:w="80" w:type="dxa"/>
            </w:tcMar>
          </w:tcPr>
          <w:p>
            <w:pPr>
              <w:spacing w:after="20"/>
            </w:pPr>
            <w:r>
              <w:rPr>
                <w:sz w:val="15"/>
              </w:rPr>
              <w:t>Security monitoring</w:t>
            </w:r>
          </w:p>
        </w:tc>
        <w:tc>
          <w:tcPr>
            <w:tcW w:type="dxa" w:w="3456"/>
            <w:vAlign w:val="top"/>
            <w:shd w:fill="F4F7F9"/>
            <w:tcMar>
              <w:top w:w="80" w:type="dxa"/>
              <w:start w:w="80" w:type="dxa"/>
              <w:bottom w:w="80" w:type="dxa"/>
              <w:end w:w="80" w:type="dxa"/>
            </w:tcMar>
          </w:tcPr>
          <w:p>
            <w:pPr>
              <w:spacing w:after="20"/>
            </w:pPr>
            <w:r>
              <w:rPr>
                <w:sz w:val="15"/>
              </w:rPr>
              <w:t>GuardDuty + Security Hub + Inspector + Config + CloudTrail</w:t>
            </w:r>
          </w:p>
        </w:tc>
        <w:tc>
          <w:tcPr>
            <w:tcW w:type="dxa" w:w="4968"/>
            <w:vAlign w:val="top"/>
            <w:shd w:fill="F4F7F9"/>
            <w:tcMar>
              <w:top w:w="80" w:type="dxa"/>
              <w:start w:w="80" w:type="dxa"/>
              <w:bottom w:w="80" w:type="dxa"/>
              <w:end w:w="80" w:type="dxa"/>
            </w:tcMar>
          </w:tcPr>
          <w:p>
            <w:pPr>
              <w:spacing w:after="20"/>
            </w:pPr>
            <w:r>
              <w:rPr>
                <w:sz w:val="15"/>
              </w:rPr>
              <w:t>Continuous cloud security visibility.</w:t>
            </w:r>
          </w:p>
        </w:tc>
      </w:tr>
      <w:tr>
        <w:tc>
          <w:tcPr>
            <w:tcW w:type="dxa" w:w="2088"/>
            <w:vAlign w:val="top"/>
            <w:tcMar>
              <w:top w:w="80" w:type="dxa"/>
              <w:start w:w="80" w:type="dxa"/>
              <w:bottom w:w="80" w:type="dxa"/>
              <w:end w:w="80" w:type="dxa"/>
            </w:tcMar>
          </w:tcPr>
          <w:p>
            <w:pPr>
              <w:spacing w:after="20"/>
            </w:pPr>
            <w:r>
              <w:rPr>
                <w:sz w:val="15"/>
              </w:rPr>
              <w:t>Transactional email</w:t>
            </w:r>
          </w:p>
        </w:tc>
        <w:tc>
          <w:tcPr>
            <w:tcW w:type="dxa" w:w="3456"/>
            <w:vAlign w:val="top"/>
            <w:tcMar>
              <w:top w:w="80" w:type="dxa"/>
              <w:start w:w="80" w:type="dxa"/>
              <w:bottom w:w="80" w:type="dxa"/>
              <w:end w:w="80" w:type="dxa"/>
            </w:tcMar>
          </w:tcPr>
          <w:p>
            <w:pPr>
              <w:spacing w:after="20"/>
            </w:pPr>
            <w:r>
              <w:rPr>
                <w:sz w:val="15"/>
              </w:rPr>
              <w:t>Amazon SES</w:t>
            </w:r>
          </w:p>
        </w:tc>
        <w:tc>
          <w:tcPr>
            <w:tcW w:type="dxa" w:w="4968"/>
            <w:vAlign w:val="top"/>
            <w:tcMar>
              <w:top w:w="80" w:type="dxa"/>
              <w:start w:w="80" w:type="dxa"/>
              <w:bottom w:w="80" w:type="dxa"/>
              <w:end w:w="80" w:type="dxa"/>
            </w:tcMar>
          </w:tcPr>
          <w:p>
            <w:pPr>
              <w:spacing w:after="20"/>
            </w:pPr>
            <w:r>
              <w:rPr>
                <w:sz w:val="15"/>
              </w:rPr>
              <w:t>Verification, alerts, digests, operational notices.</w:t>
            </w:r>
          </w:p>
        </w:tc>
      </w:tr>
      <w:tr>
        <w:tc>
          <w:tcPr>
            <w:tcW w:type="dxa" w:w="2088"/>
            <w:vAlign w:val="top"/>
            <w:shd w:fill="F4F7F9"/>
            <w:tcMar>
              <w:top w:w="80" w:type="dxa"/>
              <w:start w:w="80" w:type="dxa"/>
              <w:bottom w:w="80" w:type="dxa"/>
              <w:end w:w="80" w:type="dxa"/>
            </w:tcMar>
          </w:tcPr>
          <w:p>
            <w:pPr>
              <w:spacing w:after="20"/>
            </w:pPr>
            <w:r>
              <w:rPr>
                <w:sz w:val="15"/>
              </w:rPr>
              <w:t>Mobile push</w:t>
            </w:r>
          </w:p>
        </w:tc>
        <w:tc>
          <w:tcPr>
            <w:tcW w:type="dxa" w:w="3456"/>
            <w:vAlign w:val="top"/>
            <w:shd w:fill="F4F7F9"/>
            <w:tcMar>
              <w:top w:w="80" w:type="dxa"/>
              <w:start w:w="80" w:type="dxa"/>
              <w:bottom w:w="80" w:type="dxa"/>
              <w:end w:w="80" w:type="dxa"/>
            </w:tcMar>
          </w:tcPr>
          <w:p>
            <w:pPr>
              <w:spacing w:after="20"/>
            </w:pPr>
            <w:r>
              <w:rPr>
                <w:sz w:val="15"/>
              </w:rPr>
              <w:t>APNs + FCM</w:t>
            </w:r>
          </w:p>
        </w:tc>
        <w:tc>
          <w:tcPr>
            <w:tcW w:type="dxa" w:w="4968"/>
            <w:vAlign w:val="top"/>
            <w:shd w:fill="F4F7F9"/>
            <w:tcMar>
              <w:top w:w="80" w:type="dxa"/>
              <w:start w:w="80" w:type="dxa"/>
              <w:bottom w:w="80" w:type="dxa"/>
              <w:end w:w="80" w:type="dxa"/>
            </w:tcMar>
          </w:tcPr>
          <w:p>
            <w:pPr>
              <w:spacing w:after="20"/>
            </w:pPr>
            <w:r>
              <w:rPr>
                <w:sz w:val="15"/>
              </w:rPr>
              <w:t>Native push delivery.</w:t>
            </w:r>
          </w:p>
        </w:tc>
      </w:tr>
      <w:tr>
        <w:tc>
          <w:tcPr>
            <w:tcW w:type="dxa" w:w="2088"/>
            <w:vAlign w:val="top"/>
            <w:tcMar>
              <w:top w:w="80" w:type="dxa"/>
              <w:start w:w="80" w:type="dxa"/>
              <w:bottom w:w="80" w:type="dxa"/>
              <w:end w:w="80" w:type="dxa"/>
            </w:tcMar>
          </w:tcPr>
          <w:p>
            <w:pPr>
              <w:spacing w:after="20"/>
            </w:pPr>
            <w:r>
              <w:rPr>
                <w:sz w:val="15"/>
              </w:rPr>
              <w:t>Billing aggregation</w:t>
            </w:r>
          </w:p>
        </w:tc>
        <w:tc>
          <w:tcPr>
            <w:tcW w:type="dxa" w:w="3456"/>
            <w:vAlign w:val="top"/>
            <w:tcMar>
              <w:top w:w="80" w:type="dxa"/>
              <w:start w:w="80" w:type="dxa"/>
              <w:bottom w:w="80" w:type="dxa"/>
              <w:end w:w="80" w:type="dxa"/>
            </w:tcMar>
          </w:tcPr>
          <w:p>
            <w:pPr>
              <w:spacing w:after="20"/>
            </w:pPr>
            <w:r>
              <w:rPr>
                <w:sz w:val="15"/>
              </w:rPr>
              <w:t>RevenueCat</w:t>
            </w:r>
          </w:p>
        </w:tc>
        <w:tc>
          <w:tcPr>
            <w:tcW w:type="dxa" w:w="4968"/>
            <w:vAlign w:val="top"/>
            <w:tcMar>
              <w:top w:w="80" w:type="dxa"/>
              <w:start w:w="80" w:type="dxa"/>
              <w:bottom w:w="80" w:type="dxa"/>
              <w:end w:w="80" w:type="dxa"/>
            </w:tcMar>
          </w:tcPr>
          <w:p>
            <w:pPr>
              <w:spacing w:after="20"/>
            </w:pPr>
            <w:r>
              <w:rPr>
                <w:sz w:val="15"/>
              </w:rPr>
              <w:t>Cross-platform entitlement/subscription state.</w:t>
            </w:r>
          </w:p>
        </w:tc>
      </w:tr>
      <w:tr>
        <w:tc>
          <w:tcPr>
            <w:tcW w:type="dxa" w:w="2088"/>
            <w:vAlign w:val="top"/>
            <w:shd w:fill="F4F7F9"/>
            <w:tcMar>
              <w:top w:w="80" w:type="dxa"/>
              <w:start w:w="80" w:type="dxa"/>
              <w:bottom w:w="80" w:type="dxa"/>
              <w:end w:w="80" w:type="dxa"/>
            </w:tcMar>
          </w:tcPr>
          <w:p>
            <w:pPr>
              <w:spacing w:after="20"/>
            </w:pPr>
            <w:r>
              <w:rPr>
                <w:sz w:val="15"/>
              </w:rPr>
              <w:t>Web billing</w:t>
            </w:r>
          </w:p>
        </w:tc>
        <w:tc>
          <w:tcPr>
            <w:tcW w:type="dxa" w:w="3456"/>
            <w:vAlign w:val="top"/>
            <w:shd w:fill="F4F7F9"/>
            <w:tcMar>
              <w:top w:w="80" w:type="dxa"/>
              <w:start w:w="80" w:type="dxa"/>
              <w:bottom w:w="80" w:type="dxa"/>
              <w:end w:w="80" w:type="dxa"/>
            </w:tcMar>
          </w:tcPr>
          <w:p>
            <w:pPr>
              <w:spacing w:after="20"/>
            </w:pPr>
            <w:r>
              <w:rPr>
                <w:sz w:val="15"/>
              </w:rPr>
              <w:t>Stripe Billing via RevenueCat</w:t>
            </w:r>
          </w:p>
        </w:tc>
        <w:tc>
          <w:tcPr>
            <w:tcW w:type="dxa" w:w="4968"/>
            <w:vAlign w:val="top"/>
            <w:shd w:fill="F4F7F9"/>
            <w:tcMar>
              <w:top w:w="80" w:type="dxa"/>
              <w:start w:w="80" w:type="dxa"/>
              <w:bottom w:w="80" w:type="dxa"/>
              <w:end w:w="80" w:type="dxa"/>
            </w:tcMar>
          </w:tcPr>
          <w:p>
            <w:pPr>
              <w:spacing w:after="20"/>
            </w:pPr>
            <w:r>
              <w:rPr>
                <w:sz w:val="15"/>
              </w:rPr>
              <w:t>Web subscription purchase and entitlement synchronization.</w:t>
            </w:r>
          </w:p>
        </w:tc>
      </w:tr>
      <w:tr>
        <w:tc>
          <w:tcPr>
            <w:tcW w:type="dxa" w:w="2088"/>
            <w:vAlign w:val="top"/>
            <w:tcMar>
              <w:top w:w="80" w:type="dxa"/>
              <w:start w:w="80" w:type="dxa"/>
              <w:bottom w:w="80" w:type="dxa"/>
              <w:end w:w="80" w:type="dxa"/>
            </w:tcMar>
          </w:tcPr>
          <w:p>
            <w:pPr>
              <w:spacing w:after="20"/>
            </w:pPr>
            <w:r>
              <w:rPr>
                <w:sz w:val="15"/>
              </w:rPr>
              <w:t>Infrastructure-as-code</w:t>
            </w:r>
          </w:p>
        </w:tc>
        <w:tc>
          <w:tcPr>
            <w:tcW w:type="dxa" w:w="3456"/>
            <w:vAlign w:val="top"/>
            <w:tcMar>
              <w:top w:w="80" w:type="dxa"/>
              <w:start w:w="80" w:type="dxa"/>
              <w:bottom w:w="80" w:type="dxa"/>
              <w:end w:w="80" w:type="dxa"/>
            </w:tcMar>
          </w:tcPr>
          <w:p>
            <w:pPr>
              <w:spacing w:after="20"/>
            </w:pPr>
            <w:r>
              <w:rPr>
                <w:sz w:val="15"/>
              </w:rPr>
              <w:t>Terraform</w:t>
            </w:r>
          </w:p>
        </w:tc>
        <w:tc>
          <w:tcPr>
            <w:tcW w:type="dxa" w:w="4968"/>
            <w:vAlign w:val="top"/>
            <w:tcMar>
              <w:top w:w="80" w:type="dxa"/>
              <w:start w:w="80" w:type="dxa"/>
              <w:bottom w:w="80" w:type="dxa"/>
              <w:end w:w="80" w:type="dxa"/>
            </w:tcMar>
          </w:tcPr>
          <w:p>
            <w:pPr>
              <w:spacing w:after="20"/>
            </w:pPr>
            <w:r>
              <w:rPr>
                <w:sz w:val="15"/>
              </w:rPr>
              <w:t>Reproducible dev/staging/prod infrastructure.</w:t>
            </w:r>
          </w:p>
        </w:tc>
      </w:tr>
      <w:tr>
        <w:tc>
          <w:tcPr>
            <w:tcW w:type="dxa" w:w="2088"/>
            <w:vAlign w:val="top"/>
            <w:shd w:fill="F4F7F9"/>
            <w:tcMar>
              <w:top w:w="80" w:type="dxa"/>
              <w:start w:w="80" w:type="dxa"/>
              <w:bottom w:w="80" w:type="dxa"/>
              <w:end w:w="80" w:type="dxa"/>
            </w:tcMar>
          </w:tcPr>
          <w:p>
            <w:pPr>
              <w:spacing w:after="20"/>
            </w:pPr>
            <w:r>
              <w:rPr>
                <w:sz w:val="15"/>
              </w:rPr>
              <w:t>Container registry</w:t>
            </w:r>
          </w:p>
        </w:tc>
        <w:tc>
          <w:tcPr>
            <w:tcW w:type="dxa" w:w="3456"/>
            <w:vAlign w:val="top"/>
            <w:shd w:fill="F4F7F9"/>
            <w:tcMar>
              <w:top w:w="80" w:type="dxa"/>
              <w:start w:w="80" w:type="dxa"/>
              <w:bottom w:w="80" w:type="dxa"/>
              <w:end w:w="80" w:type="dxa"/>
            </w:tcMar>
          </w:tcPr>
          <w:p>
            <w:pPr>
              <w:spacing w:after="20"/>
            </w:pPr>
            <w:r>
              <w:rPr>
                <w:sz w:val="15"/>
              </w:rPr>
              <w:t>Amazon ECR</w:t>
            </w:r>
          </w:p>
        </w:tc>
        <w:tc>
          <w:tcPr>
            <w:tcW w:type="dxa" w:w="4968"/>
            <w:vAlign w:val="top"/>
            <w:shd w:fill="F4F7F9"/>
            <w:tcMar>
              <w:top w:w="80" w:type="dxa"/>
              <w:start w:w="80" w:type="dxa"/>
              <w:bottom w:w="80" w:type="dxa"/>
              <w:end w:w="80" w:type="dxa"/>
            </w:tcMar>
          </w:tcPr>
          <w:p>
            <w:pPr>
              <w:spacing w:after="20"/>
            </w:pPr>
            <w:r>
              <w:rPr>
                <w:sz w:val="15"/>
              </w:rPr>
              <w:t>Immutable container images.</w:t>
            </w:r>
          </w:p>
        </w:tc>
      </w:tr>
      <w:tr>
        <w:tc>
          <w:tcPr>
            <w:tcW w:type="dxa" w:w="2088"/>
            <w:vAlign w:val="top"/>
            <w:tcMar>
              <w:top w:w="80" w:type="dxa"/>
              <w:start w:w="80" w:type="dxa"/>
              <w:bottom w:w="80" w:type="dxa"/>
              <w:end w:w="80" w:type="dxa"/>
            </w:tcMar>
          </w:tcPr>
          <w:p>
            <w:pPr>
              <w:spacing w:after="20"/>
            </w:pPr>
            <w:r>
              <w:rPr>
                <w:sz w:val="15"/>
              </w:rPr>
              <w:t>CI/CD</w:t>
            </w:r>
          </w:p>
        </w:tc>
        <w:tc>
          <w:tcPr>
            <w:tcW w:type="dxa" w:w="3456"/>
            <w:vAlign w:val="top"/>
            <w:tcMar>
              <w:top w:w="80" w:type="dxa"/>
              <w:start w:w="80" w:type="dxa"/>
              <w:bottom w:w="80" w:type="dxa"/>
              <w:end w:w="80" w:type="dxa"/>
            </w:tcMar>
          </w:tcPr>
          <w:p>
            <w:pPr>
              <w:spacing w:after="20"/>
            </w:pPr>
            <w:r>
              <w:rPr>
                <w:sz w:val="15"/>
              </w:rPr>
              <w:t>GitHub Actions using AWS OIDC</w:t>
            </w:r>
          </w:p>
        </w:tc>
        <w:tc>
          <w:tcPr>
            <w:tcW w:type="dxa" w:w="4968"/>
            <w:vAlign w:val="top"/>
            <w:tcMar>
              <w:top w:w="80" w:type="dxa"/>
              <w:start w:w="80" w:type="dxa"/>
              <w:bottom w:w="80" w:type="dxa"/>
              <w:end w:w="80" w:type="dxa"/>
            </w:tcMar>
          </w:tcPr>
          <w:p>
            <w:pPr>
              <w:spacing w:after="20"/>
            </w:pPr>
            <w:r>
              <w:rPr>
                <w:sz w:val="15"/>
              </w:rPr>
              <w:t>No long-lived AWS keys in GitHub.</w:t>
            </w:r>
          </w:p>
        </w:tc>
      </w:tr>
      <w:tr>
        <w:tc>
          <w:tcPr>
            <w:tcW w:type="dxa" w:w="2088"/>
            <w:vAlign w:val="top"/>
            <w:shd w:fill="F4F7F9"/>
            <w:tcMar>
              <w:top w:w="80" w:type="dxa"/>
              <w:start w:w="80" w:type="dxa"/>
              <w:bottom w:w="80" w:type="dxa"/>
              <w:end w:w="80" w:type="dxa"/>
            </w:tcMar>
          </w:tcPr>
          <w:p>
            <w:pPr>
              <w:spacing w:after="20"/>
            </w:pPr>
            <w:r>
              <w:rPr>
                <w:sz w:val="15"/>
              </w:rPr>
              <w:t>Monitoring</w:t>
            </w:r>
          </w:p>
        </w:tc>
        <w:tc>
          <w:tcPr>
            <w:tcW w:type="dxa" w:w="3456"/>
            <w:vAlign w:val="top"/>
            <w:shd w:fill="F4F7F9"/>
            <w:tcMar>
              <w:top w:w="80" w:type="dxa"/>
              <w:start w:w="80" w:type="dxa"/>
              <w:bottom w:w="80" w:type="dxa"/>
              <w:end w:w="80" w:type="dxa"/>
            </w:tcMar>
          </w:tcPr>
          <w:p>
            <w:pPr>
              <w:spacing w:after="20"/>
            </w:pPr>
            <w:r>
              <w:rPr>
                <w:sz w:val="15"/>
              </w:rPr>
              <w:t>CloudWatch + OpenTelemetry + Sentry</w:t>
            </w:r>
          </w:p>
        </w:tc>
        <w:tc>
          <w:tcPr>
            <w:tcW w:type="dxa" w:w="4968"/>
            <w:vAlign w:val="top"/>
            <w:shd w:fill="F4F7F9"/>
            <w:tcMar>
              <w:top w:w="80" w:type="dxa"/>
              <w:start w:w="80" w:type="dxa"/>
              <w:bottom w:w="80" w:type="dxa"/>
              <w:end w:w="80" w:type="dxa"/>
            </w:tcMar>
          </w:tcPr>
          <w:p>
            <w:pPr>
              <w:spacing w:after="20"/>
            </w:pPr>
            <w:r>
              <w:rPr>
                <w:sz w:val="15"/>
              </w:rPr>
              <w:t>Infrastructure, traces, logs, product errors.</w:t>
            </w:r>
          </w:p>
        </w:tc>
      </w:tr>
    </w:tbl>
    <w:p/>
    <w:p>
      <w:pPr>
        <w:pStyle w:val="Heading1"/>
      </w:pPr>
      <w:r>
        <w:t>4. Reference architecture</w:t>
      </w:r>
    </w:p>
    <w:p>
      <w:pPr>
        <w:pStyle w:val="CodeSmall"/>
      </w:pPr>
      <w:r>
        <w:t xml:space="preserve"> USERS</w:t>
      </w:r>
    </w:p>
    <w:p>
      <w:pPr>
        <w:pStyle w:val="CodeSmall"/>
      </w:pPr>
      <w:r>
        <w:t xml:space="preserve"> ┌───────────┬────────────┬────────────┬────────────┬────────────┐</w:t>
      </w:r>
    </w:p>
    <w:p>
      <w:pPr>
        <w:pStyle w:val="CodeSmall"/>
      </w:pPr>
      <w:r>
        <w:t xml:space="preserve"> │ iPhone    │ iPad       │ Android    │ Web        │ Desktop    │</w:t>
      </w:r>
    </w:p>
    <w:p>
      <w:pPr>
        <w:pStyle w:val="CodeSmall"/>
      </w:pPr>
      <w:r>
        <w:t xml:space="preserve"> └─────┬─────┴──────┬─────┴──────┬─────┴─────┬──────┴─────┬──────┘</w:t>
      </w:r>
    </w:p>
    <w:p>
      <w:pPr>
        <w:pStyle w:val="CodeSmall"/>
      </w:pPr>
      <w:r>
        <w:t xml:space="preserve">       │            │            │           │            │</w:t>
      </w:r>
    </w:p>
    <w:p>
      <w:pPr>
        <w:pStyle w:val="CodeSmall"/>
      </w:pPr>
      <w:r>
        <w:t xml:space="preserve">       └────────────┴────────────┴───────────┴────────────┘</w:t>
      </w:r>
    </w:p>
    <w:p>
      <w:pPr>
        <w:pStyle w:val="CodeSmall"/>
      </w:pPr>
      <w:r>
        <w:t xml:space="preserve">                                  │</w:t>
      </w:r>
    </w:p>
    <w:p>
      <w:pPr>
        <w:pStyle w:val="CodeSmall"/>
      </w:pPr>
      <w:r>
        <w:t xml:space="preserve">                         Route 53 / TLS / WAF</w:t>
      </w:r>
    </w:p>
    <w:p>
      <w:pPr>
        <w:pStyle w:val="CodeSmall"/>
      </w:pPr>
      <w:r>
        <w:t xml:space="preserve">                                  │</w:t>
      </w:r>
    </w:p>
    <w:p>
      <w:pPr>
        <w:pStyle w:val="CodeSmall"/>
      </w:pPr>
      <w:r>
        <w:t xml:space="preserve">                ┌─────────────────┴─────────────────┐</w:t>
      </w:r>
    </w:p>
    <w:p>
      <w:pPr>
        <w:pStyle w:val="CodeSmall"/>
      </w:pPr>
      <w:r>
        <w:t xml:space="preserve">                │                                   │</w:t>
      </w:r>
    </w:p>
    <w:p>
      <w:pPr>
        <w:pStyle w:val="CodeSmall"/>
      </w:pPr>
      <w:r>
        <w:t xml:space="preserve">          CloudFront + S3                     ALB -&gt; ECS API</w:t>
      </w:r>
    </w:p>
    <w:p>
      <w:pPr>
        <w:pStyle w:val="CodeSmall"/>
      </w:pPr>
      <w:r>
        <w:t xml:space="preserve">          Web/static assets                         │</w:t>
      </w:r>
    </w:p>
    <w:p>
      <w:pPr>
        <w:pStyle w:val="CodeSmall"/>
      </w:pPr>
      <w:r>
        <w:t xml:space="preserve">                                                    │</w:t>
      </w:r>
    </w:p>
    <w:p>
      <w:pPr>
        <w:pStyle w:val="CodeSmall"/>
      </w:pPr>
      <w:r>
        <w:t xml:space="preserve"> External providers                                  │</w:t>
      </w:r>
    </w:p>
    <w:p>
      <w:pPr>
        <w:pStyle w:val="CodeSmall"/>
      </w:pPr>
      <w:r>
        <w:t xml:space="preserve"> Gmail / Outlook / Plaid / etc.                     │</w:t>
      </w:r>
    </w:p>
    <w:p>
      <w:pPr>
        <w:pStyle w:val="CodeSmall"/>
      </w:pPr>
      <w:r>
        <w:t xml:space="preserve">          │                                          │</w:t>
      </w:r>
    </w:p>
    <w:p>
      <w:pPr>
        <w:pStyle w:val="CodeSmall"/>
      </w:pPr>
      <w:r>
        <w:t xml:space="preserve">          ▼                                          │</w:t>
      </w:r>
    </w:p>
    <w:p>
      <w:pPr>
        <w:pStyle w:val="CodeSmall"/>
      </w:pPr>
      <w:r>
        <w:t xml:space="preserve">  API Gateway -&gt; Lambda                              │</w:t>
      </w:r>
    </w:p>
    <w:p>
      <w:pPr>
        <w:pStyle w:val="CodeSmall"/>
      </w:pPr>
      <w:r>
        <w:t xml:space="preserve">      webhook edge                                   │</w:t>
      </w:r>
    </w:p>
    <w:p>
      <w:pPr>
        <w:pStyle w:val="CodeSmall"/>
      </w:pPr>
      <w:r>
        <w:t xml:space="preserve">          │                                          │</w:t>
      </w:r>
    </w:p>
    <w:p>
      <w:pPr>
        <w:pStyle w:val="CodeSmall"/>
      </w:pPr>
      <w:r>
        <w:t xml:space="preserve">          └─────────────&gt; SQS queues &lt;───────────────┘</w:t>
      </w:r>
    </w:p>
    <w:p>
      <w:pPr>
        <w:pStyle w:val="CodeSmall"/>
      </w:pPr>
      <w:r>
        <w:t xml:space="preserve">                               │</w:t>
      </w:r>
    </w:p>
    <w:p>
      <w:pPr>
        <w:pStyle w:val="CodeSmall"/>
      </w:pPr>
      <w:r>
        <w:t xml:space="preserve">                ┌──────────────┼───────────────┐</w:t>
      </w:r>
    </w:p>
    <w:p>
      <w:pPr>
        <w:pStyle w:val="CodeSmall"/>
      </w:pPr>
      <w:r>
        <w:t xml:space="preserve">                ▼              ▼               ▼</w:t>
      </w:r>
    </w:p>
    <w:p>
      <w:pPr>
        <w:pStyle w:val="CodeSmall"/>
      </w:pPr>
      <w:r>
        <w:t xml:space="preserve">          General worker   AI/doc worker   Index worker</w:t>
      </w:r>
    </w:p>
    <w:p>
      <w:pPr>
        <w:pStyle w:val="CodeSmall"/>
      </w:pPr>
      <w:r>
        <w:t xml:space="preserve">             Fargate          Fargate          Fargate</w:t>
      </w:r>
    </w:p>
    <w:p>
      <w:pPr>
        <w:pStyle w:val="CodeSmall"/>
      </w:pPr>
      <w:r>
        <w:t xml:space="preserve">                │              │               │</w:t>
      </w:r>
    </w:p>
    <w:p>
      <w:pPr>
        <w:pStyle w:val="CodeSmall"/>
      </w:pPr>
      <w:r>
        <w:t xml:space="preserve">                └──────────────┼───────────────┘</w:t>
      </w:r>
    </w:p>
    <w:p>
      <w:pPr>
        <w:pStyle w:val="CodeSmall"/>
      </w:pPr>
      <w:r>
        <w:t xml:space="preserve">                               │</w:t>
      </w:r>
    </w:p>
    <w:p>
      <w:pPr>
        <w:pStyle w:val="CodeSmall"/>
      </w:pPr>
      <w:r>
        <w:t xml:space="preserve">              ┌────────────────┼─────────────────┐</w:t>
      </w:r>
    </w:p>
    <w:p>
      <w:pPr>
        <w:pStyle w:val="CodeSmall"/>
      </w:pPr>
      <w:r>
        <w:t xml:space="preserve">              ▼                ▼                 ▼</w:t>
      </w:r>
    </w:p>
    <w:p>
      <w:pPr>
        <w:pStyle w:val="CodeSmall"/>
      </w:pPr>
      <w:r>
        <w:t xml:space="preserve">       Aurora PostgreSQL     S3 private      Valkey cache</w:t>
      </w:r>
    </w:p>
    <w:p>
      <w:pPr>
        <w:pStyle w:val="CodeSmall"/>
      </w:pPr>
      <w:r>
        <w:t xml:space="preserve">        + RDS Proxy          documents        / locks</w:t>
      </w:r>
    </w:p>
    <w:p>
      <w:pPr>
        <w:pStyle w:val="CodeSmall"/>
      </w:pPr>
      <w:r>
        <w:t xml:space="preserve">              │</w:t>
      </w:r>
    </w:p>
    <w:p>
      <w:pPr>
        <w:pStyle w:val="CodeSmall"/>
      </w:pPr>
      <w:r>
        <w:t xml:space="preserve">              └──────&gt; EventBridge domain events</w:t>
      </w:r>
    </w:p>
    <w:p>
      <w:pPr>
        <w:pStyle w:val="CodeSmall"/>
      </w:pPr>
      <w:r>
        <w:t xml:space="preserve">                               │</w:t>
      </w:r>
    </w:p>
    <w:p>
      <w:pPr>
        <w:pStyle w:val="CodeSmall"/>
      </w:pPr>
      <w:r>
        <w:t xml:space="preserve">                 Notifications / analytics / jobs</w:t>
      </w:r>
    </w:p>
    <w:p>
      <w:r>
        <w:t>The central design decision is that Veynlo's clients are replaceable presentation layers around one secure platform. The iPhone app, Android app, web app, and desktop applications all call the same authenticated API and receive the same entitlement, household-permission, knowledge-graph, and automation behavior.</w:t>
      </w:r>
    </w:p>
    <w:p>
      <w:pPr>
        <w:pStyle w:val="Heading1"/>
      </w:pPr>
      <w:r>
        <w:t>5. AWS organization and account isolation</w:t>
      </w:r>
    </w:p>
    <w:p>
      <w:r>
        <w:t>Use AWS Control Tower before public production data exists. AWS explicitly recommends separating production from non-production workloads and using multiple accounts as security, access, quota, and billing boundaries. Control Tower also creates centralized audit and log-archive accounts. Do not run Veynlo workloads in the AWS Organizations/Control Tower management account.</w:t>
      </w:r>
    </w:p>
    <w:tbl>
      <w:tblPr>
        <w:tblStyle w:val="TableGrid"/>
        <w:tblW w:type="auto" w:w="0"/>
        <w:jc w:val="center"/>
        <w:tblLook w:firstColumn="1" w:firstRow="1" w:lastColumn="0" w:lastRow="0" w:noHBand="0" w:noVBand="1" w:val="04A0"/>
      </w:tblPr>
      <w:tblGrid>
        <w:gridCol w:w="3389"/>
        <w:gridCol w:w="3389"/>
        <w:gridCol w:w="3389"/>
      </w:tblGrid>
      <w:tr>
        <w:tc>
          <w:tcPr>
            <w:tcW w:type="dxa" w:w="2160"/>
            <w:shd w:fill="183B56"/>
            <w:tcMar>
              <w:top w:w="80" w:type="dxa"/>
              <w:start w:w="80" w:type="dxa"/>
              <w:bottom w:w="80" w:type="dxa"/>
              <w:end w:w="80" w:type="dxa"/>
            </w:tcMar>
          </w:tcPr>
          <w:p>
            <w:r>
              <w:rPr>
                <w:b/>
                <w:color w:val="FFFFFF"/>
                <w:sz w:val="16"/>
              </w:rPr>
              <w:t>AWS account</w:t>
            </w:r>
          </w:p>
        </w:tc>
        <w:tc>
          <w:tcPr>
            <w:tcW w:type="dxa" w:w="6624"/>
            <w:shd w:fill="183B56"/>
            <w:tcMar>
              <w:top w:w="80" w:type="dxa"/>
              <w:start w:w="80" w:type="dxa"/>
              <w:bottom w:w="80" w:type="dxa"/>
              <w:end w:w="80" w:type="dxa"/>
            </w:tcMar>
          </w:tcPr>
          <w:p>
            <w:r>
              <w:rPr>
                <w:b/>
                <w:color w:val="FFFFFF"/>
                <w:sz w:val="16"/>
              </w:rPr>
              <w:t>Purpose</w:t>
            </w:r>
          </w:p>
        </w:tc>
        <w:tc>
          <w:tcPr>
            <w:tcW w:type="dxa" w:w="2016"/>
            <w:shd w:fill="183B56"/>
            <w:tcMar>
              <w:top w:w="80" w:type="dxa"/>
              <w:start w:w="80" w:type="dxa"/>
              <w:bottom w:w="80" w:type="dxa"/>
              <w:end w:w="80" w:type="dxa"/>
            </w:tcMar>
          </w:tcPr>
          <w:p>
            <w:r>
              <w:rPr>
                <w:b/>
                <w:color w:val="FFFFFF"/>
                <w:sz w:val="16"/>
              </w:rPr>
              <w:t>Production data allowed?</w:t>
            </w:r>
          </w:p>
        </w:tc>
      </w:tr>
      <w:tr>
        <w:tc>
          <w:tcPr>
            <w:tcW w:type="dxa" w:w="2160"/>
            <w:vAlign w:val="top"/>
            <w:shd w:fill="F4F7F9"/>
            <w:tcMar>
              <w:top w:w="80" w:type="dxa"/>
              <w:start w:w="80" w:type="dxa"/>
              <w:bottom w:w="80" w:type="dxa"/>
              <w:end w:w="80" w:type="dxa"/>
            </w:tcMar>
          </w:tcPr>
          <w:p>
            <w:pPr>
              <w:spacing w:after="20"/>
            </w:pPr>
            <w:r>
              <w:rPr>
                <w:sz w:val="16"/>
              </w:rPr>
              <w:t>Management</w:t>
            </w:r>
          </w:p>
        </w:tc>
        <w:tc>
          <w:tcPr>
            <w:tcW w:type="dxa" w:w="6624"/>
            <w:vAlign w:val="top"/>
            <w:shd w:fill="F4F7F9"/>
            <w:tcMar>
              <w:top w:w="80" w:type="dxa"/>
              <w:start w:w="80" w:type="dxa"/>
              <w:bottom w:w="80" w:type="dxa"/>
              <w:end w:w="80" w:type="dxa"/>
            </w:tcMar>
          </w:tcPr>
          <w:p>
            <w:pPr>
              <w:spacing w:after="20"/>
            </w:pPr>
            <w:r>
              <w:rPr>
                <w:sz w:val="16"/>
              </w:rPr>
              <w:t>Organizations, Control Tower, consolidated billing, account governance only.</w:t>
            </w:r>
          </w:p>
        </w:tc>
        <w:tc>
          <w:tcPr>
            <w:tcW w:type="dxa" w:w="2016"/>
            <w:vAlign w:val="top"/>
            <w:shd w:fill="F4F7F9"/>
            <w:tcMar>
              <w:top w:w="80" w:type="dxa"/>
              <w:start w:w="80" w:type="dxa"/>
              <w:bottom w:w="80" w:type="dxa"/>
              <w:end w:w="80" w:type="dxa"/>
            </w:tcMar>
          </w:tcPr>
          <w:p>
            <w:pPr>
              <w:spacing w:after="20"/>
            </w:pPr>
            <w:r>
              <w:rPr>
                <w:sz w:val="16"/>
              </w:rPr>
              <w:t>No</w:t>
            </w:r>
          </w:p>
        </w:tc>
      </w:tr>
      <w:tr>
        <w:tc>
          <w:tcPr>
            <w:tcW w:type="dxa" w:w="2160"/>
            <w:vAlign w:val="top"/>
            <w:tcMar>
              <w:top w:w="80" w:type="dxa"/>
              <w:start w:w="80" w:type="dxa"/>
              <w:bottom w:w="80" w:type="dxa"/>
              <w:end w:w="80" w:type="dxa"/>
            </w:tcMar>
          </w:tcPr>
          <w:p>
            <w:pPr>
              <w:spacing w:after="20"/>
            </w:pPr>
            <w:r>
              <w:rPr>
                <w:sz w:val="16"/>
              </w:rPr>
              <w:t>Log Archive</w:t>
            </w:r>
          </w:p>
        </w:tc>
        <w:tc>
          <w:tcPr>
            <w:tcW w:type="dxa" w:w="6624"/>
            <w:vAlign w:val="top"/>
            <w:tcMar>
              <w:top w:w="80" w:type="dxa"/>
              <w:start w:w="80" w:type="dxa"/>
              <w:bottom w:w="80" w:type="dxa"/>
              <w:end w:w="80" w:type="dxa"/>
            </w:tcMar>
          </w:tcPr>
          <w:p>
            <w:pPr>
              <w:spacing w:after="20"/>
            </w:pPr>
            <w:r>
              <w:rPr>
                <w:sz w:val="16"/>
              </w:rPr>
              <w:t>Central immutable-ish CloudTrail/Config/log archive controlled by the landing zone.</w:t>
            </w:r>
          </w:p>
        </w:tc>
        <w:tc>
          <w:tcPr>
            <w:tcW w:type="dxa" w:w="2016"/>
            <w:vAlign w:val="top"/>
            <w:tcMar>
              <w:top w:w="80" w:type="dxa"/>
              <w:start w:w="80" w:type="dxa"/>
              <w:bottom w:w="80" w:type="dxa"/>
              <w:end w:w="80" w:type="dxa"/>
            </w:tcMar>
          </w:tcPr>
          <w:p>
            <w:pPr>
              <w:spacing w:after="20"/>
            </w:pPr>
            <w:r>
              <w:rPr>
                <w:sz w:val="16"/>
              </w:rPr>
              <w:t>Logs only</w:t>
            </w:r>
          </w:p>
        </w:tc>
      </w:tr>
      <w:tr>
        <w:tc>
          <w:tcPr>
            <w:tcW w:type="dxa" w:w="2160"/>
            <w:vAlign w:val="top"/>
            <w:shd w:fill="F4F7F9"/>
            <w:tcMar>
              <w:top w:w="80" w:type="dxa"/>
              <w:start w:w="80" w:type="dxa"/>
              <w:bottom w:w="80" w:type="dxa"/>
              <w:end w:w="80" w:type="dxa"/>
            </w:tcMar>
          </w:tcPr>
          <w:p>
            <w:pPr>
              <w:spacing w:after="20"/>
            </w:pPr>
            <w:r>
              <w:rPr>
                <w:sz w:val="16"/>
              </w:rPr>
              <w:t>Audit / Security</w:t>
            </w:r>
          </w:p>
        </w:tc>
        <w:tc>
          <w:tcPr>
            <w:tcW w:type="dxa" w:w="6624"/>
            <w:vAlign w:val="top"/>
            <w:shd w:fill="F4F7F9"/>
            <w:tcMar>
              <w:top w:w="80" w:type="dxa"/>
              <w:start w:w="80" w:type="dxa"/>
              <w:bottom w:w="80" w:type="dxa"/>
              <w:end w:w="80" w:type="dxa"/>
            </w:tcMar>
          </w:tcPr>
          <w:p>
            <w:pPr>
              <w:spacing w:after="20"/>
            </w:pPr>
            <w:r>
              <w:rPr>
                <w:sz w:val="16"/>
              </w:rPr>
              <w:t>Security Hub, GuardDuty administration, security review and delegated security administration.</w:t>
            </w:r>
          </w:p>
        </w:tc>
        <w:tc>
          <w:tcPr>
            <w:tcW w:type="dxa" w:w="2016"/>
            <w:vAlign w:val="top"/>
            <w:shd w:fill="F4F7F9"/>
            <w:tcMar>
              <w:top w:w="80" w:type="dxa"/>
              <w:start w:w="80" w:type="dxa"/>
              <w:bottom w:w="80" w:type="dxa"/>
              <w:end w:w="80" w:type="dxa"/>
            </w:tcMar>
          </w:tcPr>
          <w:p>
            <w:pPr>
              <w:spacing w:after="20"/>
            </w:pPr>
            <w:r>
              <w:rPr>
                <w:sz w:val="16"/>
              </w:rPr>
              <w:t>Security metadata only</w:t>
            </w:r>
          </w:p>
        </w:tc>
      </w:tr>
      <w:tr>
        <w:tc>
          <w:tcPr>
            <w:tcW w:type="dxa" w:w="2160"/>
            <w:vAlign w:val="top"/>
            <w:tcMar>
              <w:top w:w="80" w:type="dxa"/>
              <w:start w:w="80" w:type="dxa"/>
              <w:bottom w:w="80" w:type="dxa"/>
              <w:end w:w="80" w:type="dxa"/>
            </w:tcMar>
          </w:tcPr>
          <w:p>
            <w:pPr>
              <w:spacing w:after="20"/>
            </w:pPr>
            <w:r>
              <w:rPr>
                <w:sz w:val="16"/>
              </w:rPr>
              <w:t>Development</w:t>
            </w:r>
          </w:p>
        </w:tc>
        <w:tc>
          <w:tcPr>
            <w:tcW w:type="dxa" w:w="6624"/>
            <w:vAlign w:val="top"/>
            <w:tcMar>
              <w:top w:w="80" w:type="dxa"/>
              <w:start w:w="80" w:type="dxa"/>
              <w:bottom w:w="80" w:type="dxa"/>
              <w:end w:w="80" w:type="dxa"/>
            </w:tcMar>
          </w:tcPr>
          <w:p>
            <w:pPr>
              <w:spacing w:after="20"/>
            </w:pPr>
            <w:r>
              <w:rPr>
                <w:sz w:val="16"/>
              </w:rPr>
              <w:t>Shared AWS development resources and real-provider sandbox integrations.</w:t>
            </w:r>
          </w:p>
        </w:tc>
        <w:tc>
          <w:tcPr>
            <w:tcW w:type="dxa" w:w="2016"/>
            <w:vAlign w:val="top"/>
            <w:tcMar>
              <w:top w:w="80" w:type="dxa"/>
              <w:start w:w="80" w:type="dxa"/>
              <w:bottom w:w="80" w:type="dxa"/>
              <w:end w:w="80" w:type="dxa"/>
            </w:tcMar>
          </w:tcPr>
          <w:p>
            <w:pPr>
              <w:spacing w:after="20"/>
            </w:pPr>
            <w:r>
              <w:rPr>
                <w:sz w:val="16"/>
              </w:rPr>
              <w:t>No real production customer data</w:t>
            </w:r>
          </w:p>
        </w:tc>
      </w:tr>
      <w:tr>
        <w:tc>
          <w:tcPr>
            <w:tcW w:type="dxa" w:w="2160"/>
            <w:vAlign w:val="top"/>
            <w:shd w:fill="F4F7F9"/>
            <w:tcMar>
              <w:top w:w="80" w:type="dxa"/>
              <w:start w:w="80" w:type="dxa"/>
              <w:bottom w:w="80" w:type="dxa"/>
              <w:end w:w="80" w:type="dxa"/>
            </w:tcMar>
          </w:tcPr>
          <w:p>
            <w:pPr>
              <w:spacing w:after="20"/>
            </w:pPr>
            <w:r>
              <w:rPr>
                <w:sz w:val="16"/>
              </w:rPr>
              <w:t>Staging</w:t>
            </w:r>
          </w:p>
        </w:tc>
        <w:tc>
          <w:tcPr>
            <w:tcW w:type="dxa" w:w="6624"/>
            <w:vAlign w:val="top"/>
            <w:shd w:fill="F4F7F9"/>
            <w:tcMar>
              <w:top w:w="80" w:type="dxa"/>
              <w:start w:w="80" w:type="dxa"/>
              <w:bottom w:w="80" w:type="dxa"/>
              <w:end w:w="80" w:type="dxa"/>
            </w:tcMar>
          </w:tcPr>
          <w:p>
            <w:pPr>
              <w:spacing w:after="20"/>
            </w:pPr>
            <w:r>
              <w:rPr>
                <w:sz w:val="16"/>
              </w:rPr>
              <w:t>Pre-production deployment that mirrors production behavior with lower capacity.</w:t>
            </w:r>
          </w:p>
        </w:tc>
        <w:tc>
          <w:tcPr>
            <w:tcW w:type="dxa" w:w="2016"/>
            <w:vAlign w:val="top"/>
            <w:shd w:fill="F4F7F9"/>
            <w:tcMar>
              <w:top w:w="80" w:type="dxa"/>
              <w:start w:w="80" w:type="dxa"/>
              <w:bottom w:w="80" w:type="dxa"/>
              <w:end w:w="80" w:type="dxa"/>
            </w:tcMar>
          </w:tcPr>
          <w:p>
            <w:pPr>
              <w:spacing w:after="20"/>
            </w:pPr>
            <w:r>
              <w:rPr>
                <w:sz w:val="16"/>
              </w:rPr>
              <w:t>Synthetic/test data only</w:t>
            </w:r>
          </w:p>
        </w:tc>
      </w:tr>
      <w:tr>
        <w:tc>
          <w:tcPr>
            <w:tcW w:type="dxa" w:w="2160"/>
            <w:vAlign w:val="top"/>
            <w:tcMar>
              <w:top w:w="80" w:type="dxa"/>
              <w:start w:w="80" w:type="dxa"/>
              <w:bottom w:w="80" w:type="dxa"/>
              <w:end w:w="80" w:type="dxa"/>
            </w:tcMar>
          </w:tcPr>
          <w:p>
            <w:pPr>
              <w:spacing w:after="20"/>
            </w:pPr>
            <w:r>
              <w:rPr>
                <w:sz w:val="16"/>
              </w:rPr>
              <w:t>Production</w:t>
            </w:r>
          </w:p>
        </w:tc>
        <w:tc>
          <w:tcPr>
            <w:tcW w:type="dxa" w:w="6624"/>
            <w:vAlign w:val="top"/>
            <w:tcMar>
              <w:top w:w="80" w:type="dxa"/>
              <w:start w:w="80" w:type="dxa"/>
              <w:bottom w:w="80" w:type="dxa"/>
              <w:end w:w="80" w:type="dxa"/>
            </w:tcMar>
          </w:tcPr>
          <w:p>
            <w:pPr>
              <w:spacing w:after="20"/>
            </w:pPr>
            <w:r>
              <w:rPr>
                <w:sz w:val="16"/>
              </w:rPr>
              <w:t>All public Veynlo production application resources and customer data.</w:t>
            </w:r>
          </w:p>
        </w:tc>
        <w:tc>
          <w:tcPr>
            <w:tcW w:type="dxa" w:w="2016"/>
            <w:vAlign w:val="top"/>
            <w:tcMar>
              <w:top w:w="80" w:type="dxa"/>
              <w:start w:w="80" w:type="dxa"/>
              <w:bottom w:w="80" w:type="dxa"/>
              <w:end w:w="80" w:type="dxa"/>
            </w:tcMar>
          </w:tcPr>
          <w:p>
            <w:pPr>
              <w:spacing w:after="20"/>
            </w:pPr>
            <w:r>
              <w:rPr>
                <w:sz w:val="16"/>
              </w:rPr>
              <w:t>Yes</w:t>
            </w:r>
          </w:p>
        </w:tc>
      </w:tr>
      <w:tr>
        <w:tc>
          <w:tcPr>
            <w:tcW w:type="dxa" w:w="2160"/>
            <w:vAlign w:val="top"/>
            <w:shd w:fill="F4F7F9"/>
            <w:tcMar>
              <w:top w:w="80" w:type="dxa"/>
              <w:start w:w="80" w:type="dxa"/>
              <w:bottom w:w="80" w:type="dxa"/>
              <w:end w:w="80" w:type="dxa"/>
            </w:tcMar>
          </w:tcPr>
          <w:p>
            <w:pPr>
              <w:spacing w:after="20"/>
            </w:pPr>
            <w:r>
              <w:rPr>
                <w:sz w:val="16"/>
              </w:rPr>
              <w:t>Backup / DR</w:t>
            </w:r>
          </w:p>
        </w:tc>
        <w:tc>
          <w:tcPr>
            <w:tcW w:type="dxa" w:w="6624"/>
            <w:vAlign w:val="top"/>
            <w:shd w:fill="F4F7F9"/>
            <w:tcMar>
              <w:top w:w="80" w:type="dxa"/>
              <w:start w:w="80" w:type="dxa"/>
              <w:bottom w:w="80" w:type="dxa"/>
              <w:end w:w="80" w:type="dxa"/>
            </w:tcMar>
          </w:tcPr>
          <w:p>
            <w:pPr>
              <w:spacing w:after="20"/>
            </w:pPr>
            <w:r>
              <w:rPr>
                <w:sz w:val="16"/>
              </w:rPr>
              <w:t>Cross-account backup vaults and selected cross-region copies.</w:t>
            </w:r>
          </w:p>
        </w:tc>
        <w:tc>
          <w:tcPr>
            <w:tcW w:type="dxa" w:w="2016"/>
            <w:vAlign w:val="top"/>
            <w:shd w:fill="F4F7F9"/>
            <w:tcMar>
              <w:top w:w="80" w:type="dxa"/>
              <w:start w:w="80" w:type="dxa"/>
              <w:bottom w:w="80" w:type="dxa"/>
              <w:end w:w="80" w:type="dxa"/>
            </w:tcMar>
          </w:tcPr>
          <w:p>
            <w:pPr>
              <w:spacing w:after="20"/>
            </w:pPr>
            <w:r>
              <w:rPr>
                <w:sz w:val="16"/>
              </w:rPr>
              <w:t>Encrypted backup copies</w:t>
            </w:r>
          </w:p>
        </w:tc>
      </w:tr>
    </w:tbl>
    <w:p/>
    <w:p>
      <w:pPr>
        <w:pStyle w:val="ListBullet"/>
        <w:spacing w:after="40"/>
      </w:pPr>
      <w:r>
        <w:t>Use IAM Identity Center for human access to AWS accounts. Avoid permanent IAM access keys for developers.</w:t>
      </w:r>
    </w:p>
    <w:p>
      <w:pPr>
        <w:pStyle w:val="ListBullet"/>
        <w:spacing w:after="40"/>
      </w:pPr>
      <w:r>
        <w:t>Use service control policies at the OU level to block unwanted regions, prohibit disabling required logging/security services, and restrict high-risk actions.</w:t>
      </w:r>
    </w:p>
    <w:p>
      <w:pPr>
        <w:pStyle w:val="ListBullet"/>
        <w:spacing w:after="40"/>
      </w:pPr>
      <w:r>
        <w:t>Enable centralized root-access management for member accounts where appropriate and keep root credentials out of ordinary workflows.</w:t>
      </w:r>
    </w:p>
    <w:p>
      <w:pPr>
        <w:pStyle w:val="ListBullet"/>
        <w:spacing w:after="40"/>
      </w:pPr>
      <w:r>
        <w:t>Budget alarms and AWS Budgets should exist per workload account so a runaway AI or cloud job is visible quickly.</w:t>
      </w:r>
    </w:p>
    <w:p>
      <w:pPr>
        <w:pStyle w:val="Heading1"/>
      </w:pPr>
      <w:r>
        <w:t>6. Region and Availability Zone strategy</w:t>
      </w:r>
    </w:p>
    <w:p>
      <w:r>
        <w:t>Start the U.S. production platform in us-east-1. Use three Availability Zones for the application and data subnets. Store disaster-recovery copies in us-west-2. Do not launch a second active application region on day one; it doubles operational complexity before Veynlo has a measured need.</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83B56"/>
            <w:tcMar>
              <w:top w:w="80" w:type="dxa"/>
              <w:start w:w="80" w:type="dxa"/>
              <w:bottom w:w="80" w:type="dxa"/>
              <w:end w:w="80" w:type="dxa"/>
            </w:tcMar>
          </w:tcPr>
          <w:p>
            <w:r>
              <w:rPr>
                <w:b/>
                <w:color w:val="FFFFFF"/>
                <w:sz w:val="16"/>
              </w:rPr>
              <w:t>Stage</w:t>
            </w:r>
          </w:p>
        </w:tc>
        <w:tc>
          <w:tcPr>
            <w:tcW w:type="dxa" w:w="3744"/>
            <w:shd w:fill="183B56"/>
            <w:tcMar>
              <w:top w:w="80" w:type="dxa"/>
              <w:start w:w="80" w:type="dxa"/>
              <w:bottom w:w="80" w:type="dxa"/>
              <w:end w:w="80" w:type="dxa"/>
            </w:tcMar>
          </w:tcPr>
          <w:p>
            <w:r>
              <w:rPr>
                <w:b/>
                <w:color w:val="FFFFFF"/>
                <w:sz w:val="16"/>
              </w:rPr>
              <w:t>Region strategy</w:t>
            </w:r>
          </w:p>
        </w:tc>
        <w:tc>
          <w:tcPr>
            <w:tcW w:type="dxa" w:w="5328"/>
            <w:shd w:fill="183B56"/>
            <w:tcMar>
              <w:top w:w="80" w:type="dxa"/>
              <w:start w:w="80" w:type="dxa"/>
              <w:bottom w:w="80" w:type="dxa"/>
              <w:end w:w="80" w:type="dxa"/>
            </w:tcMar>
          </w:tcPr>
          <w:p>
            <w:r>
              <w:rPr>
                <w:b/>
                <w:color w:val="FFFFFF"/>
                <w:sz w:val="16"/>
              </w:rPr>
              <w:t>Recommendation</w:t>
            </w:r>
          </w:p>
        </w:tc>
      </w:tr>
      <w:tr>
        <w:tc>
          <w:tcPr>
            <w:tcW w:type="dxa" w:w="1728"/>
            <w:vAlign w:val="top"/>
            <w:shd w:fill="F4F7F9"/>
            <w:tcMar>
              <w:top w:w="80" w:type="dxa"/>
              <w:start w:w="80" w:type="dxa"/>
              <w:bottom w:w="80" w:type="dxa"/>
              <w:end w:w="80" w:type="dxa"/>
            </w:tcMar>
          </w:tcPr>
          <w:p>
            <w:pPr>
              <w:spacing w:after="20"/>
            </w:pPr>
            <w:r>
              <w:rPr>
                <w:sz w:val="16"/>
              </w:rPr>
              <w:t>Launch</w:t>
            </w:r>
          </w:p>
        </w:tc>
        <w:tc>
          <w:tcPr>
            <w:tcW w:type="dxa" w:w="3744"/>
            <w:vAlign w:val="top"/>
            <w:shd w:fill="F4F7F9"/>
            <w:tcMar>
              <w:top w:w="80" w:type="dxa"/>
              <w:start w:w="80" w:type="dxa"/>
              <w:bottom w:w="80" w:type="dxa"/>
              <w:end w:w="80" w:type="dxa"/>
            </w:tcMar>
          </w:tcPr>
          <w:p>
            <w:pPr>
              <w:spacing w:after="20"/>
            </w:pPr>
            <w:r>
              <w:rPr>
                <w:sz w:val="16"/>
              </w:rPr>
              <w:t>Single active region + cross-region backups</w:t>
            </w:r>
          </w:p>
        </w:tc>
        <w:tc>
          <w:tcPr>
            <w:tcW w:type="dxa" w:w="5328"/>
            <w:vAlign w:val="top"/>
            <w:shd w:fill="F4F7F9"/>
            <w:tcMar>
              <w:top w:w="80" w:type="dxa"/>
              <w:start w:w="80" w:type="dxa"/>
              <w:bottom w:w="80" w:type="dxa"/>
              <w:end w:w="80" w:type="dxa"/>
            </w:tcMar>
          </w:tcPr>
          <w:p>
            <w:pPr>
              <w:spacing w:after="20"/>
            </w:pPr>
            <w:r>
              <w:rPr>
                <w:sz w:val="16"/>
              </w:rPr>
              <w:t>us-east-1 active, us-west-2 backup copies.</w:t>
            </w:r>
          </w:p>
        </w:tc>
      </w:tr>
      <w:tr>
        <w:tc>
          <w:tcPr>
            <w:tcW w:type="dxa" w:w="1728"/>
            <w:vAlign w:val="top"/>
            <w:tcMar>
              <w:top w:w="80" w:type="dxa"/>
              <w:start w:w="80" w:type="dxa"/>
              <w:bottom w:w="80" w:type="dxa"/>
              <w:end w:w="80" w:type="dxa"/>
            </w:tcMar>
          </w:tcPr>
          <w:p>
            <w:pPr>
              <w:spacing w:after="20"/>
            </w:pPr>
            <w:r>
              <w:rPr>
                <w:sz w:val="16"/>
              </w:rPr>
              <w:t>Growth</w:t>
            </w:r>
          </w:p>
        </w:tc>
        <w:tc>
          <w:tcPr>
            <w:tcW w:type="dxa" w:w="3744"/>
            <w:vAlign w:val="top"/>
            <w:tcMar>
              <w:top w:w="80" w:type="dxa"/>
              <w:start w:w="80" w:type="dxa"/>
              <w:bottom w:w="80" w:type="dxa"/>
              <w:end w:w="80" w:type="dxa"/>
            </w:tcMar>
          </w:tcPr>
          <w:p>
            <w:pPr>
              <w:spacing w:after="20"/>
            </w:pPr>
            <w:r>
              <w:rPr>
                <w:sz w:val="16"/>
              </w:rPr>
              <w:t>Warm DR environment if revenue/SLA justifies it</w:t>
            </w:r>
          </w:p>
        </w:tc>
        <w:tc>
          <w:tcPr>
            <w:tcW w:type="dxa" w:w="5328"/>
            <w:vAlign w:val="top"/>
            <w:tcMar>
              <w:top w:w="80" w:type="dxa"/>
              <w:start w:w="80" w:type="dxa"/>
              <w:bottom w:w="80" w:type="dxa"/>
              <w:end w:w="80" w:type="dxa"/>
            </w:tcMar>
          </w:tcPr>
          <w:p>
            <w:pPr>
              <w:spacing w:after="20"/>
            </w:pPr>
            <w:r>
              <w:rPr>
                <w:sz w:val="16"/>
              </w:rPr>
              <w:t>Pre-provision network, secrets, container definitions, and restore automation in us-west-2.</w:t>
            </w:r>
          </w:p>
        </w:tc>
      </w:tr>
      <w:tr>
        <w:tc>
          <w:tcPr>
            <w:tcW w:type="dxa" w:w="1728"/>
            <w:vAlign w:val="top"/>
            <w:shd w:fill="F4F7F9"/>
            <w:tcMar>
              <w:top w:w="80" w:type="dxa"/>
              <w:start w:w="80" w:type="dxa"/>
              <w:bottom w:w="80" w:type="dxa"/>
              <w:end w:w="80" w:type="dxa"/>
            </w:tcMar>
          </w:tcPr>
          <w:p>
            <w:pPr>
              <w:spacing w:after="20"/>
            </w:pPr>
            <w:r>
              <w:rPr>
                <w:sz w:val="16"/>
              </w:rPr>
              <w:t>Large scale</w:t>
            </w:r>
          </w:p>
        </w:tc>
        <w:tc>
          <w:tcPr>
            <w:tcW w:type="dxa" w:w="3744"/>
            <w:vAlign w:val="top"/>
            <w:shd w:fill="F4F7F9"/>
            <w:tcMar>
              <w:top w:w="80" w:type="dxa"/>
              <w:start w:w="80" w:type="dxa"/>
              <w:bottom w:w="80" w:type="dxa"/>
              <w:end w:w="80" w:type="dxa"/>
            </w:tcMar>
          </w:tcPr>
          <w:p>
            <w:pPr>
              <w:spacing w:after="20"/>
            </w:pPr>
            <w:r>
              <w:rPr>
                <w:sz w:val="16"/>
              </w:rPr>
              <w:t>Aurora Global Database / regional API expansion</w:t>
            </w:r>
          </w:p>
        </w:tc>
        <w:tc>
          <w:tcPr>
            <w:tcW w:type="dxa" w:w="5328"/>
            <w:vAlign w:val="top"/>
            <w:shd w:fill="F4F7F9"/>
            <w:tcMar>
              <w:top w:w="80" w:type="dxa"/>
              <w:start w:w="80" w:type="dxa"/>
              <w:bottom w:w="80" w:type="dxa"/>
              <w:end w:w="80" w:type="dxa"/>
            </w:tcMar>
          </w:tcPr>
          <w:p>
            <w:pPr>
              <w:spacing w:after="20"/>
            </w:pPr>
            <w:r>
              <w:rPr>
                <w:sz w:val="16"/>
              </w:rPr>
              <w:t>Introduce only after measured global latency, recovery, or regulatory requirements justify it.</w:t>
            </w:r>
          </w:p>
        </w:tc>
      </w:tr>
    </w:tbl>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Availability target — </w:t>
            </w:r>
            <w:r>
              <w:t>At launch, protect strongly against an Availability Zone failure. Treat full-region failover as a controlled disaster-recovery event, not an automatic active-active design. Add global active architecture only after the operational cost is justified.</w:t>
            </w:r>
          </w:p>
        </w:tc>
      </w:tr>
    </w:tbl>
    <w:p/>
    <w:p>
      <w:pPr>
        <w:pStyle w:val="Heading1"/>
      </w:pPr>
      <w:r>
        <w:t>7. VPC and networking</w:t>
      </w:r>
    </w:p>
    <w:p>
      <w:r>
        <w:t>Production VPC design should use three Availability Zones and no public IPs on ECS tasks, Aurora, RDS Proxy, or Valkey.</w:t>
      </w:r>
    </w:p>
    <w:p>
      <w:pPr>
        <w:pStyle w:val="CodeSmall"/>
      </w:pPr>
      <w:r>
        <w:t>Production VPC: 10.20.0.0/16</w:t>
      </w:r>
    </w:p>
    <w:p>
      <w:pPr>
        <w:pStyle w:val="CodeSmall"/>
      </w:pPr>
      <w:r/>
    </w:p>
    <w:p>
      <w:pPr>
        <w:pStyle w:val="CodeSmall"/>
      </w:pPr>
      <w:r>
        <w:t>AZ-A</w:t>
      </w:r>
    </w:p>
    <w:p>
      <w:pPr>
        <w:pStyle w:val="CodeSmall"/>
      </w:pPr>
      <w:r>
        <w:t xml:space="preserve">  public/edge subnet (only resources that truly require it)</w:t>
      </w:r>
    </w:p>
    <w:p>
      <w:pPr>
        <w:pStyle w:val="CodeSmall"/>
      </w:pPr>
      <w:r>
        <w:t xml:space="preserve">  private-app subnet</w:t>
      </w:r>
    </w:p>
    <w:p>
      <w:pPr>
        <w:pStyle w:val="CodeSmall"/>
      </w:pPr>
      <w:r>
        <w:t xml:space="preserve">  isolated-data subnet</w:t>
      </w:r>
    </w:p>
    <w:p>
      <w:pPr>
        <w:pStyle w:val="CodeSmall"/>
      </w:pPr>
      <w:r/>
    </w:p>
    <w:p>
      <w:pPr>
        <w:pStyle w:val="CodeSmall"/>
      </w:pPr>
      <w:r>
        <w:t>AZ-B</w:t>
      </w:r>
    </w:p>
    <w:p>
      <w:pPr>
        <w:pStyle w:val="CodeSmall"/>
      </w:pPr>
      <w:r>
        <w:t xml:space="preserve">  public/edge subnet</w:t>
      </w:r>
    </w:p>
    <w:p>
      <w:pPr>
        <w:pStyle w:val="CodeSmall"/>
      </w:pPr>
      <w:r>
        <w:t xml:space="preserve">  private-app subnet</w:t>
      </w:r>
    </w:p>
    <w:p>
      <w:pPr>
        <w:pStyle w:val="CodeSmall"/>
      </w:pPr>
      <w:r>
        <w:t xml:space="preserve">  isolated-data subnet</w:t>
      </w:r>
    </w:p>
    <w:p>
      <w:pPr>
        <w:pStyle w:val="CodeSmall"/>
      </w:pPr>
      <w:r/>
    </w:p>
    <w:p>
      <w:pPr>
        <w:pStyle w:val="CodeSmall"/>
      </w:pPr>
      <w:r>
        <w:t>AZ-C</w:t>
      </w:r>
    </w:p>
    <w:p>
      <w:pPr>
        <w:pStyle w:val="CodeSmall"/>
      </w:pPr>
      <w:r>
        <w:t xml:space="preserve">  public/edge subnet</w:t>
      </w:r>
    </w:p>
    <w:p>
      <w:pPr>
        <w:pStyle w:val="CodeSmall"/>
      </w:pPr>
      <w:r>
        <w:t xml:space="preserve">  private-app subnet</w:t>
      </w:r>
    </w:p>
    <w:p>
      <w:pPr>
        <w:pStyle w:val="CodeSmall"/>
      </w:pPr>
      <w:r>
        <w:t xml:space="preserve">  isolated-data subnet</w:t>
      </w:r>
    </w:p>
    <w:p>
      <w:r>
        <w:t>Prefer the newer AWS Regional NAT Gateway in us-east-1 if it is supported for the production account/region at deployment time. Regional NAT automatically expands across the Availability Zones where workloads exist and removes the need to manually operate one zonal NAT gateway per AZ. If regional NAT is unavailable for any reason, use one conventional zonal NAT gateway per active AZ; never route all three production AZs through one zonal NAT.</w:t>
      </w:r>
    </w:p>
    <w:p>
      <w:pPr>
        <w:pStyle w:val="ListBullet"/>
        <w:spacing w:after="40"/>
      </w:pPr>
      <w:r>
        <w:t>Add an S3 Gateway VPC Endpoint so S3 traffic does not require NAT.</w:t>
      </w:r>
    </w:p>
    <w:p>
      <w:pPr>
        <w:pStyle w:val="ListBullet"/>
        <w:spacing w:after="40"/>
      </w:pPr>
      <w:r>
        <w:t>Add interface endpoints where cost/traffic justify them for ECR API, ECR DKR, CloudWatch Logs, Secrets Manager, SQS, KMS, and other heavily used AWS services.</w:t>
      </w:r>
    </w:p>
    <w:p>
      <w:pPr>
        <w:pStyle w:val="ListBullet"/>
        <w:spacing w:after="40"/>
      </w:pPr>
      <w:r>
        <w:t>Restrict security groups by service relationship, not broad CIDR rules. The API security group may reach RDS Proxy and Valkey; database security groups should accept only the proxy/approved service groups.</w:t>
      </w:r>
    </w:p>
    <w:p>
      <w:pPr>
        <w:pStyle w:val="ListBullet"/>
        <w:spacing w:after="40"/>
      </w:pPr>
      <w:r>
        <w:t>Use VPC Flow Logs to the centralized logging path, but filter/retain with cost in mind.</w:t>
      </w:r>
    </w:p>
    <w:p>
      <w:pPr>
        <w:pStyle w:val="ListBullet"/>
        <w:spacing w:after="40"/>
      </w:pPr>
      <w:r>
        <w:t>Outbound provider calls (Google, Microsoft, Plaid, model APIs) leave through managed NAT; inbound provider webhooks should terminate at the dedicated API Gateway edge rather than exposing containers directly.</w:t>
      </w:r>
    </w:p>
    <w:p>
      <w:pPr>
        <w:pStyle w:val="Heading1"/>
      </w:pPr>
      <w:r>
        <w:t>8. DNS, TLS, edge, WAF, and DDoS protection</w:t>
      </w:r>
    </w:p>
    <w:p>
      <w:r>
        <w:t>Route 53 should own the public Veynlo zones. AWS Certificate Manager should issue/renew TLS certificates for AWS-hosted endpoints.</w:t>
      </w:r>
    </w:p>
    <w:tbl>
      <w:tblPr>
        <w:tblStyle w:val="TableGrid"/>
        <w:tblW w:type="auto" w:w="0"/>
        <w:jc w:val="center"/>
        <w:tblLook w:firstColumn="1" w:firstRow="1" w:lastColumn="0" w:lastRow="0" w:noHBand="0" w:noVBand="1" w:val="04A0"/>
      </w:tblPr>
      <w:tblGrid>
        <w:gridCol w:w="5083"/>
        <w:gridCol w:w="5083"/>
      </w:tblGrid>
      <w:tr>
        <w:tc>
          <w:tcPr>
            <w:tcW w:type="dxa" w:w="3168"/>
            <w:shd w:fill="183B56"/>
            <w:tcMar>
              <w:top w:w="80" w:type="dxa"/>
              <w:start w:w="80" w:type="dxa"/>
              <w:bottom w:w="80" w:type="dxa"/>
              <w:end w:w="80" w:type="dxa"/>
            </w:tcMar>
          </w:tcPr>
          <w:p>
            <w:r>
              <w:rPr>
                <w:b/>
                <w:color w:val="FFFFFF"/>
                <w:sz w:val="16"/>
              </w:rPr>
              <w:t>Hostname</w:t>
            </w:r>
          </w:p>
        </w:tc>
        <w:tc>
          <w:tcPr>
            <w:tcW w:type="dxa" w:w="7200"/>
            <w:shd w:fill="183B56"/>
            <w:tcMar>
              <w:top w:w="80" w:type="dxa"/>
              <w:start w:w="80" w:type="dxa"/>
              <w:bottom w:w="80" w:type="dxa"/>
              <w:end w:w="80" w:type="dxa"/>
            </w:tcMar>
          </w:tcPr>
          <w:p>
            <w:r>
              <w:rPr>
                <w:b/>
                <w:color w:val="FFFFFF"/>
                <w:sz w:val="16"/>
              </w:rPr>
              <w:t>Purpose</w:t>
            </w:r>
          </w:p>
        </w:tc>
      </w:tr>
      <w:tr>
        <w:tc>
          <w:tcPr>
            <w:tcW w:type="dxa" w:w="3168"/>
            <w:vAlign w:val="top"/>
            <w:shd w:fill="F4F7F9"/>
            <w:tcMar>
              <w:top w:w="80" w:type="dxa"/>
              <w:start w:w="80" w:type="dxa"/>
              <w:bottom w:w="80" w:type="dxa"/>
              <w:end w:w="80" w:type="dxa"/>
            </w:tcMar>
          </w:tcPr>
          <w:p>
            <w:pPr>
              <w:spacing w:after="20"/>
            </w:pPr>
            <w:r>
              <w:rPr>
                <w:sz w:val="16"/>
              </w:rPr>
              <w:t>www.veynlo.com</w:t>
            </w:r>
          </w:p>
        </w:tc>
        <w:tc>
          <w:tcPr>
            <w:tcW w:type="dxa" w:w="7200"/>
            <w:vAlign w:val="top"/>
            <w:shd w:fill="F4F7F9"/>
            <w:tcMar>
              <w:top w:w="80" w:type="dxa"/>
              <w:start w:w="80" w:type="dxa"/>
              <w:bottom w:w="80" w:type="dxa"/>
              <w:end w:w="80" w:type="dxa"/>
            </w:tcMar>
          </w:tcPr>
          <w:p>
            <w:pPr>
              <w:spacing w:after="20"/>
            </w:pPr>
            <w:r>
              <w:rPr>
                <w:sz w:val="16"/>
              </w:rPr>
              <w:t>Marketing website.</w:t>
            </w:r>
          </w:p>
        </w:tc>
      </w:tr>
      <w:tr>
        <w:tc>
          <w:tcPr>
            <w:tcW w:type="dxa" w:w="3168"/>
            <w:vAlign w:val="top"/>
            <w:tcMar>
              <w:top w:w="80" w:type="dxa"/>
              <w:start w:w="80" w:type="dxa"/>
              <w:bottom w:w="80" w:type="dxa"/>
              <w:end w:w="80" w:type="dxa"/>
            </w:tcMar>
          </w:tcPr>
          <w:p>
            <w:pPr>
              <w:spacing w:after="20"/>
            </w:pPr>
            <w:r>
              <w:rPr>
                <w:sz w:val="16"/>
              </w:rPr>
              <w:t>app.veynlo.com</w:t>
            </w:r>
          </w:p>
        </w:tc>
        <w:tc>
          <w:tcPr>
            <w:tcW w:type="dxa" w:w="7200"/>
            <w:vAlign w:val="top"/>
            <w:tcMar>
              <w:top w:w="80" w:type="dxa"/>
              <w:start w:w="80" w:type="dxa"/>
              <w:bottom w:w="80" w:type="dxa"/>
              <w:end w:w="80" w:type="dxa"/>
            </w:tcMar>
          </w:tcPr>
          <w:p>
            <w:pPr>
              <w:spacing w:after="20"/>
            </w:pPr>
            <w:r>
              <w:rPr>
                <w:sz w:val="16"/>
              </w:rPr>
              <w:t>Authenticated browser application.</w:t>
            </w:r>
          </w:p>
        </w:tc>
      </w:tr>
      <w:tr>
        <w:tc>
          <w:tcPr>
            <w:tcW w:type="dxa" w:w="3168"/>
            <w:vAlign w:val="top"/>
            <w:shd w:fill="F4F7F9"/>
            <w:tcMar>
              <w:top w:w="80" w:type="dxa"/>
              <w:start w:w="80" w:type="dxa"/>
              <w:bottom w:w="80" w:type="dxa"/>
              <w:end w:w="80" w:type="dxa"/>
            </w:tcMar>
          </w:tcPr>
          <w:p>
            <w:pPr>
              <w:spacing w:after="20"/>
            </w:pPr>
            <w:r>
              <w:rPr>
                <w:sz w:val="16"/>
              </w:rPr>
              <w:t>api.veynlo.com</w:t>
            </w:r>
          </w:p>
        </w:tc>
        <w:tc>
          <w:tcPr>
            <w:tcW w:type="dxa" w:w="7200"/>
            <w:vAlign w:val="top"/>
            <w:shd w:fill="F4F7F9"/>
            <w:tcMar>
              <w:top w:w="80" w:type="dxa"/>
              <w:start w:w="80" w:type="dxa"/>
              <w:bottom w:w="80" w:type="dxa"/>
              <w:end w:w="80" w:type="dxa"/>
            </w:tcMar>
          </w:tcPr>
          <w:p>
            <w:pPr>
              <w:spacing w:after="20"/>
            </w:pPr>
            <w:r>
              <w:rPr>
                <w:sz w:val="16"/>
              </w:rPr>
              <w:t>Mobile/web/desktop application API.</w:t>
            </w:r>
          </w:p>
        </w:tc>
      </w:tr>
      <w:tr>
        <w:tc>
          <w:tcPr>
            <w:tcW w:type="dxa" w:w="3168"/>
            <w:vAlign w:val="top"/>
            <w:tcMar>
              <w:top w:w="80" w:type="dxa"/>
              <w:start w:w="80" w:type="dxa"/>
              <w:bottom w:w="80" w:type="dxa"/>
              <w:end w:w="80" w:type="dxa"/>
            </w:tcMar>
          </w:tcPr>
          <w:p>
            <w:pPr>
              <w:spacing w:after="20"/>
            </w:pPr>
            <w:r>
              <w:rPr>
                <w:sz w:val="16"/>
              </w:rPr>
              <w:t>hooks.veynlo.com</w:t>
            </w:r>
          </w:p>
        </w:tc>
        <w:tc>
          <w:tcPr>
            <w:tcW w:type="dxa" w:w="7200"/>
            <w:vAlign w:val="top"/>
            <w:tcMar>
              <w:top w:w="80" w:type="dxa"/>
              <w:start w:w="80" w:type="dxa"/>
              <w:bottom w:w="80" w:type="dxa"/>
              <w:end w:w="80" w:type="dxa"/>
            </w:tcMar>
          </w:tcPr>
          <w:p>
            <w:pPr>
              <w:spacing w:after="20"/>
            </w:pPr>
            <w:r>
              <w:rPr>
                <w:sz w:val="16"/>
              </w:rPr>
              <w:t>External provider webhook ingress.</w:t>
            </w:r>
          </w:p>
        </w:tc>
      </w:tr>
      <w:tr>
        <w:tc>
          <w:tcPr>
            <w:tcW w:type="dxa" w:w="3168"/>
            <w:vAlign w:val="top"/>
            <w:shd w:fill="F4F7F9"/>
            <w:tcMar>
              <w:top w:w="80" w:type="dxa"/>
              <w:start w:w="80" w:type="dxa"/>
              <w:bottom w:w="80" w:type="dxa"/>
              <w:end w:w="80" w:type="dxa"/>
            </w:tcMar>
          </w:tcPr>
          <w:p>
            <w:pPr>
              <w:spacing w:after="20"/>
            </w:pPr>
            <w:r>
              <w:rPr>
                <w:sz w:val="16"/>
              </w:rPr>
              <w:t>auth.veynlo.com</w:t>
            </w:r>
          </w:p>
        </w:tc>
        <w:tc>
          <w:tcPr>
            <w:tcW w:type="dxa" w:w="7200"/>
            <w:vAlign w:val="top"/>
            <w:shd w:fill="F4F7F9"/>
            <w:tcMar>
              <w:top w:w="80" w:type="dxa"/>
              <w:start w:w="80" w:type="dxa"/>
              <w:bottom w:w="80" w:type="dxa"/>
              <w:end w:w="80" w:type="dxa"/>
            </w:tcMar>
          </w:tcPr>
          <w:p>
            <w:pPr>
              <w:spacing w:after="20"/>
            </w:pPr>
            <w:r>
              <w:rPr>
                <w:sz w:val="16"/>
              </w:rPr>
              <w:t>Custom Cognito/OIDC authentication domain.</w:t>
            </w:r>
          </w:p>
        </w:tc>
      </w:tr>
      <w:tr>
        <w:tc>
          <w:tcPr>
            <w:tcW w:type="dxa" w:w="3168"/>
            <w:vAlign w:val="top"/>
            <w:tcMar>
              <w:top w:w="80" w:type="dxa"/>
              <w:start w:w="80" w:type="dxa"/>
              <w:bottom w:w="80" w:type="dxa"/>
              <w:end w:w="80" w:type="dxa"/>
            </w:tcMar>
          </w:tcPr>
          <w:p>
            <w:pPr>
              <w:spacing w:after="20"/>
            </w:pPr>
            <w:r>
              <w:rPr>
                <w:sz w:val="16"/>
              </w:rPr>
              <w:t>status.veynlo.com</w:t>
            </w:r>
          </w:p>
        </w:tc>
        <w:tc>
          <w:tcPr>
            <w:tcW w:type="dxa" w:w="7200"/>
            <w:vAlign w:val="top"/>
            <w:tcMar>
              <w:top w:w="80" w:type="dxa"/>
              <w:start w:w="80" w:type="dxa"/>
              <w:bottom w:w="80" w:type="dxa"/>
              <w:end w:w="80" w:type="dxa"/>
            </w:tcMar>
          </w:tcPr>
          <w:p>
            <w:pPr>
              <w:spacing w:after="20"/>
            </w:pPr>
            <w:r>
              <w:rPr>
                <w:sz w:val="16"/>
              </w:rPr>
              <w:t>Public status page, ideally hosted independently enough to remain visible during core outages.</w:t>
            </w:r>
          </w:p>
        </w:tc>
      </w:tr>
    </w:tbl>
    <w:p/>
    <w:p>
      <w:pPr>
        <w:pStyle w:val="ListBullet"/>
        <w:spacing w:after="40"/>
      </w:pPr>
      <w:r>
        <w:t>Attach AWS WAF to CloudFront distributions and the API load balancer/API Gateway as appropriate.</w:t>
      </w:r>
    </w:p>
    <w:p>
      <w:pPr>
        <w:pStyle w:val="ListBullet"/>
        <w:spacing w:after="40"/>
      </w:pPr>
      <w:r>
        <w:t>Start with AWS managed rule groups, bot/abuse-specific rules where useful, IP reputation, request-size constraints, and per-route rate limits.</w:t>
      </w:r>
    </w:p>
    <w:p>
      <w:pPr>
        <w:pStyle w:val="ListBullet"/>
        <w:spacing w:after="40"/>
      </w:pPr>
      <w:r>
        <w:t>Do not use one global rate limit for every endpoint. Authentication, uploads, Ask Veynlo, exports, and normal reads have different risk/cost profiles.</w:t>
      </w:r>
    </w:p>
    <w:p>
      <w:pPr>
        <w:pStyle w:val="ListBullet"/>
        <w:spacing w:after="40"/>
      </w:pPr>
      <w:r>
        <w:t>AWS Shield Standard is automatically included with AWS edge services. Consider Shield Advanced only when revenue/risk justifies the cost.</w:t>
      </w:r>
    </w:p>
    <w:p>
      <w:pPr>
        <w:pStyle w:val="ListBullet"/>
        <w:spacing w:after="40"/>
      </w:pPr>
      <w:r>
        <w:t>Set HSTS, Content-Security-Policy, Referrer-Policy, Permissions-Policy, and other modern security headers at the edge/application layer.</w:t>
      </w:r>
    </w:p>
    <w:p>
      <w:pPr>
        <w:pStyle w:val="Heading1"/>
      </w:pPr>
      <w:r>
        <w:t>9. Web frontend and marketing site</w:t>
      </w:r>
    </w:p>
    <w:p>
      <w:r>
        <w:t>Keep the public marketing site and authenticated application separable. The private Veynlo application does not need server-side rendering for SEO. A client-rendered React/Next.js application can be built into versioned static assets, stored in S3, and delivered globally through CloudFront.</w:t>
      </w:r>
    </w:p>
    <w:p>
      <w:pPr>
        <w:pStyle w:val="ListBullet"/>
        <w:spacing w:after="40"/>
      </w:pPr>
      <w:r>
        <w:t>Marketing site: Next.js, optimized for SEO. Static-generation first. If server-side rendering becomes necessary, run only the dynamic portion on Fargate.</w:t>
      </w:r>
    </w:p>
    <w:p>
      <w:pPr>
        <w:pStyle w:val="ListBullet"/>
        <w:spacing w:after="40"/>
      </w:pPr>
      <w:r>
        <w:t>Authenticated web app: Next.js/React static shell delivered by CloudFront; all private data comes from api.veynlo.com after authentication.</w:t>
      </w:r>
    </w:p>
    <w:p>
      <w:pPr>
        <w:pStyle w:val="ListBullet"/>
        <w:spacing w:after="40"/>
      </w:pPr>
      <w:r>
        <w:t>S3 buckets remain private; CloudFront uses Origin Access Control rather than making buckets public.</w:t>
      </w:r>
    </w:p>
    <w:p>
      <w:pPr>
        <w:pStyle w:val="ListBullet"/>
        <w:spacing w:after="40"/>
      </w:pPr>
      <w:r>
        <w:t>Use immutable hashed asset names and long cache lifetimes; keep index/config documents on short cache lifetimes.</w:t>
      </w:r>
    </w:p>
    <w:p>
      <w:pPr>
        <w:pStyle w:val="ListBullet"/>
        <w:spacing w:after="40"/>
      </w:pPr>
      <w:r>
        <w:t>Use environment-specific web configuration at build/deploy time. Production builds may never point to dev/staging APIs.</w:t>
      </w:r>
    </w:p>
    <w:p>
      <w:pPr>
        <w:pStyle w:val="Heading1"/>
        <w:pageBreakBefore/>
      </w:pPr>
      <w:r>
        <w:t>10. Core API compute</w:t>
      </w:r>
    </w:p>
    <w:p>
      <w:r>
        <w:t>Run the main API as Linux/ARM64 containers on Amazon ECS Fargate. ARM64/Graviton-compatible workloads are supported by Fargate and are a strong default for Node.js/TypeScript services when all native dependencies support ARM64.</w:t>
      </w:r>
    </w:p>
    <w:tbl>
      <w:tblPr>
        <w:tblStyle w:val="TableGrid"/>
        <w:tblW w:type="auto" w:w="0"/>
        <w:jc w:val="center"/>
        <w:tblLook w:firstColumn="1" w:firstRow="1" w:lastColumn="0" w:lastRow="0" w:noHBand="0" w:noVBand="1" w:val="04A0"/>
      </w:tblPr>
      <w:tblGrid>
        <w:gridCol w:w="3389"/>
        <w:gridCol w:w="3389"/>
        <w:gridCol w:w="3389"/>
      </w:tblGrid>
      <w:tr>
        <w:tc>
          <w:tcPr>
            <w:tcW w:type="dxa" w:w="2376"/>
            <w:shd w:fill="183B56"/>
            <w:tcMar>
              <w:top w:w="80" w:type="dxa"/>
              <w:start w:w="80" w:type="dxa"/>
              <w:bottom w:w="80" w:type="dxa"/>
              <w:end w:w="80" w:type="dxa"/>
            </w:tcMar>
          </w:tcPr>
          <w:p>
            <w:r>
              <w:rPr>
                <w:b/>
                <w:color w:val="FFFFFF"/>
                <w:sz w:val="16"/>
              </w:rPr>
              <w:t>Setting</w:t>
            </w:r>
          </w:p>
        </w:tc>
        <w:tc>
          <w:tcPr>
            <w:tcW w:type="dxa" w:w="3312"/>
            <w:shd w:fill="183B56"/>
            <w:tcMar>
              <w:top w:w="80" w:type="dxa"/>
              <w:start w:w="80" w:type="dxa"/>
              <w:bottom w:w="80" w:type="dxa"/>
              <w:end w:w="80" w:type="dxa"/>
            </w:tcMar>
          </w:tcPr>
          <w:p>
            <w:r>
              <w:rPr>
                <w:b/>
                <w:color w:val="FFFFFF"/>
                <w:sz w:val="16"/>
              </w:rPr>
              <w:t>Launch production value</w:t>
            </w:r>
          </w:p>
        </w:tc>
        <w:tc>
          <w:tcPr>
            <w:tcW w:type="dxa" w:w="4680"/>
            <w:shd w:fill="183B56"/>
            <w:tcMar>
              <w:top w:w="80" w:type="dxa"/>
              <w:start w:w="80" w:type="dxa"/>
              <w:bottom w:w="80" w:type="dxa"/>
              <w:end w:w="80" w:type="dxa"/>
            </w:tcMar>
          </w:tcPr>
          <w:p>
            <w:r>
              <w:rPr>
                <w:b/>
                <w:color w:val="FFFFFF"/>
                <w:sz w:val="16"/>
              </w:rPr>
              <w:t>Reason</w:t>
            </w:r>
          </w:p>
        </w:tc>
      </w:tr>
      <w:tr>
        <w:tc>
          <w:tcPr>
            <w:tcW w:type="dxa" w:w="2376"/>
            <w:vAlign w:val="top"/>
            <w:shd w:fill="F4F7F9"/>
            <w:tcMar>
              <w:top w:w="80" w:type="dxa"/>
              <w:start w:w="80" w:type="dxa"/>
              <w:bottom w:w="80" w:type="dxa"/>
              <w:end w:w="80" w:type="dxa"/>
            </w:tcMar>
          </w:tcPr>
          <w:p>
            <w:pPr>
              <w:spacing w:after="20"/>
            </w:pPr>
            <w:r>
              <w:rPr>
                <w:sz w:val="16"/>
              </w:rPr>
              <w:t>Runtime</w:t>
            </w:r>
          </w:p>
        </w:tc>
        <w:tc>
          <w:tcPr>
            <w:tcW w:type="dxa" w:w="3312"/>
            <w:vAlign w:val="top"/>
            <w:shd w:fill="F4F7F9"/>
            <w:tcMar>
              <w:top w:w="80" w:type="dxa"/>
              <w:start w:w="80" w:type="dxa"/>
              <w:bottom w:w="80" w:type="dxa"/>
              <w:end w:w="80" w:type="dxa"/>
            </w:tcMar>
          </w:tcPr>
          <w:p>
            <w:pPr>
              <w:spacing w:after="20"/>
            </w:pPr>
            <w:r>
              <w:rPr>
                <w:sz w:val="16"/>
              </w:rPr>
              <w:t>Node.js current LTS, TypeScript</w:t>
            </w:r>
          </w:p>
        </w:tc>
        <w:tc>
          <w:tcPr>
            <w:tcW w:type="dxa" w:w="4680"/>
            <w:vAlign w:val="top"/>
            <w:shd w:fill="F4F7F9"/>
            <w:tcMar>
              <w:top w:w="80" w:type="dxa"/>
              <w:start w:w="80" w:type="dxa"/>
              <w:bottom w:w="80" w:type="dxa"/>
              <w:end w:w="80" w:type="dxa"/>
            </w:tcMar>
          </w:tcPr>
          <w:p>
            <w:pPr>
              <w:spacing w:after="20"/>
            </w:pPr>
            <w:r>
              <w:rPr>
                <w:sz w:val="16"/>
              </w:rPr>
              <w:t>Shared language across backend/web/mobile packages and large ecosystem.</w:t>
            </w:r>
          </w:p>
        </w:tc>
      </w:tr>
      <w:tr>
        <w:tc>
          <w:tcPr>
            <w:tcW w:type="dxa" w:w="2376"/>
            <w:vAlign w:val="top"/>
            <w:tcMar>
              <w:top w:w="80" w:type="dxa"/>
              <w:start w:w="80" w:type="dxa"/>
              <w:bottom w:w="80" w:type="dxa"/>
              <w:end w:w="80" w:type="dxa"/>
            </w:tcMar>
          </w:tcPr>
          <w:p>
            <w:pPr>
              <w:spacing w:after="20"/>
            </w:pPr>
            <w:r>
              <w:rPr>
                <w:sz w:val="16"/>
              </w:rPr>
              <w:t>Framework</w:t>
            </w:r>
          </w:p>
        </w:tc>
        <w:tc>
          <w:tcPr>
            <w:tcW w:type="dxa" w:w="3312"/>
            <w:vAlign w:val="top"/>
            <w:tcMar>
              <w:top w:w="80" w:type="dxa"/>
              <w:start w:w="80" w:type="dxa"/>
              <w:bottom w:w="80" w:type="dxa"/>
              <w:end w:w="80" w:type="dxa"/>
            </w:tcMar>
          </w:tcPr>
          <w:p>
            <w:pPr>
              <w:spacing w:after="20"/>
            </w:pPr>
            <w:r>
              <w:rPr>
                <w:sz w:val="16"/>
              </w:rPr>
              <w:t>NestJS with Fastify adapter</w:t>
            </w:r>
          </w:p>
        </w:tc>
        <w:tc>
          <w:tcPr>
            <w:tcW w:type="dxa" w:w="4680"/>
            <w:vAlign w:val="top"/>
            <w:tcMar>
              <w:top w:w="80" w:type="dxa"/>
              <w:start w:w="80" w:type="dxa"/>
              <w:bottom w:w="80" w:type="dxa"/>
              <w:end w:w="80" w:type="dxa"/>
            </w:tcMar>
          </w:tcPr>
          <w:p>
            <w:pPr>
              <w:spacing w:after="20"/>
            </w:pPr>
            <w:r>
              <w:rPr>
                <w:sz w:val="16"/>
              </w:rPr>
              <w:t>Structured modular backend with lower overhead than Express-style defaults.</w:t>
            </w:r>
          </w:p>
        </w:tc>
      </w:tr>
      <w:tr>
        <w:tc>
          <w:tcPr>
            <w:tcW w:type="dxa" w:w="2376"/>
            <w:vAlign w:val="top"/>
            <w:shd w:fill="F4F7F9"/>
            <w:tcMar>
              <w:top w:w="80" w:type="dxa"/>
              <w:start w:w="80" w:type="dxa"/>
              <w:bottom w:w="80" w:type="dxa"/>
              <w:end w:w="80" w:type="dxa"/>
            </w:tcMar>
          </w:tcPr>
          <w:p>
            <w:pPr>
              <w:spacing w:after="20"/>
            </w:pPr>
            <w:r>
              <w:rPr>
                <w:sz w:val="16"/>
              </w:rPr>
              <w:t>Container architecture</w:t>
            </w:r>
          </w:p>
        </w:tc>
        <w:tc>
          <w:tcPr>
            <w:tcW w:type="dxa" w:w="3312"/>
            <w:vAlign w:val="top"/>
            <w:shd w:fill="F4F7F9"/>
            <w:tcMar>
              <w:top w:w="80" w:type="dxa"/>
              <w:start w:w="80" w:type="dxa"/>
              <w:bottom w:w="80" w:type="dxa"/>
              <w:end w:w="80" w:type="dxa"/>
            </w:tcMar>
          </w:tcPr>
          <w:p>
            <w:pPr>
              <w:spacing w:after="20"/>
            </w:pPr>
            <w:r>
              <w:rPr>
                <w:sz w:val="16"/>
              </w:rPr>
              <w:t>Linux ARM64</w:t>
            </w:r>
          </w:p>
        </w:tc>
        <w:tc>
          <w:tcPr>
            <w:tcW w:type="dxa" w:w="4680"/>
            <w:vAlign w:val="top"/>
            <w:shd w:fill="F4F7F9"/>
            <w:tcMar>
              <w:top w:w="80" w:type="dxa"/>
              <w:start w:w="80" w:type="dxa"/>
              <w:bottom w:w="80" w:type="dxa"/>
              <w:end w:w="80" w:type="dxa"/>
            </w:tcMar>
          </w:tcPr>
          <w:p>
            <w:pPr>
              <w:spacing w:after="20"/>
            </w:pPr>
            <w:r>
              <w:rPr>
                <w:sz w:val="16"/>
              </w:rPr>
              <w:t>Good price/performance; test all native dependencies in CI.</w:t>
            </w:r>
          </w:p>
        </w:tc>
      </w:tr>
      <w:tr>
        <w:tc>
          <w:tcPr>
            <w:tcW w:type="dxa" w:w="2376"/>
            <w:vAlign w:val="top"/>
            <w:tcMar>
              <w:top w:w="80" w:type="dxa"/>
              <w:start w:w="80" w:type="dxa"/>
              <w:bottom w:w="80" w:type="dxa"/>
              <w:end w:w="80" w:type="dxa"/>
            </w:tcMar>
          </w:tcPr>
          <w:p>
            <w:pPr>
              <w:spacing w:after="20"/>
            </w:pPr>
            <w:r>
              <w:rPr>
                <w:sz w:val="16"/>
              </w:rPr>
              <w:t>Task size</w:t>
            </w:r>
          </w:p>
        </w:tc>
        <w:tc>
          <w:tcPr>
            <w:tcW w:type="dxa" w:w="3312"/>
            <w:vAlign w:val="top"/>
            <w:tcMar>
              <w:top w:w="80" w:type="dxa"/>
              <w:start w:w="80" w:type="dxa"/>
              <w:bottom w:w="80" w:type="dxa"/>
              <w:end w:w="80" w:type="dxa"/>
            </w:tcMar>
          </w:tcPr>
          <w:p>
            <w:pPr>
              <w:spacing w:after="20"/>
            </w:pPr>
            <w:r>
              <w:rPr>
                <w:sz w:val="16"/>
              </w:rPr>
              <w:t>1 vCPU / 2 GB</w:t>
            </w:r>
          </w:p>
        </w:tc>
        <w:tc>
          <w:tcPr>
            <w:tcW w:type="dxa" w:w="4680"/>
            <w:vAlign w:val="top"/>
            <w:tcMar>
              <w:top w:w="80" w:type="dxa"/>
              <w:start w:w="80" w:type="dxa"/>
              <w:bottom w:w="80" w:type="dxa"/>
              <w:end w:w="80" w:type="dxa"/>
            </w:tcMar>
          </w:tcPr>
          <w:p>
            <w:pPr>
              <w:spacing w:after="20"/>
            </w:pPr>
            <w:r>
              <w:rPr>
                <w:sz w:val="16"/>
              </w:rPr>
              <w:t>Sensible launch baseline for API; load-test before public release.</w:t>
            </w:r>
          </w:p>
        </w:tc>
      </w:tr>
      <w:tr>
        <w:tc>
          <w:tcPr>
            <w:tcW w:type="dxa" w:w="2376"/>
            <w:vAlign w:val="top"/>
            <w:shd w:fill="F4F7F9"/>
            <w:tcMar>
              <w:top w:w="80" w:type="dxa"/>
              <w:start w:w="80" w:type="dxa"/>
              <w:bottom w:w="80" w:type="dxa"/>
              <w:end w:w="80" w:type="dxa"/>
            </w:tcMar>
          </w:tcPr>
          <w:p>
            <w:pPr>
              <w:spacing w:after="20"/>
            </w:pPr>
            <w:r>
              <w:rPr>
                <w:sz w:val="16"/>
              </w:rPr>
              <w:t>Minimum tasks</w:t>
            </w:r>
          </w:p>
        </w:tc>
        <w:tc>
          <w:tcPr>
            <w:tcW w:type="dxa" w:w="3312"/>
            <w:vAlign w:val="top"/>
            <w:shd w:fill="F4F7F9"/>
            <w:tcMar>
              <w:top w:w="80" w:type="dxa"/>
              <w:start w:w="80" w:type="dxa"/>
              <w:bottom w:w="80" w:type="dxa"/>
              <w:end w:w="80" w:type="dxa"/>
            </w:tcMar>
          </w:tcPr>
          <w:p>
            <w:pPr>
              <w:spacing w:after="20"/>
            </w:pPr>
            <w:r>
              <w:rPr>
                <w:sz w:val="16"/>
              </w:rPr>
              <w:t>3</w:t>
            </w:r>
          </w:p>
        </w:tc>
        <w:tc>
          <w:tcPr>
            <w:tcW w:type="dxa" w:w="4680"/>
            <w:vAlign w:val="top"/>
            <w:shd w:fill="F4F7F9"/>
            <w:tcMar>
              <w:top w:w="80" w:type="dxa"/>
              <w:start w:w="80" w:type="dxa"/>
              <w:bottom w:w="80" w:type="dxa"/>
              <w:end w:w="80" w:type="dxa"/>
            </w:tcMar>
          </w:tcPr>
          <w:p>
            <w:pPr>
              <w:spacing w:after="20"/>
            </w:pPr>
            <w:r>
              <w:rPr>
                <w:sz w:val="16"/>
              </w:rPr>
              <w:t>Keep one baseline task per active AZ under normal scheduler placement.</w:t>
            </w:r>
          </w:p>
        </w:tc>
      </w:tr>
      <w:tr>
        <w:tc>
          <w:tcPr>
            <w:tcW w:type="dxa" w:w="2376"/>
            <w:vAlign w:val="top"/>
            <w:tcMar>
              <w:top w:w="80" w:type="dxa"/>
              <w:start w:w="80" w:type="dxa"/>
              <w:bottom w:w="80" w:type="dxa"/>
              <w:end w:w="80" w:type="dxa"/>
            </w:tcMar>
          </w:tcPr>
          <w:p>
            <w:pPr>
              <w:spacing w:after="20"/>
            </w:pPr>
            <w:r>
              <w:rPr>
                <w:sz w:val="16"/>
              </w:rPr>
              <w:t>Initial maximum</w:t>
            </w:r>
          </w:p>
        </w:tc>
        <w:tc>
          <w:tcPr>
            <w:tcW w:type="dxa" w:w="3312"/>
            <w:vAlign w:val="top"/>
            <w:tcMar>
              <w:top w:w="80" w:type="dxa"/>
              <w:start w:w="80" w:type="dxa"/>
              <w:bottom w:w="80" w:type="dxa"/>
              <w:end w:w="80" w:type="dxa"/>
            </w:tcMar>
          </w:tcPr>
          <w:p>
            <w:pPr>
              <w:spacing w:after="20"/>
            </w:pPr>
            <w:r>
              <w:rPr>
                <w:sz w:val="16"/>
              </w:rPr>
              <w:t>30</w:t>
            </w:r>
          </w:p>
        </w:tc>
        <w:tc>
          <w:tcPr>
            <w:tcW w:type="dxa" w:w="4680"/>
            <w:vAlign w:val="top"/>
            <w:tcMar>
              <w:top w:w="80" w:type="dxa"/>
              <w:start w:w="80" w:type="dxa"/>
              <w:bottom w:w="80" w:type="dxa"/>
              <w:end w:w="80" w:type="dxa"/>
            </w:tcMar>
          </w:tcPr>
          <w:p>
            <w:pPr>
              <w:spacing w:after="20"/>
            </w:pPr>
            <w:r>
              <w:rPr>
                <w:sz w:val="16"/>
              </w:rPr>
              <w:t>Cost guardrail; raise after load testing and observed demand.</w:t>
            </w:r>
          </w:p>
        </w:tc>
      </w:tr>
      <w:tr>
        <w:tc>
          <w:tcPr>
            <w:tcW w:type="dxa" w:w="2376"/>
            <w:vAlign w:val="top"/>
            <w:shd w:fill="F4F7F9"/>
            <w:tcMar>
              <w:top w:w="80" w:type="dxa"/>
              <w:start w:w="80" w:type="dxa"/>
              <w:bottom w:w="80" w:type="dxa"/>
              <w:end w:w="80" w:type="dxa"/>
            </w:tcMar>
          </w:tcPr>
          <w:p>
            <w:pPr>
              <w:spacing w:after="20"/>
            </w:pPr>
            <w:r>
              <w:rPr>
                <w:sz w:val="16"/>
              </w:rPr>
              <w:t>Load balancer</w:t>
            </w:r>
          </w:p>
        </w:tc>
        <w:tc>
          <w:tcPr>
            <w:tcW w:type="dxa" w:w="3312"/>
            <w:vAlign w:val="top"/>
            <w:shd w:fill="F4F7F9"/>
            <w:tcMar>
              <w:top w:w="80" w:type="dxa"/>
              <w:start w:w="80" w:type="dxa"/>
              <w:bottom w:w="80" w:type="dxa"/>
              <w:end w:w="80" w:type="dxa"/>
            </w:tcMar>
          </w:tcPr>
          <w:p>
            <w:pPr>
              <w:spacing w:after="20"/>
            </w:pPr>
            <w:r>
              <w:rPr>
                <w:sz w:val="16"/>
              </w:rPr>
              <w:t>Application Load Balancer</w:t>
            </w:r>
          </w:p>
        </w:tc>
        <w:tc>
          <w:tcPr>
            <w:tcW w:type="dxa" w:w="4680"/>
            <w:vAlign w:val="top"/>
            <w:shd w:fill="F4F7F9"/>
            <w:tcMar>
              <w:top w:w="80" w:type="dxa"/>
              <w:start w:w="80" w:type="dxa"/>
              <w:bottom w:w="80" w:type="dxa"/>
              <w:end w:w="80" w:type="dxa"/>
            </w:tcMar>
          </w:tcPr>
          <w:p>
            <w:pPr>
              <w:spacing w:after="20"/>
            </w:pPr>
            <w:r>
              <w:rPr>
                <w:sz w:val="16"/>
              </w:rPr>
              <w:t>Layer-7 HTTP/HTTPS routing and health checks.</w:t>
            </w:r>
          </w:p>
        </w:tc>
      </w:tr>
      <w:tr>
        <w:tc>
          <w:tcPr>
            <w:tcW w:type="dxa" w:w="2376"/>
            <w:vAlign w:val="top"/>
            <w:tcMar>
              <w:top w:w="80" w:type="dxa"/>
              <w:start w:w="80" w:type="dxa"/>
              <w:bottom w:w="80" w:type="dxa"/>
              <w:end w:w="80" w:type="dxa"/>
            </w:tcMar>
          </w:tcPr>
          <w:p>
            <w:pPr>
              <w:spacing w:after="20"/>
            </w:pPr>
            <w:r>
              <w:rPr>
                <w:sz w:val="16"/>
              </w:rPr>
              <w:t>Health check</w:t>
            </w:r>
          </w:p>
        </w:tc>
        <w:tc>
          <w:tcPr>
            <w:tcW w:type="dxa" w:w="3312"/>
            <w:vAlign w:val="top"/>
            <w:tcMar>
              <w:top w:w="80" w:type="dxa"/>
              <w:start w:w="80" w:type="dxa"/>
              <w:bottom w:w="80" w:type="dxa"/>
              <w:end w:w="80" w:type="dxa"/>
            </w:tcMar>
          </w:tcPr>
          <w:p>
            <w:pPr>
              <w:spacing w:after="20"/>
            </w:pPr>
            <w:r>
              <w:rPr>
                <w:sz w:val="16"/>
              </w:rPr>
              <w:t>Dedicated lightweight /health/ready</w:t>
            </w:r>
          </w:p>
        </w:tc>
        <w:tc>
          <w:tcPr>
            <w:tcW w:type="dxa" w:w="4680"/>
            <w:vAlign w:val="top"/>
            <w:tcMar>
              <w:top w:w="80" w:type="dxa"/>
              <w:start w:w="80" w:type="dxa"/>
              <w:bottom w:w="80" w:type="dxa"/>
              <w:end w:w="80" w:type="dxa"/>
            </w:tcMar>
          </w:tcPr>
          <w:p>
            <w:pPr>
              <w:spacing w:after="20"/>
            </w:pPr>
            <w:r>
              <w:rPr>
                <w:sz w:val="16"/>
              </w:rPr>
              <w:t>Must verify app readiness without hitting expensive dependencies unnecessarily.</w:t>
            </w:r>
          </w:p>
        </w:tc>
      </w:tr>
      <w:tr>
        <w:tc>
          <w:tcPr>
            <w:tcW w:type="dxa" w:w="2376"/>
            <w:vAlign w:val="top"/>
            <w:shd w:fill="F4F7F9"/>
            <w:tcMar>
              <w:top w:w="80" w:type="dxa"/>
              <w:start w:w="80" w:type="dxa"/>
              <w:bottom w:w="80" w:type="dxa"/>
              <w:end w:w="80" w:type="dxa"/>
            </w:tcMar>
          </w:tcPr>
          <w:p>
            <w:pPr>
              <w:spacing w:after="20"/>
            </w:pPr>
            <w:r>
              <w:rPr>
                <w:sz w:val="16"/>
              </w:rPr>
              <w:t>Deployment</w:t>
            </w:r>
          </w:p>
        </w:tc>
        <w:tc>
          <w:tcPr>
            <w:tcW w:type="dxa" w:w="3312"/>
            <w:vAlign w:val="top"/>
            <w:shd w:fill="F4F7F9"/>
            <w:tcMar>
              <w:top w:w="80" w:type="dxa"/>
              <w:start w:w="80" w:type="dxa"/>
              <w:bottom w:w="80" w:type="dxa"/>
              <w:end w:w="80" w:type="dxa"/>
            </w:tcMar>
          </w:tcPr>
          <w:p>
            <w:pPr>
              <w:spacing w:after="20"/>
            </w:pPr>
            <w:r>
              <w:rPr>
                <w:sz w:val="16"/>
              </w:rPr>
              <w:t>ECS rolling/blue-green with circuit breaker</w:t>
            </w:r>
          </w:p>
        </w:tc>
        <w:tc>
          <w:tcPr>
            <w:tcW w:type="dxa" w:w="4680"/>
            <w:vAlign w:val="top"/>
            <w:shd w:fill="F4F7F9"/>
            <w:tcMar>
              <w:top w:w="80" w:type="dxa"/>
              <w:start w:w="80" w:type="dxa"/>
              <w:bottom w:w="80" w:type="dxa"/>
              <w:end w:w="80" w:type="dxa"/>
            </w:tcMar>
          </w:tcPr>
          <w:p>
            <w:pPr>
              <w:spacing w:after="20"/>
            </w:pPr>
            <w:r>
              <w:rPr>
                <w:sz w:val="16"/>
              </w:rPr>
              <w:t>Avoid a failed revision taking down the working service.</w:t>
            </w:r>
          </w:p>
        </w:tc>
      </w:tr>
    </w:tbl>
    <w:p/>
    <w:p>
      <w:r>
        <w:t>The API must remain stateless. It may issue presigned uploads, validate JWTs, query Aurora, publish work/events, and return results, but it must not depend on a particular task's filesystem or memory surviving a deployment.</w:t>
      </w:r>
    </w:p>
    <w:p>
      <w:pPr>
        <w:pStyle w:val="Heading1"/>
        <w:pageBreakBefore/>
      </w:pPr>
      <w:r>
        <w:t>11. Dedicated webhook ingress</w:t>
      </w:r>
    </w:p>
    <w:p>
      <w:r>
        <w:t>Do not make Google, Microsoft, payment providers, or other external systems wait for the main API to normalize/AI-process their payload. Use a dedicated serverless ingress path:</w:t>
      </w:r>
    </w:p>
    <w:p>
      <w:pPr>
        <w:pStyle w:val="CodeSmall"/>
      </w:pPr>
      <w:r>
        <w:t>Provider -&gt; hooks.veynlo.com -&gt; API Gateway -&gt; Lambda verifier -&gt; SQS</w:t>
      </w:r>
    </w:p>
    <w:p>
      <w:pPr>
        <w:pStyle w:val="CodeSmall"/>
      </w:pPr>
      <w:r>
        <w:t xml:space="preserve">                                              |</w:t>
      </w:r>
    </w:p>
    <w:p>
      <w:pPr>
        <w:pStyle w:val="CodeSmall"/>
      </w:pPr>
      <w:r>
        <w:t xml:space="preserve">                                              +-&gt; immediate 2xx/verification response</w:t>
      </w:r>
    </w:p>
    <w:p>
      <w:pPr>
        <w:pStyle w:val="ListBullet"/>
        <w:spacing w:after="40"/>
      </w:pPr>
      <w:r>
        <w:t>Lambda validates provider signatures/tokens, parses only the minimum routing metadata, writes a small immutable receipt/deduplication record, and queues durable work.</w:t>
      </w:r>
    </w:p>
    <w:p>
      <w:pPr>
        <w:pStyle w:val="ListBullet"/>
        <w:spacing w:after="40"/>
      </w:pPr>
      <w:r>
        <w:t>Keep webhook Lambda timeouts short (for example 5–10 seconds) and memory modest (for example 512 MB) unless profiling proves otherwise.</w:t>
      </w:r>
    </w:p>
    <w:p>
      <w:pPr>
        <w:pStyle w:val="ListBullet"/>
        <w:spacing w:after="40"/>
      </w:pPr>
      <w:r>
        <w:t>Never call large AI models synchronously from webhook handlers.</w:t>
      </w:r>
    </w:p>
    <w:p>
      <w:pPr>
        <w:pStyle w:val="ListBullet"/>
        <w:spacing w:after="40"/>
      </w:pPr>
      <w:r>
        <w:t>Return the exact provider verification response required during webhook registration.</w:t>
      </w:r>
    </w:p>
    <w:p>
      <w:pPr>
        <w:pStyle w:val="ListBullet"/>
        <w:spacing w:after="40"/>
      </w:pPr>
      <w:r>
        <w:t>Use idempotency keys/provider event IDs to make duplicate delivery harmless.</w:t>
      </w:r>
    </w:p>
    <w:p>
      <w:pPr>
        <w:pStyle w:val="ListBullet"/>
        <w:spacing w:after="40"/>
      </w:pPr>
      <w:r>
        <w:t>Put dead-letter handling and alarms on failures before provider retry windows expire.</w:t>
      </w:r>
    </w:p>
    <w:p>
      <w:pPr>
        <w:pStyle w:val="Heading1"/>
        <w:pageBreakBefore w:val="0"/>
      </w:pPr>
      <w:r>
        <w:t>12. Background workers and asynchronous processing</w:t>
      </w:r>
    </w:p>
    <w:p>
      <w:r>
        <w:t>Workers should be separate ECS services so a spike in one workload cannot starve user-facing API traffic.</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3312"/>
            <w:shd w:fill="183B56"/>
            <w:tcMar>
              <w:top w:w="80" w:type="dxa"/>
              <w:start w:w="80" w:type="dxa"/>
              <w:bottom w:w="80" w:type="dxa"/>
              <w:end w:w="80" w:type="dxa"/>
            </w:tcMar>
          </w:tcPr>
          <w:p>
            <w:r>
              <w:rPr>
                <w:b/>
                <w:color w:val="FFFFFF"/>
                <w:sz w:val="16"/>
              </w:rPr>
              <w:t>Worker class</w:t>
            </w:r>
          </w:p>
        </w:tc>
        <w:tc>
          <w:tcPr>
            <w:tcW w:type="dxa" w:w="2088"/>
            <w:shd w:fill="183B56"/>
            <w:tcMar>
              <w:top w:w="80" w:type="dxa"/>
              <w:start w:w="80" w:type="dxa"/>
              <w:bottom w:w="80" w:type="dxa"/>
              <w:end w:w="80" w:type="dxa"/>
            </w:tcMar>
          </w:tcPr>
          <w:p>
            <w:r>
              <w:rPr>
                <w:b/>
                <w:color w:val="FFFFFF"/>
                <w:sz w:val="16"/>
              </w:rPr>
              <w:t>Starting task size</w:t>
            </w:r>
          </w:p>
        </w:tc>
        <w:tc>
          <w:tcPr>
            <w:tcW w:type="dxa" w:w="1656"/>
            <w:shd w:fill="183B56"/>
            <w:tcMar>
              <w:top w:w="80" w:type="dxa"/>
              <w:start w:w="80" w:type="dxa"/>
              <w:bottom w:w="80" w:type="dxa"/>
              <w:end w:w="80" w:type="dxa"/>
            </w:tcMar>
          </w:tcPr>
          <w:p>
            <w:r>
              <w:rPr>
                <w:b/>
                <w:color w:val="FFFFFF"/>
                <w:sz w:val="16"/>
              </w:rPr>
              <w:t>Baseline</w:t>
            </w:r>
          </w:p>
        </w:tc>
        <w:tc>
          <w:tcPr>
            <w:tcW w:type="dxa" w:w="3384"/>
            <w:shd w:fill="183B56"/>
            <w:tcMar>
              <w:top w:w="80" w:type="dxa"/>
              <w:start w:w="80" w:type="dxa"/>
              <w:bottom w:w="80" w:type="dxa"/>
              <w:end w:w="80" w:type="dxa"/>
            </w:tcMar>
          </w:tcPr>
          <w:p>
            <w:r>
              <w:rPr>
                <w:b/>
                <w:color w:val="FFFFFF"/>
                <w:sz w:val="16"/>
              </w:rPr>
              <w:t>Scale signal</w:t>
            </w:r>
          </w:p>
        </w:tc>
      </w:tr>
      <w:tr>
        <w:tc>
          <w:tcPr>
            <w:tcW w:type="dxa" w:w="3312"/>
            <w:vAlign w:val="top"/>
            <w:shd w:fill="F4F7F9"/>
            <w:tcMar>
              <w:top w:w="80" w:type="dxa"/>
              <w:start w:w="80" w:type="dxa"/>
              <w:bottom w:w="80" w:type="dxa"/>
              <w:end w:w="80" w:type="dxa"/>
            </w:tcMar>
          </w:tcPr>
          <w:p>
            <w:pPr>
              <w:spacing w:after="20"/>
            </w:pPr>
            <w:r>
              <w:rPr>
                <w:sz w:val="16"/>
              </w:rPr>
              <w:t>General ingestion/normalization</w:t>
            </w:r>
          </w:p>
        </w:tc>
        <w:tc>
          <w:tcPr>
            <w:tcW w:type="dxa" w:w="2088"/>
            <w:vAlign w:val="top"/>
            <w:shd w:fill="F4F7F9"/>
            <w:tcMar>
              <w:top w:w="80" w:type="dxa"/>
              <w:start w:w="80" w:type="dxa"/>
              <w:bottom w:w="80" w:type="dxa"/>
              <w:end w:w="80" w:type="dxa"/>
            </w:tcMar>
          </w:tcPr>
          <w:p>
            <w:pPr>
              <w:spacing w:after="20"/>
            </w:pPr>
            <w:r>
              <w:rPr>
                <w:sz w:val="16"/>
              </w:rPr>
              <w:t>1 vCPU / 2 GB</w:t>
            </w:r>
          </w:p>
        </w:tc>
        <w:tc>
          <w:tcPr>
            <w:tcW w:type="dxa" w:w="1656"/>
            <w:vAlign w:val="top"/>
            <w:shd w:fill="F4F7F9"/>
            <w:tcMar>
              <w:top w:w="80" w:type="dxa"/>
              <w:start w:w="80" w:type="dxa"/>
              <w:bottom w:w="80" w:type="dxa"/>
              <w:end w:w="80" w:type="dxa"/>
            </w:tcMar>
          </w:tcPr>
          <w:p>
            <w:pPr>
              <w:spacing w:after="20"/>
            </w:pPr>
            <w:r>
              <w:rPr>
                <w:sz w:val="16"/>
              </w:rPr>
              <w:t>2 tasks</w:t>
            </w:r>
          </w:p>
        </w:tc>
        <w:tc>
          <w:tcPr>
            <w:tcW w:type="dxa" w:w="3384"/>
            <w:vAlign w:val="top"/>
            <w:shd w:fill="F4F7F9"/>
            <w:tcMar>
              <w:top w:w="80" w:type="dxa"/>
              <w:start w:w="80" w:type="dxa"/>
              <w:bottom w:w="80" w:type="dxa"/>
              <w:end w:w="80" w:type="dxa"/>
            </w:tcMar>
          </w:tcPr>
          <w:p>
            <w:pPr>
              <w:spacing w:after="20"/>
            </w:pPr>
            <w:r>
              <w:rPr>
                <w:sz w:val="16"/>
              </w:rPr>
              <w:t>SQS backlog per task + oldest-message age</w:t>
            </w:r>
          </w:p>
        </w:tc>
      </w:tr>
      <w:tr>
        <w:tc>
          <w:tcPr>
            <w:tcW w:type="dxa" w:w="3312"/>
            <w:vAlign w:val="top"/>
            <w:tcMar>
              <w:top w:w="80" w:type="dxa"/>
              <w:start w:w="80" w:type="dxa"/>
              <w:bottom w:w="80" w:type="dxa"/>
              <w:end w:w="80" w:type="dxa"/>
            </w:tcMar>
          </w:tcPr>
          <w:p>
            <w:pPr>
              <w:spacing w:after="20"/>
            </w:pPr>
            <w:r>
              <w:rPr>
                <w:sz w:val="16"/>
              </w:rPr>
              <w:t>AI/classification/extraction</w:t>
            </w:r>
          </w:p>
        </w:tc>
        <w:tc>
          <w:tcPr>
            <w:tcW w:type="dxa" w:w="2088"/>
            <w:vAlign w:val="top"/>
            <w:tcMar>
              <w:top w:w="80" w:type="dxa"/>
              <w:start w:w="80" w:type="dxa"/>
              <w:bottom w:w="80" w:type="dxa"/>
              <w:end w:w="80" w:type="dxa"/>
            </w:tcMar>
          </w:tcPr>
          <w:p>
            <w:pPr>
              <w:spacing w:after="20"/>
            </w:pPr>
            <w:r>
              <w:rPr>
                <w:sz w:val="16"/>
              </w:rPr>
              <w:t>1 vCPU / 2 GB</w:t>
            </w:r>
          </w:p>
        </w:tc>
        <w:tc>
          <w:tcPr>
            <w:tcW w:type="dxa" w:w="1656"/>
            <w:vAlign w:val="top"/>
            <w:tcMar>
              <w:top w:w="80" w:type="dxa"/>
              <w:start w:w="80" w:type="dxa"/>
              <w:bottom w:w="80" w:type="dxa"/>
              <w:end w:w="80" w:type="dxa"/>
            </w:tcMar>
          </w:tcPr>
          <w:p>
            <w:pPr>
              <w:spacing w:after="20"/>
            </w:pPr>
            <w:r>
              <w:rPr>
                <w:sz w:val="16"/>
              </w:rPr>
              <w:t>1–2 tasks</w:t>
            </w:r>
          </w:p>
        </w:tc>
        <w:tc>
          <w:tcPr>
            <w:tcW w:type="dxa" w:w="3384"/>
            <w:vAlign w:val="top"/>
            <w:tcMar>
              <w:top w:w="80" w:type="dxa"/>
              <w:start w:w="80" w:type="dxa"/>
              <w:bottom w:w="80" w:type="dxa"/>
              <w:end w:w="80" w:type="dxa"/>
            </w:tcMar>
          </w:tcPr>
          <w:p>
            <w:pPr>
              <w:spacing w:after="20"/>
            </w:pPr>
            <w:r>
              <w:rPr>
                <w:sz w:val="16"/>
              </w:rPr>
              <w:t>AI queue backlog, latency, provider quota</w:t>
            </w:r>
          </w:p>
        </w:tc>
      </w:tr>
      <w:tr>
        <w:tc>
          <w:tcPr>
            <w:tcW w:type="dxa" w:w="3312"/>
            <w:vAlign w:val="top"/>
            <w:shd w:fill="F4F7F9"/>
            <w:tcMar>
              <w:top w:w="80" w:type="dxa"/>
              <w:start w:w="80" w:type="dxa"/>
              <w:bottom w:w="80" w:type="dxa"/>
              <w:end w:w="80" w:type="dxa"/>
            </w:tcMar>
          </w:tcPr>
          <w:p>
            <w:pPr>
              <w:spacing w:after="20"/>
            </w:pPr>
            <w:r>
              <w:rPr>
                <w:sz w:val="16"/>
              </w:rPr>
              <w:t>Document/OCR</w:t>
            </w:r>
          </w:p>
        </w:tc>
        <w:tc>
          <w:tcPr>
            <w:tcW w:type="dxa" w:w="2088"/>
            <w:vAlign w:val="top"/>
            <w:shd w:fill="F4F7F9"/>
            <w:tcMar>
              <w:top w:w="80" w:type="dxa"/>
              <w:start w:w="80" w:type="dxa"/>
              <w:bottom w:w="80" w:type="dxa"/>
              <w:end w:w="80" w:type="dxa"/>
            </w:tcMar>
          </w:tcPr>
          <w:p>
            <w:pPr>
              <w:spacing w:after="20"/>
            </w:pPr>
            <w:r>
              <w:rPr>
                <w:sz w:val="16"/>
              </w:rPr>
              <w:t>2 vCPU / 4 GB</w:t>
            </w:r>
          </w:p>
        </w:tc>
        <w:tc>
          <w:tcPr>
            <w:tcW w:type="dxa" w:w="1656"/>
            <w:vAlign w:val="top"/>
            <w:shd w:fill="F4F7F9"/>
            <w:tcMar>
              <w:top w:w="80" w:type="dxa"/>
              <w:start w:w="80" w:type="dxa"/>
              <w:bottom w:w="80" w:type="dxa"/>
              <w:end w:w="80" w:type="dxa"/>
            </w:tcMar>
          </w:tcPr>
          <w:p>
            <w:pPr>
              <w:spacing w:after="20"/>
            </w:pPr>
            <w:r>
              <w:rPr>
                <w:sz w:val="16"/>
              </w:rPr>
              <w:t>1 task</w:t>
            </w:r>
          </w:p>
        </w:tc>
        <w:tc>
          <w:tcPr>
            <w:tcW w:type="dxa" w:w="3384"/>
            <w:vAlign w:val="top"/>
            <w:shd w:fill="F4F7F9"/>
            <w:tcMar>
              <w:top w:w="80" w:type="dxa"/>
              <w:start w:w="80" w:type="dxa"/>
              <w:bottom w:w="80" w:type="dxa"/>
              <w:end w:w="80" w:type="dxa"/>
            </w:tcMar>
          </w:tcPr>
          <w:p>
            <w:pPr>
              <w:spacing w:after="20"/>
            </w:pPr>
            <w:r>
              <w:rPr>
                <w:sz w:val="16"/>
              </w:rPr>
              <w:t>Document queue backlog + processing time</w:t>
            </w:r>
          </w:p>
        </w:tc>
      </w:tr>
      <w:tr>
        <w:tc>
          <w:tcPr>
            <w:tcW w:type="dxa" w:w="3312"/>
            <w:vAlign w:val="top"/>
            <w:tcMar>
              <w:top w:w="80" w:type="dxa"/>
              <w:start w:w="80" w:type="dxa"/>
              <w:bottom w:w="80" w:type="dxa"/>
              <w:end w:w="80" w:type="dxa"/>
            </w:tcMar>
          </w:tcPr>
          <w:p>
            <w:pPr>
              <w:spacing w:after="20"/>
            </w:pPr>
            <w:r>
              <w:rPr>
                <w:sz w:val="16"/>
              </w:rPr>
              <w:t>Search/indexing</w:t>
            </w:r>
          </w:p>
        </w:tc>
        <w:tc>
          <w:tcPr>
            <w:tcW w:type="dxa" w:w="2088"/>
            <w:vAlign w:val="top"/>
            <w:tcMar>
              <w:top w:w="80" w:type="dxa"/>
              <w:start w:w="80" w:type="dxa"/>
              <w:bottom w:w="80" w:type="dxa"/>
              <w:end w:w="80" w:type="dxa"/>
            </w:tcMar>
          </w:tcPr>
          <w:p>
            <w:pPr>
              <w:spacing w:after="20"/>
            </w:pPr>
            <w:r>
              <w:rPr>
                <w:sz w:val="16"/>
              </w:rPr>
              <w:t>1 vCPU / 2 GB</w:t>
            </w:r>
          </w:p>
        </w:tc>
        <w:tc>
          <w:tcPr>
            <w:tcW w:type="dxa" w:w="1656"/>
            <w:vAlign w:val="top"/>
            <w:tcMar>
              <w:top w:w="80" w:type="dxa"/>
              <w:start w:w="80" w:type="dxa"/>
              <w:bottom w:w="80" w:type="dxa"/>
              <w:end w:w="80" w:type="dxa"/>
            </w:tcMar>
          </w:tcPr>
          <w:p>
            <w:pPr>
              <w:spacing w:after="20"/>
            </w:pPr>
            <w:r>
              <w:rPr>
                <w:sz w:val="16"/>
              </w:rPr>
              <w:t>1 task</w:t>
            </w:r>
          </w:p>
        </w:tc>
        <w:tc>
          <w:tcPr>
            <w:tcW w:type="dxa" w:w="3384"/>
            <w:vAlign w:val="top"/>
            <w:tcMar>
              <w:top w:w="80" w:type="dxa"/>
              <w:start w:w="80" w:type="dxa"/>
              <w:bottom w:w="80" w:type="dxa"/>
              <w:end w:w="80" w:type="dxa"/>
            </w:tcMar>
          </w:tcPr>
          <w:p>
            <w:pPr>
              <w:spacing w:after="20"/>
            </w:pPr>
            <w:r>
              <w:rPr>
                <w:sz w:val="16"/>
              </w:rPr>
              <w:t>Index queue backlog</w:t>
            </w:r>
          </w:p>
        </w:tc>
      </w:tr>
      <w:tr>
        <w:tc>
          <w:tcPr>
            <w:tcW w:type="dxa" w:w="3312"/>
            <w:vAlign w:val="top"/>
            <w:shd w:fill="F4F7F9"/>
            <w:tcMar>
              <w:top w:w="80" w:type="dxa"/>
              <w:start w:w="80" w:type="dxa"/>
              <w:bottom w:w="80" w:type="dxa"/>
              <w:end w:w="80" w:type="dxa"/>
            </w:tcMar>
          </w:tcPr>
          <w:p>
            <w:pPr>
              <w:spacing w:after="20"/>
            </w:pPr>
            <w:r>
              <w:rPr>
                <w:sz w:val="16"/>
              </w:rPr>
              <w:t>Exports/deletions</w:t>
            </w:r>
          </w:p>
        </w:tc>
        <w:tc>
          <w:tcPr>
            <w:tcW w:type="dxa" w:w="2088"/>
            <w:vAlign w:val="top"/>
            <w:shd w:fill="F4F7F9"/>
            <w:tcMar>
              <w:top w:w="80" w:type="dxa"/>
              <w:start w:w="80" w:type="dxa"/>
              <w:bottom w:w="80" w:type="dxa"/>
              <w:end w:w="80" w:type="dxa"/>
            </w:tcMar>
          </w:tcPr>
          <w:p>
            <w:pPr>
              <w:spacing w:after="20"/>
            </w:pPr>
            <w:r>
              <w:rPr>
                <w:sz w:val="16"/>
              </w:rPr>
              <w:t>1 vCPU / 2 GB</w:t>
            </w:r>
          </w:p>
        </w:tc>
        <w:tc>
          <w:tcPr>
            <w:tcW w:type="dxa" w:w="1656"/>
            <w:vAlign w:val="top"/>
            <w:shd w:fill="F4F7F9"/>
            <w:tcMar>
              <w:top w:w="80" w:type="dxa"/>
              <w:start w:w="80" w:type="dxa"/>
              <w:bottom w:w="80" w:type="dxa"/>
              <w:end w:w="80" w:type="dxa"/>
            </w:tcMar>
          </w:tcPr>
          <w:p>
            <w:pPr>
              <w:spacing w:after="20"/>
            </w:pPr>
            <w:r>
              <w:rPr>
                <w:sz w:val="16"/>
              </w:rPr>
              <w:t>0–1 task</w:t>
            </w:r>
          </w:p>
        </w:tc>
        <w:tc>
          <w:tcPr>
            <w:tcW w:type="dxa" w:w="3384"/>
            <w:vAlign w:val="top"/>
            <w:shd w:fill="F4F7F9"/>
            <w:tcMar>
              <w:top w:w="80" w:type="dxa"/>
              <w:start w:w="80" w:type="dxa"/>
              <w:bottom w:w="80" w:type="dxa"/>
              <w:end w:w="80" w:type="dxa"/>
            </w:tcMar>
          </w:tcPr>
          <w:p>
            <w:pPr>
              <w:spacing w:after="20"/>
            </w:pPr>
            <w:r>
              <w:rPr>
                <w:sz w:val="16"/>
              </w:rPr>
              <w:t>Scheduled/queue demand</w:t>
            </w:r>
          </w:p>
        </w:tc>
      </w:tr>
    </w:tbl>
    <w:p/>
    <w:p>
      <w:r>
        <w:t>Use Fargate Spot only for jobs that are fully idempotent and safe to interrupt, such as reindexing, historical reprocessing, or non-urgent extraction. Keep an on-demand baseline for time-sensitive queues.</w:t>
      </w:r>
    </w:p>
    <w:p>
      <w:pPr>
        <w:pStyle w:val="Heading1"/>
      </w:pPr>
      <w:r>
        <w:t>13. Queues, events, scheduling, and idempotency</w:t>
      </w:r>
    </w:p>
    <w:p>
      <w:r>
        <w:t>Use SQS for durable work and EventBridge for domain-event fan-out. They solve different problems.</w:t>
      </w:r>
    </w:p>
    <w:p>
      <w:pPr>
        <w:pStyle w:val="ListBullet"/>
        <w:spacing w:after="40"/>
      </w:pPr>
      <w:r>
        <w:t>email-ingestion</w:t>
      </w:r>
    </w:p>
    <w:p>
      <w:pPr>
        <w:pStyle w:val="ListBullet"/>
        <w:spacing w:after="40"/>
      </w:pPr>
      <w:r>
        <w:t>calendar-ingestion</w:t>
      </w:r>
    </w:p>
    <w:p>
      <w:pPr>
        <w:pStyle w:val="ListBullet"/>
        <w:spacing w:after="40"/>
      </w:pPr>
      <w:r>
        <w:t>financial-ingestion</w:t>
      </w:r>
    </w:p>
    <w:p>
      <w:pPr>
        <w:pStyle w:val="ListBullet"/>
        <w:spacing w:after="40"/>
      </w:pPr>
      <w:r>
        <w:t>document-processing</w:t>
      </w:r>
    </w:p>
    <w:p>
      <w:pPr>
        <w:pStyle w:val="ListBullet"/>
        <w:spacing w:after="40"/>
      </w:pPr>
      <w:r>
        <w:t>ocr-processing</w:t>
      </w:r>
    </w:p>
    <w:p>
      <w:pPr>
        <w:pStyle w:val="ListBullet"/>
        <w:spacing w:after="40"/>
      </w:pPr>
      <w:r>
        <w:t>ai-classification</w:t>
      </w:r>
    </w:p>
    <w:p>
      <w:pPr>
        <w:pStyle w:val="ListBullet"/>
        <w:spacing w:after="40"/>
      </w:pPr>
      <w:r>
        <w:t>ai-extraction</w:t>
      </w:r>
    </w:p>
    <w:p>
      <w:pPr>
        <w:pStyle w:val="ListBullet"/>
        <w:spacing w:after="40"/>
      </w:pPr>
      <w:r>
        <w:t>entity-resolution</w:t>
      </w:r>
    </w:p>
    <w:p>
      <w:pPr>
        <w:pStyle w:val="ListBullet"/>
        <w:spacing w:after="40"/>
      </w:pPr>
      <w:r>
        <w:t>search-indexing</w:t>
      </w:r>
    </w:p>
    <w:p>
      <w:pPr>
        <w:pStyle w:val="ListBullet"/>
        <w:spacing w:after="40"/>
      </w:pPr>
      <w:r>
        <w:t>notifications</w:t>
      </w:r>
    </w:p>
    <w:p>
      <w:pPr>
        <w:pStyle w:val="ListBullet"/>
        <w:spacing w:after="40"/>
      </w:pPr>
      <w:r>
        <w:t>data-export</w:t>
      </w:r>
    </w:p>
    <w:p>
      <w:pPr>
        <w:pStyle w:val="ListBullet"/>
        <w:spacing w:after="40"/>
      </w:pPr>
      <w:r>
        <w:t>data-deletion</w:t>
      </w:r>
    </w:p>
    <w:p>
      <w:pPr>
        <w:pStyle w:val="ListBullet"/>
        <w:spacing w:after="40"/>
      </w:pPr>
      <w:r>
        <w:t>historical-reprocessing</w:t>
      </w:r>
    </w:p>
    <w:p>
      <w:r>
        <w:t>Every queue should have a dead-letter queue, redrive policy, visibility timeout matched to job duration, retry policy, oldest-message alarm, and an idempotency strategy. SQS provides at-least-once delivery, so duplicates are expected behavior, not an exceptional event.</w:t>
      </w:r>
    </w:p>
    <w:p>
      <w:pPr>
        <w:pStyle w:val="Heading2"/>
      </w:pPr>
      <w:r>
        <w:t>Transactional outbox</w:t>
      </w:r>
    </w:p>
    <w:p>
      <w:r>
        <w:t>When a business transaction must both change Aurora data and emit an internal event, use a transactional outbox table. The database transaction writes the business change and outbox record together. A dispatcher publishes the outbox event to EventBridge and marks it delivered. This avoids the classic failure where the database commits but the event publish fails.</w:t>
      </w:r>
    </w:p>
    <w:p>
      <w:pPr>
        <w:pStyle w:val="Heading2"/>
      </w:pPr>
      <w:r>
        <w:t>Scheduling</w:t>
      </w:r>
    </w:p>
    <w:p>
      <w:r>
        <w:t>Use EventBridge Scheduler for future actions and recurring platform jobs when practical. Do not create a dedicated continuously running scheduler process just to wake up once per minute. For user reminders, store the canonical reminder/obligation in Aurora and materialize the delivery schedule through a durable scheduling path.</w:t>
      </w:r>
    </w:p>
    <w:p>
      <w:pPr>
        <w:pStyle w:val="Heading1"/>
      </w:pPr>
      <w:r>
        <w:t>14. Primary database: Aurora PostgreSQL Serverless v2</w:t>
      </w:r>
    </w:p>
    <w:p>
      <w:r>
        <w:t>The database recommendation changes from the earlier fixed RDS instance. For Veynlo's unknown launch curve, many background writers, eventual semantic search, and potentially sharp consumer traffic spikes, Aurora PostgreSQL Serverless v2 is the better production target.</w:t>
      </w:r>
    </w:p>
    <w:tbl>
      <w:tblPr>
        <w:tblStyle w:val="TableGrid"/>
        <w:tblW w:type="auto" w:w="0"/>
        <w:jc w:val="center"/>
        <w:tblLook w:firstColumn="1" w:firstRow="1" w:lastColumn="0" w:lastRow="0" w:noHBand="0" w:noVBand="1" w:val="04A0"/>
      </w:tblPr>
      <w:tblGrid>
        <w:gridCol w:w="5083"/>
        <w:gridCol w:w="5083"/>
      </w:tblGrid>
      <w:tr>
        <w:tc>
          <w:tcPr>
            <w:tcW w:type="dxa" w:w="3312"/>
            <w:shd w:fill="183B56"/>
            <w:tcMar>
              <w:top w:w="80" w:type="dxa"/>
              <w:start w:w="80" w:type="dxa"/>
              <w:bottom w:w="80" w:type="dxa"/>
              <w:end w:w="80" w:type="dxa"/>
            </w:tcMar>
          </w:tcPr>
          <w:p>
            <w:r>
              <w:rPr>
                <w:b/>
                <w:color w:val="FFFFFF"/>
                <w:sz w:val="16"/>
              </w:rPr>
              <w:t>Setting</w:t>
            </w:r>
          </w:p>
        </w:tc>
        <w:tc>
          <w:tcPr>
            <w:tcW w:type="dxa" w:w="7056"/>
            <w:shd w:fill="183B56"/>
            <w:tcMar>
              <w:top w:w="80" w:type="dxa"/>
              <w:start w:w="80" w:type="dxa"/>
              <w:bottom w:w="80" w:type="dxa"/>
              <w:end w:w="80" w:type="dxa"/>
            </w:tcMar>
          </w:tcPr>
          <w:p>
            <w:r>
              <w:rPr>
                <w:b/>
                <w:color w:val="FFFFFF"/>
                <w:sz w:val="16"/>
              </w:rPr>
              <w:t>Recommendation</w:t>
            </w:r>
          </w:p>
        </w:tc>
      </w:tr>
      <w:tr>
        <w:tc>
          <w:tcPr>
            <w:tcW w:type="dxa" w:w="3312"/>
            <w:vAlign w:val="top"/>
            <w:shd w:fill="F4F7F9"/>
            <w:tcMar>
              <w:top w:w="80" w:type="dxa"/>
              <w:start w:w="80" w:type="dxa"/>
              <w:bottom w:w="80" w:type="dxa"/>
              <w:end w:w="80" w:type="dxa"/>
            </w:tcMar>
          </w:tcPr>
          <w:p>
            <w:pPr>
              <w:spacing w:after="20"/>
            </w:pPr>
            <w:r>
              <w:rPr>
                <w:sz w:val="16"/>
              </w:rPr>
              <w:t>Engine family</w:t>
            </w:r>
          </w:p>
        </w:tc>
        <w:tc>
          <w:tcPr>
            <w:tcW w:type="dxa" w:w="7056"/>
            <w:vAlign w:val="top"/>
            <w:shd w:fill="F4F7F9"/>
            <w:tcMar>
              <w:top w:w="80" w:type="dxa"/>
              <w:start w:w="80" w:type="dxa"/>
              <w:bottom w:w="80" w:type="dxa"/>
              <w:end w:w="80" w:type="dxa"/>
            </w:tcMar>
          </w:tcPr>
          <w:p>
            <w:pPr>
              <w:spacing w:after="20"/>
            </w:pPr>
            <w:r>
              <w:rPr>
                <w:sz w:val="16"/>
              </w:rPr>
              <w:t>Aurora PostgreSQL</w:t>
            </w:r>
          </w:p>
        </w:tc>
      </w:tr>
      <w:tr>
        <w:tc>
          <w:tcPr>
            <w:tcW w:type="dxa" w:w="3312"/>
            <w:vAlign w:val="top"/>
            <w:tcMar>
              <w:top w:w="80" w:type="dxa"/>
              <w:start w:w="80" w:type="dxa"/>
              <w:bottom w:w="80" w:type="dxa"/>
              <w:end w:w="80" w:type="dxa"/>
            </w:tcMar>
          </w:tcPr>
          <w:p>
            <w:pPr>
              <w:spacing w:after="20"/>
            </w:pPr>
            <w:r>
              <w:rPr>
                <w:sz w:val="16"/>
              </w:rPr>
              <w:t>Version</w:t>
            </w:r>
          </w:p>
        </w:tc>
        <w:tc>
          <w:tcPr>
            <w:tcW w:type="dxa" w:w="7056"/>
            <w:vAlign w:val="top"/>
            <w:tcMar>
              <w:top w:w="80" w:type="dxa"/>
              <w:start w:w="80" w:type="dxa"/>
              <w:bottom w:w="80" w:type="dxa"/>
              <w:end w:w="80" w:type="dxa"/>
            </w:tcMar>
          </w:tcPr>
          <w:p>
            <w:pPr>
              <w:spacing w:after="20"/>
            </w:pPr>
            <w:r>
              <w:rPr>
                <w:sz w:val="16"/>
              </w:rPr>
              <w:t>17.7 LTS, using the latest AWS patch available at deployment time</w:t>
            </w:r>
          </w:p>
        </w:tc>
      </w:tr>
      <w:tr>
        <w:tc>
          <w:tcPr>
            <w:tcW w:type="dxa" w:w="3312"/>
            <w:vAlign w:val="top"/>
            <w:shd w:fill="F4F7F9"/>
            <w:tcMar>
              <w:top w:w="80" w:type="dxa"/>
              <w:start w:w="80" w:type="dxa"/>
              <w:bottom w:w="80" w:type="dxa"/>
              <w:end w:w="80" w:type="dxa"/>
            </w:tcMar>
          </w:tcPr>
          <w:p>
            <w:pPr>
              <w:spacing w:after="20"/>
            </w:pPr>
            <w:r>
              <w:rPr>
                <w:sz w:val="16"/>
              </w:rPr>
              <w:t>Instance class</w:t>
            </w:r>
          </w:p>
        </w:tc>
        <w:tc>
          <w:tcPr>
            <w:tcW w:type="dxa" w:w="7056"/>
            <w:vAlign w:val="top"/>
            <w:shd w:fill="F4F7F9"/>
            <w:tcMar>
              <w:top w:w="80" w:type="dxa"/>
              <w:start w:w="80" w:type="dxa"/>
              <w:bottom w:w="80" w:type="dxa"/>
              <w:end w:w="80" w:type="dxa"/>
            </w:tcMar>
          </w:tcPr>
          <w:p>
            <w:pPr>
              <w:spacing w:after="20"/>
            </w:pPr>
            <w:r>
              <w:rPr>
                <w:sz w:val="16"/>
              </w:rPr>
              <w:t>db.serverless</w:t>
            </w:r>
          </w:p>
        </w:tc>
      </w:tr>
      <w:tr>
        <w:tc>
          <w:tcPr>
            <w:tcW w:type="dxa" w:w="3312"/>
            <w:vAlign w:val="top"/>
            <w:tcMar>
              <w:top w:w="80" w:type="dxa"/>
              <w:start w:w="80" w:type="dxa"/>
              <w:bottom w:w="80" w:type="dxa"/>
              <w:end w:w="80" w:type="dxa"/>
            </w:tcMar>
          </w:tcPr>
          <w:p>
            <w:pPr>
              <w:spacing w:after="20"/>
            </w:pPr>
            <w:r>
              <w:rPr>
                <w:sz w:val="16"/>
              </w:rPr>
              <w:t>Topology</w:t>
            </w:r>
          </w:p>
        </w:tc>
        <w:tc>
          <w:tcPr>
            <w:tcW w:type="dxa" w:w="7056"/>
            <w:vAlign w:val="top"/>
            <w:tcMar>
              <w:top w:w="80" w:type="dxa"/>
              <w:start w:w="80" w:type="dxa"/>
              <w:bottom w:w="80" w:type="dxa"/>
              <w:end w:w="80" w:type="dxa"/>
            </w:tcMar>
          </w:tcPr>
          <w:p>
            <w:pPr>
              <w:spacing w:after="20"/>
            </w:pPr>
            <w:r>
              <w:rPr>
                <w:sz w:val="16"/>
              </w:rPr>
              <w:t>1 Serverless v2 writer + 1 Serverless v2 reader/failover target in a different AZ</w:t>
            </w:r>
          </w:p>
        </w:tc>
      </w:tr>
      <w:tr>
        <w:tc>
          <w:tcPr>
            <w:tcW w:type="dxa" w:w="3312"/>
            <w:vAlign w:val="top"/>
            <w:shd w:fill="F4F7F9"/>
            <w:tcMar>
              <w:top w:w="80" w:type="dxa"/>
              <w:start w:w="80" w:type="dxa"/>
              <w:bottom w:w="80" w:type="dxa"/>
              <w:end w:w="80" w:type="dxa"/>
            </w:tcMar>
          </w:tcPr>
          <w:p>
            <w:pPr>
              <w:spacing w:after="20"/>
            </w:pPr>
            <w:r>
              <w:rPr>
                <w:sz w:val="16"/>
              </w:rPr>
              <w:t>Capacity range</w:t>
            </w:r>
          </w:p>
        </w:tc>
        <w:tc>
          <w:tcPr>
            <w:tcW w:type="dxa" w:w="7056"/>
            <w:vAlign w:val="top"/>
            <w:shd w:fill="F4F7F9"/>
            <w:tcMar>
              <w:top w:w="80" w:type="dxa"/>
              <w:start w:w="80" w:type="dxa"/>
              <w:bottom w:w="80" w:type="dxa"/>
              <w:end w:w="80" w:type="dxa"/>
            </w:tcMar>
          </w:tcPr>
          <w:p>
            <w:pPr>
              <w:spacing w:after="20"/>
            </w:pPr>
            <w:r>
              <w:rPr>
                <w:sz w:val="16"/>
              </w:rPr>
              <w:t>Start at 2–32 ACUs cluster configuration; raise maximum after load testing/observed utilization</w:t>
            </w:r>
          </w:p>
        </w:tc>
      </w:tr>
      <w:tr>
        <w:tc>
          <w:tcPr>
            <w:tcW w:type="dxa" w:w="3312"/>
            <w:vAlign w:val="top"/>
            <w:tcMar>
              <w:top w:w="80" w:type="dxa"/>
              <w:start w:w="80" w:type="dxa"/>
              <w:bottom w:w="80" w:type="dxa"/>
              <w:end w:w="80" w:type="dxa"/>
            </w:tcMar>
          </w:tcPr>
          <w:p>
            <w:pPr>
              <w:spacing w:after="20"/>
            </w:pPr>
            <w:r>
              <w:rPr>
                <w:sz w:val="16"/>
              </w:rPr>
              <w:t>Performance monitoring</w:t>
            </w:r>
          </w:p>
        </w:tc>
        <w:tc>
          <w:tcPr>
            <w:tcW w:type="dxa" w:w="7056"/>
            <w:vAlign w:val="top"/>
            <w:tcMar>
              <w:top w:w="80" w:type="dxa"/>
              <w:start w:w="80" w:type="dxa"/>
              <w:bottom w:w="80" w:type="dxa"/>
              <w:end w:w="80" w:type="dxa"/>
            </w:tcMar>
          </w:tcPr>
          <w:p>
            <w:pPr>
              <w:spacing w:after="20"/>
            </w:pPr>
            <w:r>
              <w:rPr>
                <w:sz w:val="16"/>
              </w:rPr>
              <w:t>CloudWatch Database Insights / Performance Insights-equivalent monitoring enabled</w:t>
            </w:r>
          </w:p>
        </w:tc>
      </w:tr>
      <w:tr>
        <w:tc>
          <w:tcPr>
            <w:tcW w:type="dxa" w:w="3312"/>
            <w:vAlign w:val="top"/>
            <w:shd w:fill="F4F7F9"/>
            <w:tcMar>
              <w:top w:w="80" w:type="dxa"/>
              <w:start w:w="80" w:type="dxa"/>
              <w:bottom w:w="80" w:type="dxa"/>
              <w:end w:w="80" w:type="dxa"/>
            </w:tcMar>
          </w:tcPr>
          <w:p>
            <w:pPr>
              <w:spacing w:after="20"/>
            </w:pPr>
            <w:r>
              <w:rPr>
                <w:sz w:val="16"/>
              </w:rPr>
              <w:t>Connection management</w:t>
            </w:r>
          </w:p>
        </w:tc>
        <w:tc>
          <w:tcPr>
            <w:tcW w:type="dxa" w:w="7056"/>
            <w:vAlign w:val="top"/>
            <w:shd w:fill="F4F7F9"/>
            <w:tcMar>
              <w:top w:w="80" w:type="dxa"/>
              <w:start w:w="80" w:type="dxa"/>
              <w:bottom w:w="80" w:type="dxa"/>
              <w:end w:w="80" w:type="dxa"/>
            </w:tcMar>
          </w:tcPr>
          <w:p>
            <w:pPr>
              <w:spacing w:after="20"/>
            </w:pPr>
            <w:r>
              <w:rPr>
                <w:sz w:val="16"/>
              </w:rPr>
              <w:t>RDS Proxy for application connections</w:t>
            </w:r>
          </w:p>
        </w:tc>
      </w:tr>
      <w:tr>
        <w:tc>
          <w:tcPr>
            <w:tcW w:type="dxa" w:w="3312"/>
            <w:vAlign w:val="top"/>
            <w:tcMar>
              <w:top w:w="80" w:type="dxa"/>
              <w:start w:w="80" w:type="dxa"/>
              <w:bottom w:w="80" w:type="dxa"/>
              <w:end w:w="80" w:type="dxa"/>
            </w:tcMar>
          </w:tcPr>
          <w:p>
            <w:pPr>
              <w:spacing w:after="20"/>
            </w:pPr>
            <w:r>
              <w:rPr>
                <w:sz w:val="16"/>
              </w:rPr>
              <w:t>Encryption</w:t>
            </w:r>
          </w:p>
        </w:tc>
        <w:tc>
          <w:tcPr>
            <w:tcW w:type="dxa" w:w="7056"/>
            <w:vAlign w:val="top"/>
            <w:tcMar>
              <w:top w:w="80" w:type="dxa"/>
              <w:start w:w="80" w:type="dxa"/>
              <w:bottom w:w="80" w:type="dxa"/>
              <w:end w:w="80" w:type="dxa"/>
            </w:tcMar>
          </w:tcPr>
          <w:p>
            <w:pPr>
              <w:spacing w:after="20"/>
            </w:pPr>
            <w:r>
              <w:rPr>
                <w:sz w:val="16"/>
              </w:rPr>
              <w:t>KMS customer-managed production key</w:t>
            </w:r>
          </w:p>
        </w:tc>
      </w:tr>
      <w:tr>
        <w:tc>
          <w:tcPr>
            <w:tcW w:type="dxa" w:w="3312"/>
            <w:vAlign w:val="top"/>
            <w:shd w:fill="F4F7F9"/>
            <w:tcMar>
              <w:top w:w="80" w:type="dxa"/>
              <w:start w:w="80" w:type="dxa"/>
              <w:bottom w:w="80" w:type="dxa"/>
              <w:end w:w="80" w:type="dxa"/>
            </w:tcMar>
          </w:tcPr>
          <w:p>
            <w:pPr>
              <w:spacing w:after="20"/>
            </w:pPr>
            <w:r>
              <w:rPr>
                <w:sz w:val="16"/>
              </w:rPr>
              <w:t>Network</w:t>
            </w:r>
          </w:p>
        </w:tc>
        <w:tc>
          <w:tcPr>
            <w:tcW w:type="dxa" w:w="7056"/>
            <w:vAlign w:val="top"/>
            <w:shd w:fill="F4F7F9"/>
            <w:tcMar>
              <w:top w:w="80" w:type="dxa"/>
              <w:start w:w="80" w:type="dxa"/>
              <w:bottom w:w="80" w:type="dxa"/>
              <w:end w:w="80" w:type="dxa"/>
            </w:tcMar>
          </w:tcPr>
          <w:p>
            <w:pPr>
              <w:spacing w:after="20"/>
            </w:pPr>
            <w:r>
              <w:rPr>
                <w:sz w:val="16"/>
              </w:rPr>
              <w:t>Isolated data subnets; not publicly accessible</w:t>
            </w:r>
          </w:p>
        </w:tc>
      </w:tr>
      <w:tr>
        <w:tc>
          <w:tcPr>
            <w:tcW w:type="dxa" w:w="3312"/>
            <w:vAlign w:val="top"/>
            <w:tcMar>
              <w:top w:w="80" w:type="dxa"/>
              <w:start w:w="80" w:type="dxa"/>
              <w:bottom w:w="80" w:type="dxa"/>
              <w:end w:w="80" w:type="dxa"/>
            </w:tcMar>
          </w:tcPr>
          <w:p>
            <w:pPr>
              <w:spacing w:after="20"/>
            </w:pPr>
            <w:r>
              <w:rPr>
                <w:sz w:val="16"/>
              </w:rPr>
              <w:t>Backups</w:t>
            </w:r>
          </w:p>
        </w:tc>
        <w:tc>
          <w:tcPr>
            <w:tcW w:type="dxa" w:w="7056"/>
            <w:vAlign w:val="top"/>
            <w:tcMar>
              <w:top w:w="80" w:type="dxa"/>
              <w:start w:w="80" w:type="dxa"/>
              <w:bottom w:w="80" w:type="dxa"/>
              <w:end w:w="80" w:type="dxa"/>
            </w:tcMar>
          </w:tcPr>
          <w:p>
            <w:pPr>
              <w:spacing w:after="20"/>
            </w:pPr>
            <w:r>
              <w:rPr>
                <w:sz w:val="16"/>
              </w:rPr>
              <w:t>35-day continuous/PITR retention in production</w:t>
            </w:r>
          </w:p>
        </w:tc>
      </w:tr>
      <w:tr>
        <w:tc>
          <w:tcPr>
            <w:tcW w:type="dxa" w:w="3312"/>
            <w:vAlign w:val="top"/>
            <w:shd w:fill="F4F7F9"/>
            <w:tcMar>
              <w:top w:w="80" w:type="dxa"/>
              <w:start w:w="80" w:type="dxa"/>
              <w:bottom w:w="80" w:type="dxa"/>
              <w:end w:w="80" w:type="dxa"/>
            </w:tcMar>
          </w:tcPr>
          <w:p>
            <w:pPr>
              <w:spacing w:after="20"/>
            </w:pPr>
            <w:r>
              <w:rPr>
                <w:sz w:val="16"/>
              </w:rPr>
              <w:t>Deletion protection</w:t>
            </w:r>
          </w:p>
        </w:tc>
        <w:tc>
          <w:tcPr>
            <w:tcW w:type="dxa" w:w="7056"/>
            <w:vAlign w:val="top"/>
            <w:shd w:fill="F4F7F9"/>
            <w:tcMar>
              <w:top w:w="80" w:type="dxa"/>
              <w:start w:w="80" w:type="dxa"/>
              <w:bottom w:w="80" w:type="dxa"/>
              <w:end w:w="80" w:type="dxa"/>
            </w:tcMar>
          </w:tcPr>
          <w:p>
            <w:pPr>
              <w:spacing w:after="20"/>
            </w:pPr>
            <w:r>
              <w:rPr>
                <w:sz w:val="16"/>
              </w:rPr>
              <w:t>Enabled</w:t>
            </w:r>
          </w:p>
        </w:tc>
      </w:tr>
      <w:tr>
        <w:tc>
          <w:tcPr>
            <w:tcW w:type="dxa" w:w="3312"/>
            <w:vAlign w:val="top"/>
            <w:tcMar>
              <w:top w:w="80" w:type="dxa"/>
              <w:start w:w="80" w:type="dxa"/>
              <w:bottom w:w="80" w:type="dxa"/>
              <w:end w:w="80" w:type="dxa"/>
            </w:tcMar>
          </w:tcPr>
          <w:p>
            <w:pPr>
              <w:spacing w:after="20"/>
            </w:pPr>
            <w:r>
              <w:rPr>
                <w:sz w:val="16"/>
              </w:rPr>
              <w:t>Major upgrades</w:t>
            </w:r>
          </w:p>
        </w:tc>
        <w:tc>
          <w:tcPr>
            <w:tcW w:type="dxa" w:w="7056"/>
            <w:vAlign w:val="top"/>
            <w:tcMar>
              <w:top w:w="80" w:type="dxa"/>
              <w:start w:w="80" w:type="dxa"/>
              <w:bottom w:w="80" w:type="dxa"/>
              <w:end w:w="80" w:type="dxa"/>
            </w:tcMar>
          </w:tcPr>
          <w:p>
            <w:pPr>
              <w:spacing w:after="20"/>
            </w:pPr>
            <w:r>
              <w:rPr>
                <w:sz w:val="16"/>
              </w:rPr>
              <w:t>Manual, staged, tested</w:t>
            </w:r>
          </w:p>
        </w:tc>
      </w:tr>
      <w:tr>
        <w:tc>
          <w:tcPr>
            <w:tcW w:type="dxa" w:w="3312"/>
            <w:vAlign w:val="top"/>
            <w:shd w:fill="F4F7F9"/>
            <w:tcMar>
              <w:top w:w="80" w:type="dxa"/>
              <w:start w:w="80" w:type="dxa"/>
              <w:bottom w:w="80" w:type="dxa"/>
              <w:end w:w="80" w:type="dxa"/>
            </w:tcMar>
          </w:tcPr>
          <w:p>
            <w:pPr>
              <w:spacing w:after="20"/>
            </w:pPr>
            <w:r>
              <w:rPr>
                <w:sz w:val="16"/>
              </w:rPr>
              <w:t>Minor patches</w:t>
            </w:r>
          </w:p>
        </w:tc>
        <w:tc>
          <w:tcPr>
            <w:tcW w:type="dxa" w:w="7056"/>
            <w:vAlign w:val="top"/>
            <w:shd w:fill="F4F7F9"/>
            <w:tcMar>
              <w:top w:w="80" w:type="dxa"/>
              <w:start w:w="80" w:type="dxa"/>
              <w:bottom w:w="80" w:type="dxa"/>
              <w:end w:w="80" w:type="dxa"/>
            </w:tcMar>
          </w:tcPr>
          <w:p>
            <w:pPr>
              <w:spacing w:after="20"/>
            </w:pPr>
            <w:r>
              <w:rPr>
                <w:sz w:val="16"/>
              </w:rPr>
              <w:t>Controlled maintenance policy; staging validation first</w:t>
            </w:r>
          </w:p>
        </w:tc>
      </w:tr>
    </w:tbl>
    <w:p/>
    <w:p>
      <w:r>
        <w:t>Each Aurora Capacity Unit represents approximately 2 GiB of memory plus corresponding CPU/network resources. A 2–32 ACU range gives each serverless DB instance room to grow from roughly a small baseline to a much larger burst capacity without choosing a new fixed instance class. AWS recommends at least 2 ACUs when using Performance Insights-style monitoring. The capacity range applies to all serverless instances in the cluster.</w:t>
      </w:r>
    </w:p>
    <w:p>
      <w:r>
        <w:t>Aurora stores database data six ways across three Availability Zones. The hot reader is still important: Aurora storage durability alone does not give the application the fastest compute failover. A ready reader allows promotion when the writer fails.</w:t>
      </w:r>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Why PostgreSQL 17.7 LTS — </w:t>
            </w:r>
            <w:r>
              <w:t>AWS currently designates Aurora PostgreSQL 17.7 as an LTS minor with standard support through February 2030. That is a stronger production base than selecting the newest non-LTS minor only because its number is higher.</w:t>
            </w:r>
          </w:p>
        </w:tc>
      </w:tr>
    </w:tbl>
    <w:p/>
    <w:p>
      <w:pPr>
        <w:pStyle w:val="Heading1"/>
      </w:pPr>
      <w:r>
        <w:t>15. Database schema and data-access approach</w:t>
      </w:r>
    </w:p>
    <w:p>
      <w:r>
        <w:t>Use PostgreSQL as the canonical source of truth from local development through production. Do not plan a future migration from SQLite/Firebase to PostgreSQL.</w:t>
      </w:r>
    </w:p>
    <w:p>
      <w:pPr>
        <w:pStyle w:val="ListBullet"/>
        <w:spacing w:after="40"/>
      </w:pPr>
      <w:r>
        <w:t>Use UUID/ULID-style opaque IDs for public/domain entities; never expose sequential database IDs as authorization.</w:t>
      </w:r>
    </w:p>
    <w:p>
      <w:pPr>
        <w:pStyle w:val="ListBullet"/>
        <w:spacing w:after="40"/>
      </w:pPr>
      <w:r>
        <w:t>Every household-owned row carries explicit tenant/household ownership metadata; user-private records carry user ownership/ACL metadata.</w:t>
      </w:r>
    </w:p>
    <w:p>
      <w:pPr>
        <w:pStyle w:val="ListBullet"/>
        <w:spacing w:after="40"/>
      </w:pPr>
      <w:r>
        <w:t>Use PostgreSQL row-level security only as defense-in-depth, not as a replacement for service-layer authorization.</w:t>
      </w:r>
    </w:p>
    <w:p>
      <w:pPr>
        <w:pStyle w:val="ListBullet"/>
        <w:spacing w:after="40"/>
      </w:pPr>
      <w:r>
        <w:t>Use relational tables for stable domains and a relationship/edge table for flexible knowledge-graph links.</w:t>
      </w:r>
    </w:p>
    <w:p>
      <w:pPr>
        <w:pStyle w:val="ListBullet"/>
        <w:spacing w:after="40"/>
      </w:pPr>
      <w:r>
        <w:t>Use JSONB only when the shape is legitimately flexible; do not turn the entire schema into untyped JSON.</w:t>
      </w:r>
    </w:p>
    <w:p>
      <w:pPr>
        <w:pStyle w:val="ListBullet"/>
        <w:spacing w:after="40"/>
      </w:pPr>
      <w:r>
        <w:t>Use fixed numeric/decimal types or integer minor units for money; never floating point.</w:t>
      </w:r>
    </w:p>
    <w:p>
      <w:pPr>
        <w:pStyle w:val="ListBullet"/>
        <w:spacing w:after="40"/>
      </w:pPr>
      <w:r>
        <w:t>Store timestamps in UTC with source timezone/locale metadata where user meaning depends on it.</w:t>
      </w:r>
    </w:p>
    <w:p>
      <w:pPr>
        <w:pStyle w:val="ListBullet"/>
        <w:spacing w:after="40"/>
      </w:pPr>
      <w:r>
        <w:t>Every externally synchronized entity stores provider ID, source version/cursor where relevant, last sync time, and deletion/tombstone state.</w:t>
      </w:r>
    </w:p>
    <w:p>
      <w:pPr>
        <w:pStyle w:val="ListBullet"/>
        <w:spacing w:after="40"/>
      </w:pPr>
      <w:r>
        <w:t>Use migrations for every schema change. Production migrations must be backward-compatible during rolling deployments.</w:t>
      </w:r>
    </w:p>
    <w:p>
      <w:pPr>
        <w:pStyle w:val="Heading2"/>
      </w:pPr>
      <w:r>
        <w:t>Recommended data-access layer</w:t>
      </w:r>
    </w:p>
    <w:p>
      <w:r>
        <w:t>Use a typed SQL-first layer such as Drizzle ORM or Kysely rather than hiding complex PostgreSQL behavior behind a lowest-common-denominator abstraction. Veynlo will eventually need pgvector, partial indexes, generated columns, JSONB, explicit transactions, advisory locks, and tuned SQL. Keep repositories/domain services clean enough that the specific query library can be replaced without rewriting business logic.</w:t>
      </w:r>
    </w:p>
    <w:p>
      <w:pPr>
        <w:pStyle w:val="Heading1"/>
      </w:pPr>
      <w:r>
        <w:t>16. Cache and distributed coordination</w:t>
      </w:r>
    </w:p>
    <w:p>
      <w:r>
        <w:t>Use ElastiCache Valkey Serverless for ephemeral state, not as a second permanent database.</w:t>
      </w:r>
    </w:p>
    <w:p>
      <w:pPr>
        <w:pStyle w:val="ListBullet"/>
        <w:spacing w:after="40"/>
      </w:pPr>
      <w:r>
        <w:t>Short-lived cache entries for expensive computed views.</w:t>
      </w:r>
    </w:p>
    <w:p>
      <w:pPr>
        <w:pStyle w:val="ListBullet"/>
        <w:spacing w:after="40"/>
      </w:pPr>
      <w:r>
        <w:t>Distributed rate-limit counters.</w:t>
      </w:r>
    </w:p>
    <w:p>
      <w:pPr>
        <w:pStyle w:val="ListBullet"/>
        <w:spacing w:after="40"/>
      </w:pPr>
      <w:r>
        <w:t>Distributed locks for narrowly scoped synchronization.</w:t>
      </w:r>
    </w:p>
    <w:p>
      <w:pPr>
        <w:pStyle w:val="ListBullet"/>
        <w:spacing w:after="40"/>
      </w:pPr>
      <w:r>
        <w:t>Short-lived OAuth/session workflow state when appropriate.</w:t>
      </w:r>
    </w:p>
    <w:p>
      <w:pPr>
        <w:pStyle w:val="ListBullet"/>
        <w:spacing w:after="40"/>
      </w:pPr>
      <w:r>
        <w:t>Idempotency/deduplication hints where durability does not require Aurora.</w:t>
      </w:r>
    </w:p>
    <w:p>
      <w:pPr>
        <w:pStyle w:val="ListBullet"/>
        <w:spacing w:after="40"/>
      </w:pPr>
      <w:r>
        <w:t>Do not cache highly sensitive raw documents or OAuth tokens unless there is a compelling, encrypted, time-bounded reason.</w:t>
      </w:r>
    </w:p>
    <w:p>
      <w:pPr>
        <w:pStyle w:val="Heading1"/>
      </w:pPr>
      <w:r>
        <w:t>17. Private file and document storage</w:t>
      </w:r>
    </w:p>
    <w:p>
      <w:r>
        <w:t>All user documents, receipts, photos, attachments, OCR derivatives, and raw provider payloads that need durable retention belong in private S3, not database BLOB columns.</w:t>
      </w:r>
    </w:p>
    <w:tbl>
      <w:tblPr>
        <w:tblStyle w:val="TableGrid"/>
        <w:tblW w:type="auto" w:w="0"/>
        <w:jc w:val="center"/>
        <w:tblLook w:firstColumn="1" w:firstRow="1" w:lastColumn="0" w:lastRow="0" w:noHBand="0" w:noVBand="1" w:val="04A0"/>
      </w:tblPr>
      <w:tblGrid>
        <w:gridCol w:w="5083"/>
        <w:gridCol w:w="5083"/>
      </w:tblGrid>
      <w:tr>
        <w:tc>
          <w:tcPr>
            <w:tcW w:type="dxa" w:w="3312"/>
            <w:shd w:fill="183B56"/>
            <w:tcMar>
              <w:top w:w="80" w:type="dxa"/>
              <w:start w:w="80" w:type="dxa"/>
              <w:bottom w:w="80" w:type="dxa"/>
              <w:end w:w="80" w:type="dxa"/>
            </w:tcMar>
          </w:tcPr>
          <w:p>
            <w:r>
              <w:rPr>
                <w:b/>
                <w:color w:val="FFFFFF"/>
                <w:sz w:val="16"/>
              </w:rPr>
              <w:t>Bucket/prefix role</w:t>
            </w:r>
          </w:p>
        </w:tc>
        <w:tc>
          <w:tcPr>
            <w:tcW w:type="dxa" w:w="7056"/>
            <w:shd w:fill="183B56"/>
            <w:tcMar>
              <w:top w:w="80" w:type="dxa"/>
              <w:start w:w="80" w:type="dxa"/>
              <w:bottom w:w="80" w:type="dxa"/>
              <w:end w:w="80" w:type="dxa"/>
            </w:tcMar>
          </w:tcPr>
          <w:p>
            <w:r>
              <w:rPr>
                <w:b/>
                <w:color w:val="FFFFFF"/>
                <w:sz w:val="16"/>
              </w:rPr>
              <w:t>Security/behavior</w:t>
            </w:r>
          </w:p>
        </w:tc>
      </w:tr>
      <w:tr>
        <w:tc>
          <w:tcPr>
            <w:tcW w:type="dxa" w:w="3312"/>
            <w:vAlign w:val="top"/>
            <w:shd w:fill="F4F7F9"/>
            <w:tcMar>
              <w:top w:w="80" w:type="dxa"/>
              <w:start w:w="80" w:type="dxa"/>
              <w:bottom w:w="80" w:type="dxa"/>
              <w:end w:w="80" w:type="dxa"/>
            </w:tcMar>
          </w:tcPr>
          <w:p>
            <w:pPr>
              <w:spacing w:after="20"/>
            </w:pPr>
            <w:r>
              <w:rPr>
                <w:sz w:val="16"/>
              </w:rPr>
              <w:t>Upload quarantine</w:t>
            </w:r>
          </w:p>
        </w:tc>
        <w:tc>
          <w:tcPr>
            <w:tcW w:type="dxa" w:w="7056"/>
            <w:vAlign w:val="top"/>
            <w:shd w:fill="F4F7F9"/>
            <w:tcMar>
              <w:top w:w="80" w:type="dxa"/>
              <w:start w:w="80" w:type="dxa"/>
              <w:bottom w:w="80" w:type="dxa"/>
              <w:end w:w="80" w:type="dxa"/>
            </w:tcMar>
          </w:tcPr>
          <w:p>
            <w:pPr>
              <w:spacing w:after="20"/>
            </w:pPr>
            <w:r>
              <w:rPr>
                <w:sz w:val="16"/>
              </w:rPr>
              <w:t>Direct presigned uploads land here. No document becomes available to normal users until validation/scanning completes.</w:t>
            </w:r>
          </w:p>
        </w:tc>
      </w:tr>
      <w:tr>
        <w:tc>
          <w:tcPr>
            <w:tcW w:type="dxa" w:w="3312"/>
            <w:vAlign w:val="top"/>
            <w:tcMar>
              <w:top w:w="80" w:type="dxa"/>
              <w:start w:w="80" w:type="dxa"/>
              <w:bottom w:w="80" w:type="dxa"/>
              <w:end w:w="80" w:type="dxa"/>
            </w:tcMar>
          </w:tcPr>
          <w:p>
            <w:pPr>
              <w:spacing w:after="20"/>
            </w:pPr>
            <w:r>
              <w:rPr>
                <w:sz w:val="16"/>
              </w:rPr>
              <w:t>Clean originals</w:t>
            </w:r>
          </w:p>
        </w:tc>
        <w:tc>
          <w:tcPr>
            <w:tcW w:type="dxa" w:w="7056"/>
            <w:vAlign w:val="top"/>
            <w:tcMar>
              <w:top w:w="80" w:type="dxa"/>
              <w:start w:w="80" w:type="dxa"/>
              <w:bottom w:w="80" w:type="dxa"/>
              <w:end w:w="80" w:type="dxa"/>
            </w:tcMar>
          </w:tcPr>
          <w:p>
            <w:pPr>
              <w:spacing w:after="20"/>
            </w:pPr>
            <w:r>
              <w:rPr>
                <w:sz w:val="16"/>
              </w:rPr>
              <w:t>Private KMS-encrypted source documents after validation.</w:t>
            </w:r>
          </w:p>
        </w:tc>
      </w:tr>
      <w:tr>
        <w:tc>
          <w:tcPr>
            <w:tcW w:type="dxa" w:w="3312"/>
            <w:vAlign w:val="top"/>
            <w:shd w:fill="F4F7F9"/>
            <w:tcMar>
              <w:top w:w="80" w:type="dxa"/>
              <w:start w:w="80" w:type="dxa"/>
              <w:bottom w:w="80" w:type="dxa"/>
              <w:end w:w="80" w:type="dxa"/>
            </w:tcMar>
          </w:tcPr>
          <w:p>
            <w:pPr>
              <w:spacing w:after="20"/>
            </w:pPr>
            <w:r>
              <w:rPr>
                <w:sz w:val="16"/>
              </w:rPr>
              <w:t>Derived assets</w:t>
            </w:r>
          </w:p>
        </w:tc>
        <w:tc>
          <w:tcPr>
            <w:tcW w:type="dxa" w:w="7056"/>
            <w:vAlign w:val="top"/>
            <w:shd w:fill="F4F7F9"/>
            <w:tcMar>
              <w:top w:w="80" w:type="dxa"/>
              <w:start w:w="80" w:type="dxa"/>
              <w:bottom w:w="80" w:type="dxa"/>
              <w:end w:w="80" w:type="dxa"/>
            </w:tcMar>
          </w:tcPr>
          <w:p>
            <w:pPr>
              <w:spacing w:after="20"/>
            </w:pPr>
            <w:r>
              <w:rPr>
                <w:sz w:val="16"/>
              </w:rPr>
              <w:t>Thumbnails, OCR output, normalized images, previews.</w:t>
            </w:r>
          </w:p>
        </w:tc>
      </w:tr>
      <w:tr>
        <w:tc>
          <w:tcPr>
            <w:tcW w:type="dxa" w:w="3312"/>
            <w:vAlign w:val="top"/>
            <w:tcMar>
              <w:top w:w="80" w:type="dxa"/>
              <w:start w:w="80" w:type="dxa"/>
              <w:bottom w:w="80" w:type="dxa"/>
              <w:end w:w="80" w:type="dxa"/>
            </w:tcMar>
          </w:tcPr>
          <w:p>
            <w:pPr>
              <w:spacing w:after="20"/>
            </w:pPr>
            <w:r>
              <w:rPr>
                <w:sz w:val="16"/>
              </w:rPr>
              <w:t>Raw provider payload archive</w:t>
            </w:r>
          </w:p>
        </w:tc>
        <w:tc>
          <w:tcPr>
            <w:tcW w:type="dxa" w:w="7056"/>
            <w:vAlign w:val="top"/>
            <w:tcMar>
              <w:top w:w="80" w:type="dxa"/>
              <w:start w:w="80" w:type="dxa"/>
              <w:bottom w:w="80" w:type="dxa"/>
              <w:end w:w="80" w:type="dxa"/>
            </w:tcMar>
          </w:tcPr>
          <w:p>
            <w:pPr>
              <w:spacing w:after="20"/>
            </w:pPr>
            <w:r>
              <w:rPr>
                <w:sz w:val="16"/>
              </w:rPr>
              <w:t>Short/controlled retention for reproducibility and evidence; lifecycle aggressively.</w:t>
            </w:r>
          </w:p>
        </w:tc>
      </w:tr>
      <w:tr>
        <w:tc>
          <w:tcPr>
            <w:tcW w:type="dxa" w:w="3312"/>
            <w:vAlign w:val="top"/>
            <w:shd w:fill="F4F7F9"/>
            <w:tcMar>
              <w:top w:w="80" w:type="dxa"/>
              <w:start w:w="80" w:type="dxa"/>
              <w:bottom w:w="80" w:type="dxa"/>
              <w:end w:w="80" w:type="dxa"/>
            </w:tcMar>
          </w:tcPr>
          <w:p>
            <w:pPr>
              <w:spacing w:after="20"/>
            </w:pPr>
            <w:r>
              <w:rPr>
                <w:sz w:val="16"/>
              </w:rPr>
              <w:t>Backup/replica</w:t>
            </w:r>
          </w:p>
        </w:tc>
        <w:tc>
          <w:tcPr>
            <w:tcW w:type="dxa" w:w="7056"/>
            <w:vAlign w:val="top"/>
            <w:shd w:fill="F4F7F9"/>
            <w:tcMar>
              <w:top w:w="80" w:type="dxa"/>
              <w:start w:w="80" w:type="dxa"/>
              <w:bottom w:w="80" w:type="dxa"/>
              <w:end w:w="80" w:type="dxa"/>
            </w:tcMar>
          </w:tcPr>
          <w:p>
            <w:pPr>
              <w:spacing w:after="20"/>
            </w:pPr>
            <w:r>
              <w:rPr>
                <w:sz w:val="16"/>
              </w:rPr>
              <w:t>Separate account/region according to backup policy.</w:t>
            </w:r>
          </w:p>
        </w:tc>
      </w:tr>
    </w:tbl>
    <w:p/>
    <w:p>
      <w:pPr>
        <w:pStyle w:val="ListBullet"/>
        <w:spacing w:after="40"/>
      </w:pPr>
      <w:r>
        <w:t>Enable S3 Block Public Access at organization/account/bucket level.</w:t>
      </w:r>
    </w:p>
    <w:p>
      <w:pPr>
        <w:pStyle w:val="ListBullet"/>
        <w:spacing w:after="40"/>
      </w:pPr>
      <w:r>
        <w:t>Disable ACL-based ownership patterns; use bucket policies/IAM.</w:t>
      </w:r>
    </w:p>
    <w:p>
      <w:pPr>
        <w:pStyle w:val="ListBullet"/>
        <w:spacing w:after="40"/>
      </w:pPr>
      <w:r>
        <w:t>Enable versioning where recovery requirements justify it and add lifecycle rules so noncurrent versions do not grow forever.</w:t>
      </w:r>
    </w:p>
    <w:p>
      <w:pPr>
        <w:pStyle w:val="ListBullet"/>
        <w:spacing w:after="40"/>
      </w:pPr>
      <w:r>
        <w:t>Use short-lived presigned URLs or authenticated download endpoints. Never expose permanent public URLs to private documents.</w:t>
      </w:r>
    </w:p>
    <w:p>
      <w:pPr>
        <w:pStyle w:val="ListBullet"/>
        <w:spacing w:after="40"/>
      </w:pPr>
      <w:r>
        <w:t>Uploads should use content-length limits, MIME sniffing/validation, extension checks, hash calculation, malware scanning where practical, and safe preview generation.</w:t>
      </w:r>
    </w:p>
    <w:p>
      <w:pPr>
        <w:pStyle w:val="ListBullet"/>
        <w:spacing w:after="40"/>
      </w:pPr>
      <w:r>
        <w:t>For backup vaults, use AWS Backup and Vault Lock after retention rules are proven. Use governance mode first; move to compliance mode only after legal/retention policy is finalized because compliance locks become immutable.</w:t>
      </w:r>
    </w:p>
    <w:p>
      <w:pPr>
        <w:pStyle w:val="Heading1"/>
      </w:pPr>
      <w:r>
        <w:t>18. Search and vector retrieval</w:t>
      </w:r>
    </w:p>
    <w:p>
      <w:r>
        <w:t>Do not deploy OpenSearch on day one merely because Veynlo has semantic search. Start with Aurora PostgreSQL full-text search plus pgvector. This keeps the authoritative relational and initial retrieval data close and reduces operational cost.</w:t>
      </w:r>
    </w:p>
    <w:p>
      <w:pPr>
        <w:pStyle w:val="ListBullet"/>
        <w:spacing w:after="40"/>
      </w:pPr>
      <w:r>
        <w:t>Structured filters execute against normalized relational fields.</w:t>
      </w:r>
    </w:p>
    <w:p>
      <w:pPr>
        <w:pStyle w:val="ListBullet"/>
        <w:spacing w:after="40"/>
      </w:pPr>
      <w:r>
        <w:t>Keyword/full-text search uses PostgreSQL text search and trigram indexes where useful.</w:t>
      </w:r>
    </w:p>
    <w:p>
      <w:pPr>
        <w:pStyle w:val="ListBullet"/>
        <w:spacing w:after="40"/>
      </w:pPr>
      <w:r>
        <w:t>Semantic retrieval stores embeddings through pgvector with tenant/ACL metadata.</w:t>
      </w:r>
    </w:p>
    <w:p>
      <w:pPr>
        <w:pStyle w:val="ListBullet"/>
        <w:spacing w:after="40"/>
      </w:pPr>
      <w:r>
        <w:t>Authorization is applied before or within retrieval queries. Never retrieve another household member's private vectors and filter them after the model sees them.</w:t>
      </w:r>
    </w:p>
    <w:p>
      <w:pPr>
        <w:pStyle w:val="ListBullet"/>
        <w:spacing w:after="40"/>
      </w:pPr>
      <w:r>
        <w:t>Introduce OpenSearch when measured index size, query rate, faceting, ranking, or isolation needs exceed the practical PostgreSQL design.</w:t>
      </w:r>
    </w:p>
    <w:p>
      <w:pPr>
        <w:pStyle w:val="Heading1"/>
      </w:pPr>
      <w:r>
        <w:t>19. AI and document-intelligence architecture</w:t>
      </w:r>
    </w:p>
    <w:p>
      <w:r>
        <w:t>AI should be a staged service, not a single expensive model called for every incoming email.</w:t>
      </w:r>
    </w:p>
    <w:p>
      <w:pPr>
        <w:pStyle w:val="CodeSmall"/>
      </w:pPr>
      <w:r>
        <w:t>Source item</w:t>
      </w:r>
    </w:p>
    <w:p>
      <w:pPr>
        <w:pStyle w:val="CodeSmall"/>
      </w:pPr>
      <w:r>
        <w:t xml:space="preserve">  -&gt; deterministic parser / known sender template</w:t>
      </w:r>
    </w:p>
    <w:p>
      <w:pPr>
        <w:pStyle w:val="CodeSmall"/>
      </w:pPr>
      <w:r>
        <w:t xml:space="preserve">  -&gt; cheap relevance classifier</w:t>
      </w:r>
    </w:p>
    <w:p>
      <w:pPr>
        <w:pStyle w:val="CodeSmall"/>
      </w:pPr>
      <w:r>
        <w:t xml:space="preserve">  -&gt; document/message category</w:t>
      </w:r>
    </w:p>
    <w:p>
      <w:pPr>
        <w:pStyle w:val="CodeSmall"/>
      </w:pPr>
      <w:r>
        <w:t xml:space="preserve">  -&gt; structured extraction</w:t>
      </w:r>
    </w:p>
    <w:p>
      <w:pPr>
        <w:pStyle w:val="CodeSmall"/>
      </w:pPr>
      <w:r>
        <w:t xml:space="preserve">  -&gt; evidence/provenance record</w:t>
      </w:r>
    </w:p>
    <w:p>
      <w:pPr>
        <w:pStyle w:val="CodeSmall"/>
      </w:pPr>
      <w:r>
        <w:t xml:space="preserve">  -&gt; entity resolution</w:t>
      </w:r>
    </w:p>
    <w:p>
      <w:pPr>
        <w:pStyle w:val="CodeSmall"/>
      </w:pPr>
      <w:r>
        <w:t xml:space="preserve">  -&gt; rule engine</w:t>
      </w:r>
    </w:p>
    <w:p>
      <w:pPr>
        <w:pStyle w:val="CodeSmall"/>
      </w:pPr>
      <w:r>
        <w:t xml:space="preserve">  -&gt; larger reasoning model only when required</w:t>
      </w:r>
    </w:p>
    <w:p>
      <w:pPr>
        <w:pStyle w:val="ListBullet"/>
        <w:spacing w:after="40"/>
      </w:pPr>
      <w:r>
        <w:t>Create an internal model-router package/service with adapters for multiple providers (for example OpenAI, Anthropic, AWS Bedrock models, and future local models).</w:t>
      </w:r>
    </w:p>
    <w:p>
      <w:pPr>
        <w:pStyle w:val="ListBullet"/>
        <w:spacing w:after="40"/>
      </w:pPr>
      <w:r>
        <w:t>Store prompt version, model/version, extraction schema version, confidence, evidence location, and user corrections for important derived facts.</w:t>
      </w:r>
    </w:p>
    <w:p>
      <w:pPr>
        <w:pStyle w:val="ListBullet"/>
        <w:spacing w:after="40"/>
      </w:pPr>
      <w:r>
        <w:t>Validate model JSON against strict schemas. Model output is untrusted input.</w:t>
      </w:r>
    </w:p>
    <w:p>
      <w:pPr>
        <w:pStyle w:val="ListBullet"/>
        <w:spacing w:after="40"/>
      </w:pPr>
      <w:r>
        <w:t>Use on-device OCR/classification where it materially improves privacy, latency, or cost; use backend document services/models for difficult scans.</w:t>
      </w:r>
    </w:p>
    <w:p>
      <w:pPr>
        <w:pStyle w:val="ListBullet"/>
        <w:spacing w:after="40"/>
      </w:pPr>
      <w:r>
        <w:t>Use deterministic date/amount/order parsing when reliable; do not pay a reasoning model to parse a standard UPS tracking message.</w:t>
      </w:r>
    </w:p>
    <w:p>
      <w:pPr>
        <w:pStyle w:val="ListBullet"/>
        <w:spacing w:after="40"/>
      </w:pPr>
      <w:r>
        <w:t>Track AI cost per feature, user, source, model, and queue. Cost per active paying user is a first-class product metric.</w:t>
      </w:r>
    </w:p>
    <w:p>
      <w:pPr>
        <w:pStyle w:val="ListBullet"/>
        <w:spacing w:after="40"/>
      </w:pPr>
      <w:r>
        <w:t>Never place provider AI keys in mobile or web client code.</w:t>
      </w:r>
    </w:p>
    <w:p>
      <w:pPr>
        <w:pStyle w:val="Heading1"/>
      </w:pPr>
      <w:r>
        <w:t>20. Authentication and user identity</w:t>
      </w:r>
    </w:p>
    <w:p>
      <w:r>
        <w:t>Use Amazon Cognito User Pools as the consumer identity provider. Cognito currently supports WebAuthn passkeys and federation with Google and Apple. The Veynlo database still owns its internal user/household records; Cognito subject identifiers map into them.</w:t>
      </w:r>
    </w:p>
    <w:p>
      <w:pPr>
        <w:pStyle w:val="ListBullet"/>
        <w:spacing w:after="40"/>
      </w:pPr>
      <w:r>
        <w:t>Production custom relying-party/auth domain should be stable before passkey launch because changing WebAuthn RP identity forces users to re-register passkeys.</w:t>
      </w:r>
    </w:p>
    <w:p>
      <w:pPr>
        <w:pStyle w:val="ListBullet"/>
        <w:spacing w:after="40"/>
      </w:pPr>
      <w:r>
        <w:t>Offer Sign in with Apple and Google. Add passwordless email OTP or conventional password only as a deliberate fallback.</w:t>
      </w:r>
    </w:p>
    <w:p>
      <w:pPr>
        <w:pStyle w:val="ListBullet"/>
        <w:spacing w:after="40"/>
      </w:pPr>
      <w:r>
        <w:t>Prefer passkeys. If passwords are enabled, follow Cognito SRP/MFA guidance and never store password hashes in Veynlo.</w:t>
      </w:r>
    </w:p>
    <w:p>
      <w:pPr>
        <w:pStyle w:val="ListBullet"/>
        <w:spacing w:after="40"/>
      </w:pPr>
      <w:r>
        <w:t>Mobile apps are public clients: do not configure them with client secrets.</w:t>
      </w:r>
    </w:p>
    <w:p>
      <w:pPr>
        <w:pStyle w:val="ListBullet"/>
        <w:spacing w:after="40"/>
      </w:pPr>
      <w:r>
        <w:t>Backend authorizes using validated JWT access tokens and explicit scopes/claims; the ID token is not a blanket authorization grant.</w:t>
      </w:r>
    </w:p>
    <w:p>
      <w:pPr>
        <w:pStyle w:val="ListBullet"/>
        <w:spacing w:after="40"/>
      </w:pPr>
      <w:r>
        <w:t>Keep admin/staff authentication separate from the consumer user pool.</w:t>
      </w:r>
    </w:p>
    <w:p>
      <w:pPr>
        <w:pStyle w:val="Heading1"/>
      </w:pPr>
      <w:r>
        <w:t>21. Connected-account OAuth token vault</w:t>
      </w:r>
    </w:p>
    <w:p>
      <w:r>
        <w:t>Secrets Manager is excellent for Veynlo's own service credentials, but it is not an economical design to create one Secrets Manager secret for every user's Gmail/Outlook token set. User OAuth credentials should live in a dedicated encrypted token vault controlled by a narrow backend service.</w:t>
      </w:r>
    </w:p>
    <w:p>
      <w:pPr>
        <w:pStyle w:val="ListBullet"/>
        <w:spacing w:after="40"/>
      </w:pPr>
      <w:r>
        <w:t>Store refresh/access tokens encrypted at the application layer using envelope encryption rooted in AWS KMS.</w:t>
      </w:r>
    </w:p>
    <w:p>
      <w:pPr>
        <w:pStyle w:val="ListBullet"/>
        <w:spacing w:after="40"/>
      </w:pPr>
      <w:r>
        <w:t>Separate token ciphertext from general domain tables and restrict decrypt permission to the connector/token service IAM role.</w:t>
      </w:r>
    </w:p>
    <w:p>
      <w:pPr>
        <w:pStyle w:val="ListBullet"/>
        <w:spacing w:after="40"/>
      </w:pPr>
      <w:r>
        <w:t>Never write tokens to application logs, analytics, traces, error reporting, or queue payloads.</w:t>
      </w:r>
    </w:p>
    <w:p>
      <w:pPr>
        <w:pStyle w:val="ListBullet"/>
        <w:spacing w:after="40"/>
      </w:pPr>
      <w:r>
        <w:t>Rotate KMS keys according to policy and version encrypted envelope metadata so records can be re-wrapped.</w:t>
      </w:r>
    </w:p>
    <w:p>
      <w:pPr>
        <w:pStyle w:val="ListBullet"/>
        <w:spacing w:after="40"/>
      </w:pPr>
      <w:r>
        <w:t>When a provider disconnects, revoke remotely where supported, delete/disable token material, and tombstone the connection record.</w:t>
      </w:r>
    </w:p>
    <w:p>
      <w:pPr>
        <w:pStyle w:val="ListBullet"/>
        <w:spacing w:after="40"/>
      </w:pPr>
      <w:r>
        <w:t>Audit token use by connection/service, but log only safe metadata.</w:t>
      </w:r>
    </w:p>
    <w:p>
      <w:pPr>
        <w:pStyle w:val="Heading1"/>
      </w:pPr>
      <w:r>
        <w:t>22. Billing, subscriptions, entitlements, and app stores</w:t>
      </w:r>
    </w:p>
    <w:p>
      <w:r>
        <w:t>This is another area where the production architecture must be designed before store submission. Veynlo's subscription state should not be separately implemented three times for Apple, Google, and web. Use RevenueCat as the entitlement/subscription normalization layer and Stripe Billing for web purchases.</w:t>
      </w:r>
    </w:p>
    <w:p>
      <w:pPr>
        <w:pStyle w:val="CodeSmall"/>
      </w:pPr>
      <w:r>
        <w:t>Apple App Store subscription ─┐</w:t>
      </w:r>
    </w:p>
    <w:p>
      <w:pPr>
        <w:pStyle w:val="CodeSmall"/>
      </w:pPr>
      <w:r>
        <w:t xml:space="preserve">                              │</w:t>
      </w:r>
    </w:p>
    <w:p>
      <w:pPr>
        <w:pStyle w:val="CodeSmall"/>
      </w:pPr>
      <w:r>
        <w:t>Google Play subscription ─────┼─&gt; RevenueCat customer/entitlements -&gt; Veynlo backend</w:t>
      </w:r>
    </w:p>
    <w:p>
      <w:pPr>
        <w:pStyle w:val="CodeSmall"/>
      </w:pPr>
      <w:r>
        <w:t xml:space="preserve">                              │</w:t>
      </w:r>
    </w:p>
    <w:p>
      <w:pPr>
        <w:pStyle w:val="CodeSmall"/>
      </w:pPr>
      <w:r>
        <w:t>Stripe web subscription ──────┘</w:t>
      </w:r>
    </w:p>
    <w:p>
      <w:pPr>
        <w:pStyle w:val="ListBullet"/>
        <w:spacing w:after="40"/>
      </w:pPr>
      <w:r>
        <w:t>Apple purchases use StoreKit/App Store subscriptions and RevenueCat's Apple integration.</w:t>
      </w:r>
    </w:p>
    <w:p>
      <w:pPr>
        <w:pStyle w:val="ListBullet"/>
        <w:spacing w:after="40"/>
      </w:pPr>
      <w:r>
        <w:t>Google Play purchases use Google Play Billing where required and RevenueCat's Google integration.</w:t>
      </w:r>
    </w:p>
    <w:p>
      <w:pPr>
        <w:pStyle w:val="ListBullet"/>
        <w:spacing w:after="40"/>
      </w:pPr>
      <w:r>
        <w:t>Web subscriptions use Stripe Billing connected to RevenueCat Web so the same entitlement can unlock mobile/web/desktop.</w:t>
      </w:r>
    </w:p>
    <w:p>
      <w:pPr>
        <w:pStyle w:val="ListBullet"/>
        <w:spacing w:after="40"/>
      </w:pPr>
      <w:r>
        <w:t>Veynlo's backend stores a cached entitlement snapshot and RevenueCat subscriber/customer identity, but RevenueCat/store receipts remain the authoritative subscription event source.</w:t>
      </w:r>
    </w:p>
    <w:p>
      <w:pPr>
        <w:pStyle w:val="ListBullet"/>
        <w:spacing w:after="40"/>
      </w:pPr>
      <w:r>
        <w:t>RevenueCat webhooks update Veynlo entitlement state. They must be idempotent and signed/verified.</w:t>
      </w:r>
    </w:p>
    <w:p>
      <w:pPr>
        <w:pStyle w:val="ListBullet"/>
        <w:spacing w:after="40"/>
      </w:pPr>
      <w:r>
        <w:t>Never rely only on a client-reported 'premium=true' flag.</w:t>
      </w:r>
    </w:p>
    <w:p>
      <w:pPr>
        <w:pStyle w:val="ListBullet"/>
        <w:spacing w:after="40"/>
      </w:pPr>
      <w:r>
        <w:t>Build centralized entitlement rules such as connected account count, history depth, AI allowance, household seats, storage, automations, and premium integrations.</w:t>
      </w:r>
    </w:p>
    <w:p>
      <w:pPr>
        <w:pStyle w:val="ListBullet"/>
        <w:spacing w:after="40"/>
      </w:pPr>
      <w:r>
        <w:t>Store policy changes are frequent. Keep store-link/payment-flow behavior feature-flagged and region-aware rather than hardcoded permanently.</w:t>
      </w:r>
    </w:p>
    <w:p>
      <w:r>
        <w:t>Current Google Play policy requires Play Billing for in-app digital functionality/subscriptions unless an applicable program/exception applies, and its U.S./EEA/UK billing-choice rules are evolving. RevenueCat reduces implementation fragmentation but does not remove Veynlo's obligation to follow the current Apple/Google policies in every distribution region.</w:t>
      </w:r>
    </w:p>
    <w:p>
      <w:pPr>
        <w:pStyle w:val="Heading1"/>
      </w:pPr>
      <w:r>
        <w:t>23. Notifications and outbound communications</w:t>
      </w:r>
    </w:p>
    <w:p>
      <w:pPr>
        <w:pStyle w:val="ListBullet"/>
        <w:spacing w:after="40"/>
      </w:pPr>
      <w:r>
        <w:t>APNs for iPhone/iPad/macOS push where appropriate.</w:t>
      </w:r>
    </w:p>
    <w:p>
      <w:pPr>
        <w:pStyle w:val="ListBullet"/>
        <w:spacing w:after="40"/>
      </w:pPr>
      <w:r>
        <w:t>FCM for Android push.</w:t>
      </w:r>
    </w:p>
    <w:p>
      <w:pPr>
        <w:pStyle w:val="ListBullet"/>
        <w:spacing w:after="40"/>
      </w:pPr>
      <w:r>
        <w:t>Amazon SES for transactional email, account notices, digests, and provider-connection warnings.</w:t>
      </w:r>
    </w:p>
    <w:p>
      <w:pPr>
        <w:pStyle w:val="ListBullet"/>
        <w:spacing w:after="40"/>
      </w:pPr>
      <w:r>
        <w:t>Notification service owns templates, user preferences, quiet hours, sensitive-preview policy, grouping, deduplication, and delivery status.</w:t>
      </w:r>
    </w:p>
    <w:p>
      <w:pPr>
        <w:pStyle w:val="ListBullet"/>
        <w:spacing w:after="40"/>
      </w:pPr>
      <w:r>
        <w:t>Do not send private financial/document detail in email or lock-screen push unless the user explicitly permits that preview level.</w:t>
      </w:r>
    </w:p>
    <w:p>
      <w:pPr>
        <w:pStyle w:val="ListBullet"/>
        <w:spacing w:after="40"/>
      </w:pPr>
      <w:r>
        <w:t>Use queues for notification delivery so a provider outage never blocks the API.</w:t>
      </w:r>
    </w:p>
    <w:p>
      <w:pPr>
        <w:pStyle w:val="Heading1"/>
      </w:pPr>
      <w:r>
        <w:t>24. Local, development, staging, and production environments</w:t>
      </w:r>
    </w:p>
    <w:tbl>
      <w:tblPr>
        <w:tblStyle w:val="TableGrid"/>
        <w:tblW w:type="auto" w:w="0"/>
        <w:jc w:val="center"/>
        <w:tblLook w:firstColumn="1" w:firstRow="1" w:lastColumn="0" w:lastRow="0" w:noHBand="0" w:noVBand="1" w:val="04A0"/>
      </w:tblPr>
      <w:tblGrid>
        <w:gridCol w:w="3389"/>
        <w:gridCol w:w="3389"/>
        <w:gridCol w:w="3389"/>
      </w:tblGrid>
      <w:tr>
        <w:tc>
          <w:tcPr>
            <w:tcW w:type="dxa" w:w="1728"/>
            <w:shd w:fill="183B56"/>
            <w:tcMar>
              <w:top w:w="80" w:type="dxa"/>
              <w:start w:w="80" w:type="dxa"/>
              <w:bottom w:w="80" w:type="dxa"/>
              <w:end w:w="80" w:type="dxa"/>
            </w:tcMar>
          </w:tcPr>
          <w:p>
            <w:r>
              <w:rPr>
                <w:b/>
                <w:color w:val="FFFFFF"/>
                <w:sz w:val="16"/>
              </w:rPr>
              <w:t>Environment</w:t>
            </w:r>
          </w:p>
        </w:tc>
        <w:tc>
          <w:tcPr>
            <w:tcW w:type="dxa" w:w="3456"/>
            <w:shd w:fill="183B56"/>
            <w:tcMar>
              <w:top w:w="80" w:type="dxa"/>
              <w:start w:w="80" w:type="dxa"/>
              <w:bottom w:w="80" w:type="dxa"/>
              <w:end w:w="80" w:type="dxa"/>
            </w:tcMar>
          </w:tcPr>
          <w:p>
            <w:r>
              <w:rPr>
                <w:b/>
                <w:color w:val="FFFFFF"/>
                <w:sz w:val="16"/>
              </w:rPr>
              <w:t>Purpose</w:t>
            </w:r>
          </w:p>
        </w:tc>
        <w:tc>
          <w:tcPr>
            <w:tcW w:type="dxa" w:w="5472"/>
            <w:shd w:fill="183B56"/>
            <w:tcMar>
              <w:top w:w="80" w:type="dxa"/>
              <w:start w:w="80" w:type="dxa"/>
              <w:bottom w:w="80" w:type="dxa"/>
              <w:end w:w="80" w:type="dxa"/>
            </w:tcMar>
          </w:tcPr>
          <w:p>
            <w:r>
              <w:rPr>
                <w:b/>
                <w:color w:val="FFFFFF"/>
                <w:sz w:val="16"/>
              </w:rPr>
              <w:t>Infrastructure</w:t>
            </w:r>
          </w:p>
        </w:tc>
      </w:tr>
      <w:tr>
        <w:tc>
          <w:tcPr>
            <w:tcW w:type="dxa" w:w="1728"/>
            <w:vAlign w:val="top"/>
            <w:shd w:fill="F4F7F9"/>
            <w:tcMar>
              <w:top w:w="80" w:type="dxa"/>
              <w:start w:w="80" w:type="dxa"/>
              <w:bottom w:w="80" w:type="dxa"/>
              <w:end w:w="80" w:type="dxa"/>
            </w:tcMar>
          </w:tcPr>
          <w:p>
            <w:pPr>
              <w:spacing w:after="20"/>
            </w:pPr>
            <w:r>
              <w:rPr>
                <w:sz w:val="16"/>
              </w:rPr>
              <w:t>Local</w:t>
            </w:r>
          </w:p>
        </w:tc>
        <w:tc>
          <w:tcPr>
            <w:tcW w:type="dxa" w:w="3456"/>
            <w:vAlign w:val="top"/>
            <w:shd w:fill="F4F7F9"/>
            <w:tcMar>
              <w:top w:w="80" w:type="dxa"/>
              <w:start w:w="80" w:type="dxa"/>
              <w:bottom w:w="80" w:type="dxa"/>
              <w:end w:w="80" w:type="dxa"/>
            </w:tcMar>
          </w:tcPr>
          <w:p>
            <w:pPr>
              <w:spacing w:after="20"/>
            </w:pPr>
            <w:r>
              <w:rPr>
                <w:sz w:val="16"/>
              </w:rPr>
              <w:t>Daily Claude/developer work</w:t>
            </w:r>
          </w:p>
        </w:tc>
        <w:tc>
          <w:tcPr>
            <w:tcW w:type="dxa" w:w="5472"/>
            <w:vAlign w:val="top"/>
            <w:shd w:fill="F4F7F9"/>
            <w:tcMar>
              <w:top w:w="80" w:type="dxa"/>
              <w:start w:w="80" w:type="dxa"/>
              <w:bottom w:w="80" w:type="dxa"/>
              <w:end w:w="80" w:type="dxa"/>
            </w:tcMar>
          </w:tcPr>
          <w:p>
            <w:pPr>
              <w:spacing w:after="20"/>
            </w:pPr>
            <w:r>
              <w:rPr>
                <w:sz w:val="16"/>
              </w:rPr>
              <w:t>Docker Compose: PostgreSQL 17, Valkey, local S3-compatible storage such as MinIO, Mailpit, backend/web/mobile dev tooling; mocks for paid provider APIs.</w:t>
            </w:r>
          </w:p>
        </w:tc>
      </w:tr>
      <w:tr>
        <w:tc>
          <w:tcPr>
            <w:tcW w:type="dxa" w:w="1728"/>
            <w:vAlign w:val="top"/>
            <w:tcMar>
              <w:top w:w="80" w:type="dxa"/>
              <w:start w:w="80" w:type="dxa"/>
              <w:bottom w:w="80" w:type="dxa"/>
              <w:end w:w="80" w:type="dxa"/>
            </w:tcMar>
          </w:tcPr>
          <w:p>
            <w:pPr>
              <w:spacing w:after="20"/>
            </w:pPr>
            <w:r>
              <w:rPr>
                <w:sz w:val="16"/>
              </w:rPr>
              <w:t>Development</w:t>
            </w:r>
          </w:p>
        </w:tc>
        <w:tc>
          <w:tcPr>
            <w:tcW w:type="dxa" w:w="3456"/>
            <w:vAlign w:val="top"/>
            <w:tcMar>
              <w:top w:w="80" w:type="dxa"/>
              <w:start w:w="80" w:type="dxa"/>
              <w:bottom w:w="80" w:type="dxa"/>
              <w:end w:w="80" w:type="dxa"/>
            </w:tcMar>
          </w:tcPr>
          <w:p>
            <w:pPr>
              <w:spacing w:after="20"/>
            </w:pPr>
            <w:r>
              <w:rPr>
                <w:sz w:val="16"/>
              </w:rPr>
              <w:t>Real provider sandbox/webhooks and shared integration testing</w:t>
            </w:r>
          </w:p>
        </w:tc>
        <w:tc>
          <w:tcPr>
            <w:tcW w:type="dxa" w:w="5472"/>
            <w:vAlign w:val="top"/>
            <w:tcMar>
              <w:top w:w="80" w:type="dxa"/>
              <w:start w:w="80" w:type="dxa"/>
              <w:bottom w:w="80" w:type="dxa"/>
              <w:end w:w="80" w:type="dxa"/>
            </w:tcMar>
          </w:tcPr>
          <w:p>
            <w:pPr>
              <w:spacing w:after="20"/>
            </w:pPr>
            <w:r>
              <w:rPr>
                <w:sz w:val="16"/>
              </w:rPr>
              <w:t>Small AWS resources; one API task/worker; low-capacity Aurora Serverless v2 allowed to auto-pause where supported; no production data.</w:t>
            </w:r>
          </w:p>
        </w:tc>
      </w:tr>
      <w:tr>
        <w:tc>
          <w:tcPr>
            <w:tcW w:type="dxa" w:w="1728"/>
            <w:vAlign w:val="top"/>
            <w:shd w:fill="F4F7F9"/>
            <w:tcMar>
              <w:top w:w="80" w:type="dxa"/>
              <w:start w:w="80" w:type="dxa"/>
              <w:bottom w:w="80" w:type="dxa"/>
              <w:end w:w="80" w:type="dxa"/>
            </w:tcMar>
          </w:tcPr>
          <w:p>
            <w:pPr>
              <w:spacing w:after="20"/>
            </w:pPr>
            <w:r>
              <w:rPr>
                <w:sz w:val="16"/>
              </w:rPr>
              <w:t>Staging</w:t>
            </w:r>
          </w:p>
        </w:tc>
        <w:tc>
          <w:tcPr>
            <w:tcW w:type="dxa" w:w="3456"/>
            <w:vAlign w:val="top"/>
            <w:shd w:fill="F4F7F9"/>
            <w:tcMar>
              <w:top w:w="80" w:type="dxa"/>
              <w:start w:w="80" w:type="dxa"/>
              <w:bottom w:w="80" w:type="dxa"/>
              <w:end w:w="80" w:type="dxa"/>
            </w:tcMar>
          </w:tcPr>
          <w:p>
            <w:pPr>
              <w:spacing w:after="20"/>
            </w:pPr>
            <w:r>
              <w:rPr>
                <w:sz w:val="16"/>
              </w:rPr>
              <w:t>Exact release candidate testing</w:t>
            </w:r>
          </w:p>
        </w:tc>
        <w:tc>
          <w:tcPr>
            <w:tcW w:type="dxa" w:w="5472"/>
            <w:vAlign w:val="top"/>
            <w:shd w:fill="F4F7F9"/>
            <w:tcMar>
              <w:top w:w="80" w:type="dxa"/>
              <w:start w:w="80" w:type="dxa"/>
              <w:bottom w:w="80" w:type="dxa"/>
              <w:end w:w="80" w:type="dxa"/>
            </w:tcMar>
          </w:tcPr>
          <w:p>
            <w:pPr>
              <w:spacing w:after="20"/>
            </w:pPr>
            <w:r>
              <w:rPr>
                <w:sz w:val="16"/>
              </w:rPr>
              <w:t>Same services and security pattern as production, lower capacity; real store sandbox/TestFlight/Play test configurations.</w:t>
            </w:r>
          </w:p>
        </w:tc>
      </w:tr>
      <w:tr>
        <w:tc>
          <w:tcPr>
            <w:tcW w:type="dxa" w:w="1728"/>
            <w:vAlign w:val="top"/>
            <w:tcMar>
              <w:top w:w="80" w:type="dxa"/>
              <w:start w:w="80" w:type="dxa"/>
              <w:bottom w:w="80" w:type="dxa"/>
              <w:end w:w="80" w:type="dxa"/>
            </w:tcMar>
          </w:tcPr>
          <w:p>
            <w:pPr>
              <w:spacing w:after="20"/>
            </w:pPr>
            <w:r>
              <w:rPr>
                <w:sz w:val="16"/>
              </w:rPr>
              <w:t>Production</w:t>
            </w:r>
          </w:p>
        </w:tc>
        <w:tc>
          <w:tcPr>
            <w:tcW w:type="dxa" w:w="3456"/>
            <w:vAlign w:val="top"/>
            <w:tcMar>
              <w:top w:w="80" w:type="dxa"/>
              <w:start w:w="80" w:type="dxa"/>
              <w:bottom w:w="80" w:type="dxa"/>
              <w:end w:w="80" w:type="dxa"/>
            </w:tcMar>
          </w:tcPr>
          <w:p>
            <w:pPr>
              <w:spacing w:after="20"/>
            </w:pPr>
            <w:r>
              <w:rPr>
                <w:sz w:val="16"/>
              </w:rPr>
              <w:t>Public users</w:t>
            </w:r>
          </w:p>
        </w:tc>
        <w:tc>
          <w:tcPr>
            <w:tcW w:type="dxa" w:w="5472"/>
            <w:vAlign w:val="top"/>
            <w:tcMar>
              <w:top w:w="80" w:type="dxa"/>
              <w:start w:w="80" w:type="dxa"/>
              <w:bottom w:w="80" w:type="dxa"/>
              <w:end w:w="80" w:type="dxa"/>
            </w:tcMar>
          </w:tcPr>
          <w:p>
            <w:pPr>
              <w:spacing w:after="20"/>
            </w:pPr>
            <w:r>
              <w:rPr>
                <w:sz w:val="16"/>
              </w:rPr>
              <w:t>Full three-AZ architecture, hot database reader, backups, WAF, production keys, separate account.</w:t>
            </w:r>
          </w:p>
        </w:tc>
      </w:tr>
    </w:tbl>
    <w:p/>
    <w:p>
      <w:r>
        <w:t>The same code artifact must be deployable to all environments. Environment differences belong in configuration, secrets, capacity, domains, and provider credentials—not source-code branches full of production-only behavior.</w:t>
      </w:r>
    </w:p>
    <w:p>
      <w:pPr>
        <w:pStyle w:val="Heading1"/>
      </w:pPr>
      <w:r>
        <w:t>25. CI/CD and release management</w:t>
      </w:r>
    </w:p>
    <w:p>
      <w:pPr>
        <w:pStyle w:val="CodeSmall"/>
      </w:pPr>
      <w:r>
        <w:t>Pull request</w:t>
      </w:r>
    </w:p>
    <w:p>
      <w:pPr>
        <w:pStyle w:val="CodeSmall"/>
      </w:pPr>
      <w:r>
        <w:t xml:space="preserve">  -&gt; formatting</w:t>
      </w:r>
    </w:p>
    <w:p>
      <w:pPr>
        <w:pStyle w:val="CodeSmall"/>
      </w:pPr>
      <w:r>
        <w:t xml:space="preserve">  -&gt; lint</w:t>
      </w:r>
    </w:p>
    <w:p>
      <w:pPr>
        <w:pStyle w:val="CodeSmall"/>
      </w:pPr>
      <w:r>
        <w:t xml:space="preserve">  -&gt; typecheck</w:t>
      </w:r>
    </w:p>
    <w:p>
      <w:pPr>
        <w:pStyle w:val="CodeSmall"/>
      </w:pPr>
      <w:r>
        <w:t xml:space="preserve">  -&gt; unit/integration/security tests</w:t>
      </w:r>
    </w:p>
    <w:p>
      <w:pPr>
        <w:pStyle w:val="CodeSmall"/>
      </w:pPr>
      <w:r>
        <w:t xml:space="preserve">  -&gt; container build</w:t>
      </w:r>
    </w:p>
    <w:p>
      <w:pPr>
        <w:pStyle w:val="CodeSmall"/>
      </w:pPr>
      <w:r>
        <w:t xml:space="preserve">  -&gt; dependency/secret scan</w:t>
      </w:r>
    </w:p>
    <w:p>
      <w:pPr>
        <w:pStyle w:val="CodeSmall"/>
      </w:pPr>
      <w:r/>
    </w:p>
    <w:p>
      <w:pPr>
        <w:pStyle w:val="CodeSmall"/>
      </w:pPr>
      <w:r>
        <w:t>Merge to main</w:t>
      </w:r>
    </w:p>
    <w:p>
      <w:pPr>
        <w:pStyle w:val="CodeSmall"/>
      </w:pPr>
      <w:r>
        <w:t xml:space="preserve">  -&gt; immutable ECR images</w:t>
      </w:r>
    </w:p>
    <w:p>
      <w:pPr>
        <w:pStyle w:val="CodeSmall"/>
      </w:pPr>
      <w:r>
        <w:t xml:space="preserve">  -&gt; deploy development</w:t>
      </w:r>
    </w:p>
    <w:p>
      <w:pPr>
        <w:pStyle w:val="CodeSmall"/>
      </w:pPr>
      <w:r>
        <w:t xml:space="preserve">  -&gt; automated smoke tests</w:t>
      </w:r>
    </w:p>
    <w:p>
      <w:pPr>
        <w:pStyle w:val="CodeSmall"/>
      </w:pPr>
      <w:r/>
    </w:p>
    <w:p>
      <w:pPr>
        <w:pStyle w:val="CodeSmall"/>
      </w:pPr>
      <w:r>
        <w:t>Release candidate</w:t>
      </w:r>
    </w:p>
    <w:p>
      <w:pPr>
        <w:pStyle w:val="CodeSmall"/>
      </w:pPr>
      <w:r>
        <w:t xml:space="preserve">  -&gt; deploy staging</w:t>
      </w:r>
    </w:p>
    <w:p>
      <w:pPr>
        <w:pStyle w:val="CodeSmall"/>
      </w:pPr>
      <w:r>
        <w:t xml:space="preserve">  -&gt; migrations</w:t>
      </w:r>
    </w:p>
    <w:p>
      <w:pPr>
        <w:pStyle w:val="CodeSmall"/>
      </w:pPr>
      <w:r>
        <w:t xml:space="preserve">  -&gt; E2E + mobile integration tests</w:t>
      </w:r>
    </w:p>
    <w:p>
      <w:pPr>
        <w:pStyle w:val="CodeSmall"/>
      </w:pPr>
      <w:r>
        <w:t xml:space="preserve">  -&gt; manual release gate</w:t>
      </w:r>
    </w:p>
    <w:p>
      <w:pPr>
        <w:pStyle w:val="CodeSmall"/>
      </w:pPr>
      <w:r/>
    </w:p>
    <w:p>
      <w:pPr>
        <w:pStyle w:val="CodeSmall"/>
      </w:pPr>
      <w:r>
        <w:t>Production</w:t>
      </w:r>
    </w:p>
    <w:p>
      <w:pPr>
        <w:pStyle w:val="CodeSmall"/>
      </w:pPr>
      <w:r>
        <w:t xml:space="preserve">  -&gt; backward-compatible DB migration</w:t>
      </w:r>
    </w:p>
    <w:p>
      <w:pPr>
        <w:pStyle w:val="CodeSmall"/>
      </w:pPr>
      <w:r>
        <w:t xml:space="preserve">  -&gt; ECS deployment with rollback/circuit breaker</w:t>
      </w:r>
    </w:p>
    <w:p>
      <w:pPr>
        <w:pStyle w:val="CodeSmall"/>
      </w:pPr>
      <w:r>
        <w:t xml:space="preserve">  -&gt; smoke/health checks</w:t>
      </w:r>
    </w:p>
    <w:p>
      <w:pPr>
        <w:pStyle w:val="CodeSmall"/>
      </w:pPr>
      <w:r>
        <w:t xml:space="preserve">  -&gt; release telemetry</w:t>
      </w:r>
    </w:p>
    <w:p>
      <w:pPr>
        <w:pStyle w:val="ListBullet"/>
        <w:spacing w:after="40"/>
      </w:pPr>
      <w:r>
        <w:t>GitHub Actions should assume AWS deployment roles through OIDC. Do not store permanent AWS access keys in GitHub secrets.</w:t>
      </w:r>
    </w:p>
    <w:p>
      <w:pPr>
        <w:pStyle w:val="ListBullet"/>
        <w:spacing w:after="40"/>
      </w:pPr>
      <w:r>
        <w:t>Image tags must include immutable commit SHA; never deploy only a mutable 'latest' tag.</w:t>
      </w:r>
    </w:p>
    <w:p>
      <w:pPr>
        <w:pStyle w:val="ListBullet"/>
        <w:spacing w:after="40"/>
      </w:pPr>
      <w:r>
        <w:t>Sign/scan container images and enable Amazon Inspector enhanced scanning for ECR where appropriate.</w:t>
      </w:r>
    </w:p>
    <w:p>
      <w:pPr>
        <w:pStyle w:val="ListBullet"/>
        <w:spacing w:after="40"/>
      </w:pPr>
      <w:r>
        <w:t>Use feature flags for risky product changes so application deployment and feature exposure are separate decisions.</w:t>
      </w:r>
    </w:p>
    <w:p>
      <w:pPr>
        <w:pStyle w:val="ListBullet"/>
        <w:spacing w:after="40"/>
      </w:pPr>
      <w:r>
        <w:t>Database changes use expand/contract migration patterns so old and new API tasks can coexist during deployment.</w:t>
      </w:r>
    </w:p>
    <w:p>
      <w:pPr>
        <w:pStyle w:val="Heading1"/>
      </w:pPr>
      <w:r>
        <w:t>26. iOS/iPadOS and Android production builds</w:t>
      </w:r>
    </w:p>
    <w:p>
      <w:r>
        <w:t>Use React Native with Expo tooling/prebuild rather than restricting the app to Expo Go. Veynlo will require native capabilities—share extensions, widgets, passkeys, push, background processing, secure storage, app intents, camera/document workflows, and possibly local calendar/reminder access.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shd w:fill="183B56"/>
            <w:tcMar>
              <w:top w:w="80" w:type="dxa"/>
              <w:start w:w="80" w:type="dxa"/>
              <w:bottom w:w="80" w:type="dxa"/>
              <w:end w:w="80" w:type="dxa"/>
            </w:tcMar>
          </w:tcPr>
          <w:p>
            <w:r>
              <w:rPr>
                <w:b/>
                <w:color w:val="FFFFFF"/>
                <w:sz w:val="16"/>
              </w:rPr>
              <w:t>Environment</w:t>
            </w:r>
          </w:p>
        </w:tc>
        <w:tc>
          <w:tcPr>
            <w:tcW w:type="dxa" w:w="2880"/>
            <w:shd w:fill="183B56"/>
            <w:tcMar>
              <w:top w:w="80" w:type="dxa"/>
              <w:start w:w="80" w:type="dxa"/>
              <w:bottom w:w="80" w:type="dxa"/>
              <w:end w:w="80" w:type="dxa"/>
            </w:tcMar>
          </w:tcPr>
          <w:p>
            <w:r>
              <w:rPr>
                <w:b/>
                <w:color w:val="FFFFFF"/>
                <w:sz w:val="16"/>
              </w:rPr>
              <w:t>iOS bundle ID example</w:t>
            </w:r>
          </w:p>
        </w:tc>
        <w:tc>
          <w:tcPr>
            <w:tcW w:type="dxa" w:w="2880"/>
            <w:shd w:fill="183B56"/>
            <w:tcMar>
              <w:top w:w="80" w:type="dxa"/>
              <w:start w:w="80" w:type="dxa"/>
              <w:bottom w:w="80" w:type="dxa"/>
              <w:end w:w="80" w:type="dxa"/>
            </w:tcMar>
          </w:tcPr>
          <w:p>
            <w:r>
              <w:rPr>
                <w:b/>
                <w:color w:val="FFFFFF"/>
                <w:sz w:val="16"/>
              </w:rPr>
              <w:t>Android application ID example</w:t>
            </w:r>
          </w:p>
        </w:tc>
        <w:tc>
          <w:tcPr>
            <w:tcW w:type="dxa" w:w="3168"/>
            <w:shd w:fill="183B56"/>
            <w:tcMar>
              <w:top w:w="80" w:type="dxa"/>
              <w:start w:w="80" w:type="dxa"/>
              <w:bottom w:w="80" w:type="dxa"/>
              <w:end w:w="80" w:type="dxa"/>
            </w:tcMar>
          </w:tcPr>
          <w:p>
            <w:r>
              <w:rPr>
                <w:b/>
                <w:color w:val="FFFFFF"/>
                <w:sz w:val="16"/>
              </w:rPr>
              <w:t>API</w:t>
            </w:r>
          </w:p>
        </w:tc>
      </w:tr>
      <w:tr>
        <w:tc>
          <w:tcPr>
            <w:tcW w:type="dxa" w:w="2016"/>
            <w:vAlign w:val="top"/>
            <w:shd w:fill="F4F7F9"/>
            <w:tcMar>
              <w:top w:w="80" w:type="dxa"/>
              <w:start w:w="80" w:type="dxa"/>
              <w:bottom w:w="80" w:type="dxa"/>
              <w:end w:w="80" w:type="dxa"/>
            </w:tcMar>
          </w:tcPr>
          <w:p>
            <w:pPr>
              <w:spacing w:after="20"/>
            </w:pPr>
            <w:r>
              <w:rPr>
                <w:sz w:val="16"/>
              </w:rPr>
              <w:t>Development</w:t>
            </w:r>
          </w:p>
        </w:tc>
        <w:tc>
          <w:tcPr>
            <w:tcW w:type="dxa" w:w="2880"/>
            <w:vAlign w:val="top"/>
            <w:shd w:fill="F4F7F9"/>
            <w:tcMar>
              <w:top w:w="80" w:type="dxa"/>
              <w:start w:w="80" w:type="dxa"/>
              <w:bottom w:w="80" w:type="dxa"/>
              <w:end w:w="80" w:type="dxa"/>
            </w:tcMar>
          </w:tcPr>
          <w:p>
            <w:pPr>
              <w:spacing w:after="20"/>
            </w:pPr>
            <w:r>
              <w:rPr>
                <w:sz w:val="16"/>
              </w:rPr>
              <w:t>com.veynlo.app.dev</w:t>
            </w:r>
          </w:p>
        </w:tc>
        <w:tc>
          <w:tcPr>
            <w:tcW w:type="dxa" w:w="2880"/>
            <w:vAlign w:val="top"/>
            <w:shd w:fill="F4F7F9"/>
            <w:tcMar>
              <w:top w:w="80" w:type="dxa"/>
              <w:start w:w="80" w:type="dxa"/>
              <w:bottom w:w="80" w:type="dxa"/>
              <w:end w:w="80" w:type="dxa"/>
            </w:tcMar>
          </w:tcPr>
          <w:p>
            <w:pPr>
              <w:spacing w:after="20"/>
            </w:pPr>
            <w:r>
              <w:rPr>
                <w:sz w:val="16"/>
              </w:rPr>
              <w:t>com.veynlo.app.dev</w:t>
            </w:r>
          </w:p>
        </w:tc>
        <w:tc>
          <w:tcPr>
            <w:tcW w:type="dxa" w:w="3168"/>
            <w:vAlign w:val="top"/>
            <w:shd w:fill="F4F7F9"/>
            <w:tcMar>
              <w:top w:w="80" w:type="dxa"/>
              <w:start w:w="80" w:type="dxa"/>
              <w:bottom w:w="80" w:type="dxa"/>
              <w:end w:w="80" w:type="dxa"/>
            </w:tcMar>
          </w:tcPr>
          <w:p>
            <w:pPr>
              <w:spacing w:after="20"/>
            </w:pPr>
            <w:r>
              <w:rPr>
                <w:sz w:val="16"/>
              </w:rPr>
              <w:t>https://api.dev.veynlo.com</w:t>
            </w:r>
          </w:p>
        </w:tc>
      </w:tr>
      <w:tr>
        <w:tc>
          <w:tcPr>
            <w:tcW w:type="dxa" w:w="2016"/>
            <w:vAlign w:val="top"/>
            <w:tcMar>
              <w:top w:w="80" w:type="dxa"/>
              <w:start w:w="80" w:type="dxa"/>
              <w:bottom w:w="80" w:type="dxa"/>
              <w:end w:w="80" w:type="dxa"/>
            </w:tcMar>
          </w:tcPr>
          <w:p>
            <w:pPr>
              <w:spacing w:after="20"/>
            </w:pPr>
            <w:r>
              <w:rPr>
                <w:sz w:val="16"/>
              </w:rPr>
              <w:t>Staging</w:t>
            </w:r>
          </w:p>
        </w:tc>
        <w:tc>
          <w:tcPr>
            <w:tcW w:type="dxa" w:w="2880"/>
            <w:vAlign w:val="top"/>
            <w:tcMar>
              <w:top w:w="80" w:type="dxa"/>
              <w:start w:w="80" w:type="dxa"/>
              <w:bottom w:w="80" w:type="dxa"/>
              <w:end w:w="80" w:type="dxa"/>
            </w:tcMar>
          </w:tcPr>
          <w:p>
            <w:pPr>
              <w:spacing w:after="20"/>
            </w:pPr>
            <w:r>
              <w:rPr>
                <w:sz w:val="16"/>
              </w:rPr>
              <w:t>com.veynlo.app.staging</w:t>
            </w:r>
          </w:p>
        </w:tc>
        <w:tc>
          <w:tcPr>
            <w:tcW w:type="dxa" w:w="2880"/>
            <w:vAlign w:val="top"/>
            <w:tcMar>
              <w:top w:w="80" w:type="dxa"/>
              <w:start w:w="80" w:type="dxa"/>
              <w:bottom w:w="80" w:type="dxa"/>
              <w:end w:w="80" w:type="dxa"/>
            </w:tcMar>
          </w:tcPr>
          <w:p>
            <w:pPr>
              <w:spacing w:after="20"/>
            </w:pPr>
            <w:r>
              <w:rPr>
                <w:sz w:val="16"/>
              </w:rPr>
              <w:t>com.veynlo.app.staging</w:t>
            </w:r>
          </w:p>
        </w:tc>
        <w:tc>
          <w:tcPr>
            <w:tcW w:type="dxa" w:w="3168"/>
            <w:vAlign w:val="top"/>
            <w:tcMar>
              <w:top w:w="80" w:type="dxa"/>
              <w:start w:w="80" w:type="dxa"/>
              <w:bottom w:w="80" w:type="dxa"/>
              <w:end w:w="80" w:type="dxa"/>
            </w:tcMar>
          </w:tcPr>
          <w:p>
            <w:pPr>
              <w:spacing w:after="20"/>
            </w:pPr>
            <w:r>
              <w:rPr>
                <w:sz w:val="16"/>
              </w:rPr>
              <w:t>https://api.staging.veynlo.com</w:t>
            </w:r>
          </w:p>
        </w:tc>
      </w:tr>
      <w:tr>
        <w:tc>
          <w:tcPr>
            <w:tcW w:type="dxa" w:w="2016"/>
            <w:vAlign w:val="top"/>
            <w:shd w:fill="F4F7F9"/>
            <w:tcMar>
              <w:top w:w="80" w:type="dxa"/>
              <w:start w:w="80" w:type="dxa"/>
              <w:bottom w:w="80" w:type="dxa"/>
              <w:end w:w="80" w:type="dxa"/>
            </w:tcMar>
          </w:tcPr>
          <w:p>
            <w:pPr>
              <w:spacing w:after="20"/>
            </w:pPr>
            <w:r>
              <w:rPr>
                <w:sz w:val="16"/>
              </w:rPr>
              <w:t>Production</w:t>
            </w:r>
          </w:p>
        </w:tc>
        <w:tc>
          <w:tcPr>
            <w:tcW w:type="dxa" w:w="2880"/>
            <w:vAlign w:val="top"/>
            <w:shd w:fill="F4F7F9"/>
            <w:tcMar>
              <w:top w:w="80" w:type="dxa"/>
              <w:start w:w="80" w:type="dxa"/>
              <w:bottom w:w="80" w:type="dxa"/>
              <w:end w:w="80" w:type="dxa"/>
            </w:tcMar>
          </w:tcPr>
          <w:p>
            <w:pPr>
              <w:spacing w:after="20"/>
            </w:pPr>
            <w:r>
              <w:rPr>
                <w:sz w:val="16"/>
              </w:rPr>
              <w:t>com.veynlo.app</w:t>
            </w:r>
          </w:p>
        </w:tc>
        <w:tc>
          <w:tcPr>
            <w:tcW w:type="dxa" w:w="2880"/>
            <w:vAlign w:val="top"/>
            <w:shd w:fill="F4F7F9"/>
            <w:tcMar>
              <w:top w:w="80" w:type="dxa"/>
              <w:start w:w="80" w:type="dxa"/>
              <w:bottom w:w="80" w:type="dxa"/>
              <w:end w:w="80" w:type="dxa"/>
            </w:tcMar>
          </w:tcPr>
          <w:p>
            <w:pPr>
              <w:spacing w:after="20"/>
            </w:pPr>
            <w:r>
              <w:rPr>
                <w:sz w:val="16"/>
              </w:rPr>
              <w:t>com.veynlo.app</w:t>
            </w:r>
          </w:p>
        </w:tc>
        <w:tc>
          <w:tcPr>
            <w:tcW w:type="dxa" w:w="3168"/>
            <w:vAlign w:val="top"/>
            <w:shd w:fill="F4F7F9"/>
            <w:tcMar>
              <w:top w:w="80" w:type="dxa"/>
              <w:start w:w="80" w:type="dxa"/>
              <w:bottom w:w="80" w:type="dxa"/>
              <w:end w:w="80" w:type="dxa"/>
            </w:tcMar>
          </w:tcPr>
          <w:p>
            <w:pPr>
              <w:spacing w:after="20"/>
            </w:pPr>
            <w:r>
              <w:rPr>
                <w:sz w:val="16"/>
              </w:rPr>
              <w:t>https://api.veynlo.com</w:t>
            </w:r>
          </w:p>
        </w:tc>
      </w:tr>
    </w:tbl>
    <w:p/>
    <w:p>
      <w:pPr>
        <w:pStyle w:val="ListBullet"/>
        <w:spacing w:after="40"/>
      </w:pPr>
      <w:r>
        <w:t>Use separate Apple/Google OAuth app clients for dev, staging, and production.</w:t>
      </w:r>
    </w:p>
    <w:p>
      <w:pPr>
        <w:pStyle w:val="ListBullet"/>
        <w:spacing w:after="40"/>
      </w:pPr>
      <w:r>
        <w:t>Use separate APNs/FCM credentials and RevenueCat projects/configurations for sandbox vs production.</w:t>
      </w:r>
    </w:p>
    <w:p>
      <w:pPr>
        <w:pStyle w:val="ListBullet"/>
        <w:spacing w:after="40"/>
      </w:pPr>
      <w:r>
        <w:t>iOS: internal developer builds -&gt; TestFlight -&gt; App Store production.</w:t>
      </w:r>
    </w:p>
    <w:p>
      <w:pPr>
        <w:pStyle w:val="ListBullet"/>
        <w:spacing w:after="40"/>
      </w:pPr>
      <w:r>
        <w:t>Android: internal testing -&gt; closed/open testing as appropriate -&gt; Google Play production.</w:t>
      </w:r>
    </w:p>
    <w:p>
      <w:pPr>
        <w:pStyle w:val="ListBullet"/>
        <w:spacing w:after="40"/>
      </w:pPr>
      <w:r>
        <w:t>Keep store signing keys, App Store Connect API keys, and Play service-account credentials in secure CI secret stores, not the repository.</w:t>
      </w:r>
    </w:p>
    <w:p>
      <w:pPr>
        <w:pStyle w:val="ListBullet"/>
        <w:spacing w:after="40"/>
      </w:pPr>
      <w:r>
        <w:t>Use staged/phased store rollouts and backend feature flags so a bad mobile release can be contained.</w:t>
      </w:r>
    </w:p>
    <w:p>
      <w:pPr>
        <w:pStyle w:val="ListBullet"/>
        <w:spacing w:after="40"/>
      </w:pPr>
      <w:r>
        <w:t>The backend API must remain compatible with at least the currently supported mobile client versions because users do not upgrade instantly.</w:t>
      </w:r>
    </w:p>
    <w:p>
      <w:pPr>
        <w:pStyle w:val="Heading1"/>
      </w:pPr>
      <w:r>
        <w:t>27. macOS and Windows distribution</w:t>
      </w:r>
    </w:p>
    <w:p>
      <w:r>
        <w:t>Use Tauri for the desktop shell around shared web UI/domain packages unless later platform requirements demand a different native stack. The desktop app still uses api.veynlo.com and the same Cognito/RevenueCat entitlement model.</w:t>
      </w:r>
    </w:p>
    <w:p>
      <w:pPr>
        <w:pStyle w:val="ListBullet"/>
        <w:spacing w:after="40"/>
      </w:pPr>
      <w:r>
        <w:t>macOS: sign with Developer ID and notarize for direct distribution; Mac App Store is optional depending on sandbox/native integration constraints.</w:t>
      </w:r>
    </w:p>
    <w:p>
      <w:pPr>
        <w:pStyle w:val="ListBullet"/>
        <w:spacing w:after="40"/>
      </w:pPr>
      <w:r>
        <w:t>Windows: package/sign as MSIX where practical and distribute through Microsoft Store and/or direct signed installer.</w:t>
      </w:r>
    </w:p>
    <w:p>
      <w:pPr>
        <w:pStyle w:val="ListBullet"/>
        <w:spacing w:after="40"/>
      </w:pPr>
      <w:r>
        <w:t>Desktop supports deep links, secure local credential storage, auto-update mechanism where distribution permits, drag/drop uploads, menu-bar/system-tray quick capture, and desktop notifications.</w:t>
      </w:r>
    </w:p>
    <w:p>
      <w:pPr>
        <w:pStyle w:val="ListBullet"/>
        <w:spacing w:after="40"/>
      </w:pPr>
      <w:r>
        <w:t>Do not embed AWS credentials in desktop binaries.</w:t>
      </w:r>
    </w:p>
    <w:p>
      <w:pPr>
        <w:pStyle w:val="Heading1"/>
      </w:pPr>
      <w:r>
        <w:t>28. Security baseline and privacy controls</w:t>
      </w:r>
    </w:p>
    <w:tbl>
      <w:tblPr>
        <w:tblStyle w:val="TableGrid"/>
        <w:tblW w:type="auto" w:w="0"/>
        <w:jc w:val="center"/>
        <w:tblLook w:firstColumn="1" w:firstRow="1" w:lastColumn="0" w:lastRow="0" w:noHBand="0" w:noVBand="1" w:val="04A0"/>
      </w:tblPr>
      <w:tblGrid>
        <w:gridCol w:w="5083"/>
        <w:gridCol w:w="5083"/>
      </w:tblGrid>
      <w:tr>
        <w:tc>
          <w:tcPr>
            <w:tcW w:type="dxa" w:w="2880"/>
            <w:shd w:fill="183B56"/>
            <w:tcMar>
              <w:top w:w="80" w:type="dxa"/>
              <w:start w:w="80" w:type="dxa"/>
              <w:bottom w:w="80" w:type="dxa"/>
              <w:end w:w="80" w:type="dxa"/>
            </w:tcMar>
          </w:tcPr>
          <w:p>
            <w:r>
              <w:rPr>
                <w:b/>
                <w:color w:val="FFFFFF"/>
                <w:sz w:val="16"/>
              </w:rPr>
              <w:t>Control</w:t>
            </w:r>
          </w:p>
        </w:tc>
        <w:tc>
          <w:tcPr>
            <w:tcW w:type="dxa" w:w="7488"/>
            <w:shd w:fill="183B56"/>
            <w:tcMar>
              <w:top w:w="80" w:type="dxa"/>
              <w:start w:w="80" w:type="dxa"/>
              <w:bottom w:w="80" w:type="dxa"/>
              <w:end w:w="80" w:type="dxa"/>
            </w:tcMar>
          </w:tcPr>
          <w:p>
            <w:r>
              <w:rPr>
                <w:b/>
                <w:color w:val="FFFFFF"/>
                <w:sz w:val="16"/>
              </w:rPr>
              <w:t>Production requirement</w:t>
            </w:r>
          </w:p>
        </w:tc>
      </w:tr>
      <w:tr>
        <w:tc>
          <w:tcPr>
            <w:tcW w:type="dxa" w:w="2880"/>
            <w:vAlign w:val="top"/>
            <w:shd w:fill="F4F7F9"/>
            <w:tcMar>
              <w:top w:w="80" w:type="dxa"/>
              <w:start w:w="80" w:type="dxa"/>
              <w:bottom w:w="80" w:type="dxa"/>
              <w:end w:w="80" w:type="dxa"/>
            </w:tcMar>
          </w:tcPr>
          <w:p>
            <w:pPr>
              <w:spacing w:after="20"/>
            </w:pPr>
            <w:r>
              <w:rPr>
                <w:sz w:val="16"/>
              </w:rPr>
              <w:t>AWS Control Tower</w:t>
            </w:r>
          </w:p>
        </w:tc>
        <w:tc>
          <w:tcPr>
            <w:tcW w:type="dxa" w:w="7488"/>
            <w:vAlign w:val="top"/>
            <w:shd w:fill="F4F7F9"/>
            <w:tcMar>
              <w:top w:w="80" w:type="dxa"/>
              <w:start w:w="80" w:type="dxa"/>
              <w:bottom w:w="80" w:type="dxa"/>
              <w:end w:w="80" w:type="dxa"/>
            </w:tcMar>
          </w:tcPr>
          <w:p>
            <w:pPr>
              <w:spacing w:after="20"/>
            </w:pPr>
            <w:r>
              <w:rPr>
                <w:sz w:val="16"/>
              </w:rPr>
              <w:t>Governed multi-account landing zone.</w:t>
            </w:r>
          </w:p>
        </w:tc>
      </w:tr>
      <w:tr>
        <w:tc>
          <w:tcPr>
            <w:tcW w:type="dxa" w:w="2880"/>
            <w:vAlign w:val="top"/>
            <w:tcMar>
              <w:top w:w="80" w:type="dxa"/>
              <w:start w:w="80" w:type="dxa"/>
              <w:bottom w:w="80" w:type="dxa"/>
              <w:end w:w="80" w:type="dxa"/>
            </w:tcMar>
          </w:tcPr>
          <w:p>
            <w:pPr>
              <w:spacing w:after="20"/>
            </w:pPr>
            <w:r>
              <w:rPr>
                <w:sz w:val="16"/>
              </w:rPr>
              <w:t>CloudTrail</w:t>
            </w:r>
          </w:p>
        </w:tc>
        <w:tc>
          <w:tcPr>
            <w:tcW w:type="dxa" w:w="7488"/>
            <w:vAlign w:val="top"/>
            <w:tcMar>
              <w:top w:w="80" w:type="dxa"/>
              <w:start w:w="80" w:type="dxa"/>
              <w:bottom w:w="80" w:type="dxa"/>
              <w:end w:w="80" w:type="dxa"/>
            </w:tcMar>
          </w:tcPr>
          <w:p>
            <w:pPr>
              <w:spacing w:after="20"/>
            </w:pPr>
            <w:r>
              <w:rPr>
                <w:sz w:val="16"/>
              </w:rPr>
              <w:t>Organization-level trails centralized to Log Archive.</w:t>
            </w:r>
          </w:p>
        </w:tc>
      </w:tr>
      <w:tr>
        <w:tc>
          <w:tcPr>
            <w:tcW w:type="dxa" w:w="2880"/>
            <w:vAlign w:val="top"/>
            <w:shd w:fill="F4F7F9"/>
            <w:tcMar>
              <w:top w:w="80" w:type="dxa"/>
              <w:start w:w="80" w:type="dxa"/>
              <w:bottom w:w="80" w:type="dxa"/>
              <w:end w:w="80" w:type="dxa"/>
            </w:tcMar>
          </w:tcPr>
          <w:p>
            <w:pPr>
              <w:spacing w:after="20"/>
            </w:pPr>
            <w:r>
              <w:rPr>
                <w:sz w:val="16"/>
              </w:rPr>
              <w:t>AWS Config</w:t>
            </w:r>
          </w:p>
        </w:tc>
        <w:tc>
          <w:tcPr>
            <w:tcW w:type="dxa" w:w="7488"/>
            <w:vAlign w:val="top"/>
            <w:shd w:fill="F4F7F9"/>
            <w:tcMar>
              <w:top w:w="80" w:type="dxa"/>
              <w:start w:w="80" w:type="dxa"/>
              <w:bottom w:w="80" w:type="dxa"/>
              <w:end w:w="80" w:type="dxa"/>
            </w:tcMar>
          </w:tcPr>
          <w:p>
            <w:pPr>
              <w:spacing w:after="20"/>
            </w:pPr>
            <w:r>
              <w:rPr>
                <w:sz w:val="16"/>
              </w:rPr>
              <w:t>Resource configuration visibility/compliance controls.</w:t>
            </w:r>
          </w:p>
        </w:tc>
      </w:tr>
      <w:tr>
        <w:tc>
          <w:tcPr>
            <w:tcW w:type="dxa" w:w="2880"/>
            <w:vAlign w:val="top"/>
            <w:tcMar>
              <w:top w:w="80" w:type="dxa"/>
              <w:start w:w="80" w:type="dxa"/>
              <w:bottom w:w="80" w:type="dxa"/>
              <w:end w:w="80" w:type="dxa"/>
            </w:tcMar>
          </w:tcPr>
          <w:p>
            <w:pPr>
              <w:spacing w:after="20"/>
            </w:pPr>
            <w:r>
              <w:rPr>
                <w:sz w:val="16"/>
              </w:rPr>
              <w:t>GuardDuty</w:t>
            </w:r>
          </w:p>
        </w:tc>
        <w:tc>
          <w:tcPr>
            <w:tcW w:type="dxa" w:w="7488"/>
            <w:vAlign w:val="top"/>
            <w:tcMar>
              <w:top w:w="80" w:type="dxa"/>
              <w:start w:w="80" w:type="dxa"/>
              <w:bottom w:w="80" w:type="dxa"/>
              <w:end w:w="80" w:type="dxa"/>
            </w:tcMar>
          </w:tcPr>
          <w:p>
            <w:pPr>
              <w:spacing w:after="20"/>
            </w:pPr>
            <w:r>
              <w:rPr>
                <w:sz w:val="16"/>
              </w:rPr>
              <w:t>Enabled centrally across supported regions/accounts.</w:t>
            </w:r>
          </w:p>
        </w:tc>
      </w:tr>
      <w:tr>
        <w:tc>
          <w:tcPr>
            <w:tcW w:type="dxa" w:w="2880"/>
            <w:vAlign w:val="top"/>
            <w:shd w:fill="F4F7F9"/>
            <w:tcMar>
              <w:top w:w="80" w:type="dxa"/>
              <w:start w:w="80" w:type="dxa"/>
              <w:bottom w:w="80" w:type="dxa"/>
              <w:end w:w="80" w:type="dxa"/>
            </w:tcMar>
          </w:tcPr>
          <w:p>
            <w:pPr>
              <w:spacing w:after="20"/>
            </w:pPr>
            <w:r>
              <w:rPr>
                <w:sz w:val="16"/>
              </w:rPr>
              <w:t>Security Hub CSPM</w:t>
            </w:r>
          </w:p>
        </w:tc>
        <w:tc>
          <w:tcPr>
            <w:tcW w:type="dxa" w:w="7488"/>
            <w:vAlign w:val="top"/>
            <w:shd w:fill="F4F7F9"/>
            <w:tcMar>
              <w:top w:w="80" w:type="dxa"/>
              <w:start w:w="80" w:type="dxa"/>
              <w:bottom w:w="80" w:type="dxa"/>
              <w:end w:w="80" w:type="dxa"/>
            </w:tcMar>
          </w:tcPr>
          <w:p>
            <w:pPr>
              <w:spacing w:after="20"/>
            </w:pPr>
            <w:r>
              <w:rPr>
                <w:sz w:val="16"/>
              </w:rPr>
              <w:t>Central findings and foundational security controls.</w:t>
            </w:r>
          </w:p>
        </w:tc>
      </w:tr>
      <w:tr>
        <w:tc>
          <w:tcPr>
            <w:tcW w:type="dxa" w:w="2880"/>
            <w:vAlign w:val="top"/>
            <w:tcMar>
              <w:top w:w="80" w:type="dxa"/>
              <w:start w:w="80" w:type="dxa"/>
              <w:bottom w:w="80" w:type="dxa"/>
              <w:end w:w="80" w:type="dxa"/>
            </w:tcMar>
          </w:tcPr>
          <w:p>
            <w:pPr>
              <w:spacing w:after="20"/>
            </w:pPr>
            <w:r>
              <w:rPr>
                <w:sz w:val="16"/>
              </w:rPr>
              <w:t>Inspector</w:t>
            </w:r>
          </w:p>
        </w:tc>
        <w:tc>
          <w:tcPr>
            <w:tcW w:type="dxa" w:w="7488"/>
            <w:vAlign w:val="top"/>
            <w:tcMar>
              <w:top w:w="80" w:type="dxa"/>
              <w:start w:w="80" w:type="dxa"/>
              <w:bottom w:w="80" w:type="dxa"/>
              <w:end w:w="80" w:type="dxa"/>
            </w:tcMar>
          </w:tcPr>
          <w:p>
            <w:pPr>
              <w:spacing w:after="20"/>
            </w:pPr>
            <w:r>
              <w:rPr>
                <w:sz w:val="16"/>
              </w:rPr>
              <w:t>Container/image and supported workload vulnerability scanning.</w:t>
            </w:r>
          </w:p>
        </w:tc>
      </w:tr>
      <w:tr>
        <w:tc>
          <w:tcPr>
            <w:tcW w:type="dxa" w:w="2880"/>
            <w:vAlign w:val="top"/>
            <w:shd w:fill="F4F7F9"/>
            <w:tcMar>
              <w:top w:w="80" w:type="dxa"/>
              <w:start w:w="80" w:type="dxa"/>
              <w:bottom w:w="80" w:type="dxa"/>
              <w:end w:w="80" w:type="dxa"/>
            </w:tcMar>
          </w:tcPr>
          <w:p>
            <w:pPr>
              <w:spacing w:after="20"/>
            </w:pPr>
            <w:r>
              <w:rPr>
                <w:sz w:val="16"/>
              </w:rPr>
              <w:t>IAM Access Analyzer</w:t>
            </w:r>
          </w:p>
        </w:tc>
        <w:tc>
          <w:tcPr>
            <w:tcW w:type="dxa" w:w="7488"/>
            <w:vAlign w:val="top"/>
            <w:shd w:fill="F4F7F9"/>
            <w:tcMar>
              <w:top w:w="80" w:type="dxa"/>
              <w:start w:w="80" w:type="dxa"/>
              <w:bottom w:w="80" w:type="dxa"/>
              <w:end w:w="80" w:type="dxa"/>
            </w:tcMar>
          </w:tcPr>
          <w:p>
            <w:pPr>
              <w:spacing w:after="20"/>
            </w:pPr>
            <w:r>
              <w:rPr>
                <w:sz w:val="16"/>
              </w:rPr>
              <w:t>Review unintended external access.</w:t>
            </w:r>
          </w:p>
        </w:tc>
      </w:tr>
      <w:tr>
        <w:tc>
          <w:tcPr>
            <w:tcW w:type="dxa" w:w="2880"/>
            <w:vAlign w:val="top"/>
            <w:tcMar>
              <w:top w:w="80" w:type="dxa"/>
              <w:start w:w="80" w:type="dxa"/>
              <w:bottom w:w="80" w:type="dxa"/>
              <w:end w:w="80" w:type="dxa"/>
            </w:tcMar>
          </w:tcPr>
          <w:p>
            <w:pPr>
              <w:spacing w:after="20"/>
            </w:pPr>
            <w:r>
              <w:rPr>
                <w:sz w:val="16"/>
              </w:rPr>
              <w:t>Macie</w:t>
            </w:r>
          </w:p>
        </w:tc>
        <w:tc>
          <w:tcPr>
            <w:tcW w:type="dxa" w:w="7488"/>
            <w:vAlign w:val="top"/>
            <w:tcMar>
              <w:top w:w="80" w:type="dxa"/>
              <w:start w:w="80" w:type="dxa"/>
              <w:bottom w:w="80" w:type="dxa"/>
              <w:end w:w="80" w:type="dxa"/>
            </w:tcMar>
          </w:tcPr>
          <w:p>
            <w:pPr>
              <w:spacing w:after="20"/>
            </w:pPr>
            <w:r>
              <w:rPr>
                <w:sz w:val="16"/>
              </w:rPr>
              <w:t>Targeted classification/discovery on high-value S3 data if cost-benefit supports it.</w:t>
            </w:r>
          </w:p>
        </w:tc>
      </w:tr>
      <w:tr>
        <w:tc>
          <w:tcPr>
            <w:tcW w:type="dxa" w:w="2880"/>
            <w:vAlign w:val="top"/>
            <w:shd w:fill="F4F7F9"/>
            <w:tcMar>
              <w:top w:w="80" w:type="dxa"/>
              <w:start w:w="80" w:type="dxa"/>
              <w:bottom w:w="80" w:type="dxa"/>
              <w:end w:w="80" w:type="dxa"/>
            </w:tcMar>
          </w:tcPr>
          <w:p>
            <w:pPr>
              <w:spacing w:after="20"/>
            </w:pPr>
            <w:r>
              <w:rPr>
                <w:sz w:val="16"/>
              </w:rPr>
              <w:t>KMS</w:t>
            </w:r>
          </w:p>
        </w:tc>
        <w:tc>
          <w:tcPr>
            <w:tcW w:type="dxa" w:w="7488"/>
            <w:vAlign w:val="top"/>
            <w:shd w:fill="F4F7F9"/>
            <w:tcMar>
              <w:top w:w="80" w:type="dxa"/>
              <w:start w:w="80" w:type="dxa"/>
              <w:bottom w:w="80" w:type="dxa"/>
              <w:end w:w="80" w:type="dxa"/>
            </w:tcMar>
          </w:tcPr>
          <w:p>
            <w:pPr>
              <w:spacing w:after="20"/>
            </w:pPr>
            <w:r>
              <w:rPr>
                <w:sz w:val="16"/>
              </w:rPr>
              <w:t>Separate production keys with tightly scoped policies.</w:t>
            </w:r>
          </w:p>
        </w:tc>
      </w:tr>
      <w:tr>
        <w:tc>
          <w:tcPr>
            <w:tcW w:type="dxa" w:w="2880"/>
            <w:vAlign w:val="top"/>
            <w:tcMar>
              <w:top w:w="80" w:type="dxa"/>
              <w:start w:w="80" w:type="dxa"/>
              <w:bottom w:w="80" w:type="dxa"/>
              <w:end w:w="80" w:type="dxa"/>
            </w:tcMar>
          </w:tcPr>
          <w:p>
            <w:pPr>
              <w:spacing w:after="20"/>
            </w:pPr>
            <w:r>
              <w:rPr>
                <w:sz w:val="16"/>
              </w:rPr>
              <w:t>WAF</w:t>
            </w:r>
          </w:p>
        </w:tc>
        <w:tc>
          <w:tcPr>
            <w:tcW w:type="dxa" w:w="7488"/>
            <w:vAlign w:val="top"/>
            <w:tcMar>
              <w:top w:w="80" w:type="dxa"/>
              <w:start w:w="80" w:type="dxa"/>
              <w:bottom w:w="80" w:type="dxa"/>
              <w:end w:w="80" w:type="dxa"/>
            </w:tcMar>
          </w:tcPr>
          <w:p>
            <w:pPr>
              <w:spacing w:after="20"/>
            </w:pPr>
            <w:r>
              <w:rPr>
                <w:sz w:val="16"/>
              </w:rPr>
              <w:t>Managed rules and endpoint-specific rate/abuse controls.</w:t>
            </w:r>
          </w:p>
        </w:tc>
      </w:tr>
      <w:tr>
        <w:tc>
          <w:tcPr>
            <w:tcW w:type="dxa" w:w="2880"/>
            <w:vAlign w:val="top"/>
            <w:shd w:fill="F4F7F9"/>
            <w:tcMar>
              <w:top w:w="80" w:type="dxa"/>
              <w:start w:w="80" w:type="dxa"/>
              <w:bottom w:w="80" w:type="dxa"/>
              <w:end w:w="80" w:type="dxa"/>
            </w:tcMar>
          </w:tcPr>
          <w:p>
            <w:pPr>
              <w:spacing w:after="20"/>
            </w:pPr>
            <w:r>
              <w:rPr>
                <w:sz w:val="16"/>
              </w:rPr>
              <w:t>Secrets</w:t>
            </w:r>
          </w:p>
        </w:tc>
        <w:tc>
          <w:tcPr>
            <w:tcW w:type="dxa" w:w="7488"/>
            <w:vAlign w:val="top"/>
            <w:shd w:fill="F4F7F9"/>
            <w:tcMar>
              <w:top w:w="80" w:type="dxa"/>
              <w:start w:w="80" w:type="dxa"/>
              <w:bottom w:w="80" w:type="dxa"/>
              <w:end w:w="80" w:type="dxa"/>
            </w:tcMar>
          </w:tcPr>
          <w:p>
            <w:pPr>
              <w:spacing w:after="20"/>
            </w:pPr>
            <w:r>
              <w:rPr>
                <w:sz w:val="16"/>
              </w:rPr>
              <w:t>Secrets Manager for Veynlo service credentials.</w:t>
            </w:r>
          </w:p>
        </w:tc>
      </w:tr>
      <w:tr>
        <w:tc>
          <w:tcPr>
            <w:tcW w:type="dxa" w:w="2880"/>
            <w:vAlign w:val="top"/>
            <w:tcMar>
              <w:top w:w="80" w:type="dxa"/>
              <w:start w:w="80" w:type="dxa"/>
              <w:bottom w:w="80" w:type="dxa"/>
              <w:end w:w="80" w:type="dxa"/>
            </w:tcMar>
          </w:tcPr>
          <w:p>
            <w:pPr>
              <w:spacing w:after="20"/>
            </w:pPr>
            <w:r>
              <w:rPr>
                <w:sz w:val="16"/>
              </w:rPr>
              <w:t>Human AWS access</w:t>
            </w:r>
          </w:p>
        </w:tc>
        <w:tc>
          <w:tcPr>
            <w:tcW w:type="dxa" w:w="7488"/>
            <w:vAlign w:val="top"/>
            <w:tcMar>
              <w:top w:w="80" w:type="dxa"/>
              <w:start w:w="80" w:type="dxa"/>
              <w:bottom w:w="80" w:type="dxa"/>
              <w:end w:w="80" w:type="dxa"/>
            </w:tcMar>
          </w:tcPr>
          <w:p>
            <w:pPr>
              <w:spacing w:after="20"/>
            </w:pPr>
            <w:r>
              <w:rPr>
                <w:sz w:val="16"/>
              </w:rPr>
              <w:t>IAM Identity Center, MFA/passkeys, no everyday root use.</w:t>
            </w:r>
          </w:p>
        </w:tc>
      </w:tr>
    </w:tbl>
    <w:p/>
    <w:p>
      <w:pPr>
        <w:pStyle w:val="ListBullet"/>
        <w:spacing w:after="40"/>
      </w:pPr>
      <w:r>
        <w:t>No production resource receives a public IP except intentionally public managed edge resources.</w:t>
      </w:r>
    </w:p>
    <w:p>
      <w:pPr>
        <w:pStyle w:val="ListBullet"/>
        <w:spacing w:after="40"/>
      </w:pPr>
      <w:r>
        <w:t>No raw user emails/documents/OAuth tokens in normal application logs.</w:t>
      </w:r>
    </w:p>
    <w:p>
      <w:pPr>
        <w:pStyle w:val="ListBullet"/>
        <w:spacing w:after="40"/>
      </w:pPr>
      <w:r>
        <w:t>PII/sensitive fields should be minimized, classified, and encrypted at the application layer where compromise impact warrants it.</w:t>
      </w:r>
    </w:p>
    <w:p>
      <w:pPr>
        <w:pStyle w:val="ListBullet"/>
        <w:spacing w:after="40"/>
      </w:pPr>
      <w:r>
        <w:t>Use least-privilege IAM roles per ECS/Lambda service instead of one broad application role.</w:t>
      </w:r>
    </w:p>
    <w:p>
      <w:pPr>
        <w:pStyle w:val="ListBullet"/>
        <w:spacing w:after="40"/>
      </w:pPr>
      <w:r>
        <w:t>Protect administration/support functions with a separate workforce identity and stronger access policy than consumer accounts.</w:t>
      </w:r>
    </w:p>
    <w:p>
      <w:pPr>
        <w:pStyle w:val="ListBullet"/>
        <w:spacing w:after="40"/>
      </w:pPr>
      <w:r>
        <w:t>Create a documented incident-response path before launch, including token revocation, key rotation, forced logout, provider compromise, and user notification decisions.</w:t>
      </w:r>
    </w:p>
    <w:p>
      <w:pPr>
        <w:pStyle w:val="Heading1"/>
      </w:pPr>
      <w:r>
        <w:t>29. Backup, restore, and disaster recovery</w:t>
      </w:r>
    </w:p>
    <w:p>
      <w:pPr>
        <w:pStyle w:val="Heading2"/>
      </w:pPr>
      <w:r>
        <w:t>Aurora</w:t>
      </w:r>
    </w:p>
    <w:p>
      <w:pPr>
        <w:pStyle w:val="ListBullet"/>
        <w:spacing w:after="40"/>
      </w:pPr>
      <w:r>
        <w:t>35-day automated continuous backup/PITR retention in production.</w:t>
      </w:r>
    </w:p>
    <w:p>
      <w:pPr>
        <w:pStyle w:val="ListBullet"/>
        <w:spacing w:after="40"/>
      </w:pPr>
      <w:r>
        <w:t>Regular manual/managed snapshots before risky migrations and major releases.</w:t>
      </w:r>
    </w:p>
    <w:p>
      <w:pPr>
        <w:pStyle w:val="ListBullet"/>
        <w:spacing w:after="40"/>
      </w:pPr>
      <w:r>
        <w:t>AWS Backup copy into the separate Backup/DR account.</w:t>
      </w:r>
    </w:p>
    <w:p>
      <w:pPr>
        <w:pStyle w:val="ListBullet"/>
        <w:spacing w:after="40"/>
      </w:pPr>
      <w:r>
        <w:t>Cross-region copy to us-west-2 according to daily/weekly retention policy.</w:t>
      </w:r>
    </w:p>
    <w:p>
      <w:pPr>
        <w:pStyle w:val="ListBullet"/>
        <w:spacing w:after="40"/>
      </w:pPr>
      <w:r>
        <w:t>Quarterly minimum restore drills; a backup is not proven until restoration is tested.</w:t>
      </w:r>
    </w:p>
    <w:p>
      <w:pPr>
        <w:pStyle w:val="Heading2"/>
      </w:pPr>
      <w:r>
        <w:t>S3</w:t>
      </w:r>
    </w:p>
    <w:p>
      <w:pPr>
        <w:pStyle w:val="ListBullet"/>
        <w:spacing w:after="40"/>
      </w:pPr>
      <w:r>
        <w:t>Versioning on critical private-document buckets where recovery requirements warrant it.</w:t>
      </w:r>
    </w:p>
    <w:p>
      <w:pPr>
        <w:pStyle w:val="ListBullet"/>
        <w:spacing w:after="40"/>
      </w:pPr>
      <w:r>
        <w:t>Lifecycle noncurrent versions to cheaper storage/expiration so versioning does not create unbounded cost.</w:t>
      </w:r>
    </w:p>
    <w:p>
      <w:pPr>
        <w:pStyle w:val="ListBullet"/>
        <w:spacing w:after="40"/>
      </w:pPr>
      <w:r>
        <w:t>AWS Backup for selected buckets and/or cross-region replication depending recovery objective.</w:t>
      </w:r>
    </w:p>
    <w:p>
      <w:pPr>
        <w:pStyle w:val="ListBullet"/>
        <w:spacing w:after="40"/>
      </w:pPr>
      <w:r>
        <w:t>Keep immutable backup protection in the Backup/DR account; do not place long compliance locks on live user buckets because privacy deletion requirements may conflict.</w:t>
      </w:r>
    </w:p>
    <w:p>
      <w:pPr>
        <w:pStyle w:val="Heading2"/>
      </w:pPr>
      <w:r>
        <w:t>Recovery objectives</w:t>
      </w:r>
    </w:p>
    <w:tbl>
      <w:tblPr>
        <w:tblStyle w:val="TableGrid"/>
        <w:tblW w:type="auto" w:w="0"/>
        <w:jc w:val="center"/>
        <w:tblLook w:firstColumn="1" w:firstRow="1" w:lastColumn="0" w:lastRow="0" w:noHBand="0" w:noVBand="1" w:val="04A0"/>
      </w:tblPr>
      <w:tblGrid>
        <w:gridCol w:w="5083"/>
        <w:gridCol w:w="5083"/>
      </w:tblGrid>
      <w:tr>
        <w:tc>
          <w:tcPr>
            <w:tcW w:type="dxa" w:w="3168"/>
            <w:shd w:fill="183B56"/>
            <w:tcMar>
              <w:top w:w="80" w:type="dxa"/>
              <w:start w:w="80" w:type="dxa"/>
              <w:bottom w:w="80" w:type="dxa"/>
              <w:end w:w="80" w:type="dxa"/>
            </w:tcMar>
          </w:tcPr>
          <w:p>
            <w:r>
              <w:rPr>
                <w:b/>
                <w:color w:val="FFFFFF"/>
                <w:sz w:val="16"/>
              </w:rPr>
              <w:t>Failure</w:t>
            </w:r>
          </w:p>
        </w:tc>
        <w:tc>
          <w:tcPr>
            <w:tcW w:type="dxa" w:w="7200"/>
            <w:shd w:fill="183B56"/>
            <w:tcMar>
              <w:top w:w="80" w:type="dxa"/>
              <w:start w:w="80" w:type="dxa"/>
              <w:bottom w:w="80" w:type="dxa"/>
              <w:end w:w="80" w:type="dxa"/>
            </w:tcMar>
          </w:tcPr>
          <w:p>
            <w:r>
              <w:rPr>
                <w:b/>
                <w:color w:val="FFFFFF"/>
                <w:sz w:val="16"/>
              </w:rPr>
              <w:t>Launch target</w:t>
            </w:r>
          </w:p>
        </w:tc>
      </w:tr>
      <w:tr>
        <w:tc>
          <w:tcPr>
            <w:tcW w:type="dxa" w:w="3168"/>
            <w:vAlign w:val="top"/>
            <w:shd w:fill="F4F7F9"/>
            <w:tcMar>
              <w:top w:w="80" w:type="dxa"/>
              <w:start w:w="80" w:type="dxa"/>
              <w:bottom w:w="80" w:type="dxa"/>
              <w:end w:w="80" w:type="dxa"/>
            </w:tcMar>
          </w:tcPr>
          <w:p>
            <w:pPr>
              <w:spacing w:after="20"/>
            </w:pPr>
            <w:r>
              <w:rPr>
                <w:sz w:val="16"/>
              </w:rPr>
              <w:t>Single ECS task</w:t>
            </w:r>
          </w:p>
        </w:tc>
        <w:tc>
          <w:tcPr>
            <w:tcW w:type="dxa" w:w="7200"/>
            <w:vAlign w:val="top"/>
            <w:shd w:fill="F4F7F9"/>
            <w:tcMar>
              <w:top w:w="80" w:type="dxa"/>
              <w:start w:w="80" w:type="dxa"/>
              <w:bottom w:w="80" w:type="dxa"/>
              <w:end w:w="80" w:type="dxa"/>
            </w:tcMar>
          </w:tcPr>
          <w:p>
            <w:pPr>
              <w:spacing w:after="20"/>
            </w:pPr>
            <w:r>
              <w:rPr>
                <w:sz w:val="16"/>
              </w:rPr>
              <w:t>No user-visible outage; ALB routes around it.</w:t>
            </w:r>
          </w:p>
        </w:tc>
      </w:tr>
      <w:tr>
        <w:tc>
          <w:tcPr>
            <w:tcW w:type="dxa" w:w="3168"/>
            <w:vAlign w:val="top"/>
            <w:tcMar>
              <w:top w:w="80" w:type="dxa"/>
              <w:start w:w="80" w:type="dxa"/>
              <w:bottom w:w="80" w:type="dxa"/>
              <w:end w:w="80" w:type="dxa"/>
            </w:tcMar>
          </w:tcPr>
          <w:p>
            <w:pPr>
              <w:spacing w:after="20"/>
            </w:pPr>
            <w:r>
              <w:rPr>
                <w:sz w:val="16"/>
              </w:rPr>
              <w:t>One Availability Zone</w:t>
            </w:r>
          </w:p>
        </w:tc>
        <w:tc>
          <w:tcPr>
            <w:tcW w:type="dxa" w:w="7200"/>
            <w:vAlign w:val="top"/>
            <w:tcMar>
              <w:top w:w="80" w:type="dxa"/>
              <w:start w:w="80" w:type="dxa"/>
              <w:bottom w:w="80" w:type="dxa"/>
              <w:end w:w="80" w:type="dxa"/>
            </w:tcMar>
          </w:tcPr>
          <w:p>
            <w:pPr>
              <w:spacing w:after="20"/>
            </w:pPr>
            <w:r>
              <w:rPr>
                <w:sz w:val="16"/>
              </w:rPr>
              <w:t>Service remains available from other AZs; Aurora reader/failover path protects database compute.</w:t>
            </w:r>
          </w:p>
        </w:tc>
      </w:tr>
      <w:tr>
        <w:tc>
          <w:tcPr>
            <w:tcW w:type="dxa" w:w="3168"/>
            <w:vAlign w:val="top"/>
            <w:shd w:fill="F4F7F9"/>
            <w:tcMar>
              <w:top w:w="80" w:type="dxa"/>
              <w:start w:w="80" w:type="dxa"/>
              <w:bottom w:w="80" w:type="dxa"/>
              <w:end w:w="80" w:type="dxa"/>
            </w:tcMar>
          </w:tcPr>
          <w:p>
            <w:pPr>
              <w:spacing w:after="20"/>
            </w:pPr>
            <w:r>
              <w:rPr>
                <w:sz w:val="16"/>
              </w:rPr>
              <w:t>Database logical mistake</w:t>
            </w:r>
          </w:p>
        </w:tc>
        <w:tc>
          <w:tcPr>
            <w:tcW w:type="dxa" w:w="7200"/>
            <w:vAlign w:val="top"/>
            <w:shd w:fill="F4F7F9"/>
            <w:tcMar>
              <w:top w:w="80" w:type="dxa"/>
              <w:start w:w="80" w:type="dxa"/>
              <w:bottom w:w="80" w:type="dxa"/>
              <w:end w:w="80" w:type="dxa"/>
            </w:tcMar>
          </w:tcPr>
          <w:p>
            <w:pPr>
              <w:spacing w:after="20"/>
            </w:pPr>
            <w:r>
              <w:rPr>
                <w:sz w:val="16"/>
              </w:rPr>
              <w:t>Point-in-time restore / controlled recovery from backup.</w:t>
            </w:r>
          </w:p>
        </w:tc>
      </w:tr>
      <w:tr>
        <w:tc>
          <w:tcPr>
            <w:tcW w:type="dxa" w:w="3168"/>
            <w:vAlign w:val="top"/>
            <w:tcMar>
              <w:top w:w="80" w:type="dxa"/>
              <w:start w:w="80" w:type="dxa"/>
              <w:bottom w:w="80" w:type="dxa"/>
              <w:end w:w="80" w:type="dxa"/>
            </w:tcMar>
          </w:tcPr>
          <w:p>
            <w:pPr>
              <w:spacing w:after="20"/>
            </w:pPr>
            <w:r>
              <w:rPr>
                <w:sz w:val="16"/>
              </w:rPr>
              <w:t>Production account destructive event</w:t>
            </w:r>
          </w:p>
        </w:tc>
        <w:tc>
          <w:tcPr>
            <w:tcW w:type="dxa" w:w="7200"/>
            <w:vAlign w:val="top"/>
            <w:tcMar>
              <w:top w:w="80" w:type="dxa"/>
              <w:start w:w="80" w:type="dxa"/>
              <w:bottom w:w="80" w:type="dxa"/>
              <w:end w:w="80" w:type="dxa"/>
            </w:tcMar>
          </w:tcPr>
          <w:p>
            <w:pPr>
              <w:spacing w:after="20"/>
            </w:pPr>
            <w:r>
              <w:rPr>
                <w:sz w:val="16"/>
              </w:rPr>
              <w:t>Cross-account backup recovery.</w:t>
            </w:r>
          </w:p>
        </w:tc>
      </w:tr>
      <w:tr>
        <w:tc>
          <w:tcPr>
            <w:tcW w:type="dxa" w:w="3168"/>
            <w:vAlign w:val="top"/>
            <w:shd w:fill="F4F7F9"/>
            <w:tcMar>
              <w:top w:w="80" w:type="dxa"/>
              <w:start w:w="80" w:type="dxa"/>
              <w:bottom w:w="80" w:type="dxa"/>
              <w:end w:w="80" w:type="dxa"/>
            </w:tcMar>
          </w:tcPr>
          <w:p>
            <w:pPr>
              <w:spacing w:after="20"/>
            </w:pPr>
            <w:r>
              <w:rPr>
                <w:sz w:val="16"/>
              </w:rPr>
              <w:t>Primary region disaster</w:t>
            </w:r>
          </w:p>
        </w:tc>
        <w:tc>
          <w:tcPr>
            <w:tcW w:type="dxa" w:w="7200"/>
            <w:vAlign w:val="top"/>
            <w:shd w:fill="F4F7F9"/>
            <w:tcMar>
              <w:top w:w="80" w:type="dxa"/>
              <w:start w:w="80" w:type="dxa"/>
              <w:bottom w:w="80" w:type="dxa"/>
              <w:end w:w="80" w:type="dxa"/>
            </w:tcMar>
          </w:tcPr>
          <w:p>
            <w:pPr>
              <w:spacing w:after="20"/>
            </w:pPr>
            <w:r>
              <w:rPr>
                <w:sz w:val="16"/>
              </w:rPr>
              <w:t>Restore/promote in us-west-2 using documented runbook; not instant active-active at launch.</w:t>
            </w:r>
          </w:p>
        </w:tc>
      </w:tr>
    </w:tbl>
    <w:p/>
    <w:p>
      <w:r>
        <w:t>As revenue and contractual expectations increase, upgrade regional DR to Aurora Global Database and a warm secondary application stack. Do not pay the permanent operational cost of active-active multi-region before the business needs it.</w:t>
      </w:r>
    </w:p>
    <w:p>
      <w:pPr>
        <w:pStyle w:val="Heading1"/>
      </w:pPr>
      <w:r>
        <w:t>30. Observability, monitoring, and operational tooling</w:t>
      </w:r>
    </w:p>
    <w:p>
      <w:pPr>
        <w:pStyle w:val="ListBullet"/>
        <w:spacing w:after="40"/>
      </w:pPr>
      <w:r>
        <w:t>CloudWatch metrics/logs for AWS infrastructure and ECS/Lambda runtime.</w:t>
      </w:r>
    </w:p>
    <w:p>
      <w:pPr>
        <w:pStyle w:val="ListBullet"/>
        <w:spacing w:after="40"/>
      </w:pPr>
      <w:r>
        <w:t>OpenTelemetry tracing with correlation IDs across API, queue jobs, connector processing, database calls, and model requests.</w:t>
      </w:r>
    </w:p>
    <w:p>
      <w:pPr>
        <w:pStyle w:val="ListBullet"/>
        <w:spacing w:after="40"/>
      </w:pPr>
      <w:r>
        <w:t>Sentry for client/server application errors and release tracking.</w:t>
      </w:r>
    </w:p>
    <w:p>
      <w:pPr>
        <w:pStyle w:val="ListBullet"/>
        <w:spacing w:after="40"/>
      </w:pPr>
      <w:r>
        <w:t>Database Insights/Performance Insights metrics for Aurora capacity, query load, waits, connections, and ACU utilization.</w:t>
      </w:r>
    </w:p>
    <w:p>
      <w:pPr>
        <w:pStyle w:val="ListBullet"/>
        <w:spacing w:after="40"/>
      </w:pPr>
      <w:r>
        <w:t>Dashboards for API p50/p95/p99 latency, 5xx rate, auth failures, SQS oldest message, queue depth, worker throughput, webhook failure, notification failure, AI provider error/rate limits, database capacity, and cache errors.</w:t>
      </w:r>
    </w:p>
    <w:p>
      <w:pPr>
        <w:pStyle w:val="ListBullet"/>
        <w:spacing w:after="40"/>
      </w:pPr>
      <w:r>
        <w:t>Connector health dashboard: provider, token status, webhook expiration, last successful sync, cursor, rate-limit state, and failing user count.</w:t>
      </w:r>
    </w:p>
    <w:p>
      <w:pPr>
        <w:pStyle w:val="ListBullet"/>
        <w:spacing w:after="40"/>
      </w:pPr>
      <w:r>
        <w:t>Cost dashboard: AWS service cost, AI model cost, OCR cost, financial-aggregator cost, storage per active user, cost per paying subscriber.</w:t>
      </w:r>
    </w:p>
    <w:p>
      <w:pPr>
        <w:pStyle w:val="ListBullet"/>
        <w:spacing w:after="40"/>
      </w:pPr>
      <w:r>
        <w:t>Alerts should route by severity and include actionable runbook links, not flood the developer for harmless transient retries.</w:t>
      </w:r>
    </w:p>
    <w:p>
      <w:pPr>
        <w:pStyle w:val="Heading1"/>
      </w:pPr>
      <w:r>
        <w:t>31. Exact public-launch sizing</w:t>
      </w:r>
    </w:p>
    <w:p>
      <w:r>
        <w:t>These are launch starting values, not permanent limits. Load testing and real telemetry must override guesses.</w:t>
      </w:r>
    </w:p>
    <w:tbl>
      <w:tblPr>
        <w:tblStyle w:val="TableGrid"/>
        <w:tblW w:type="auto" w:w="0"/>
        <w:jc w:val="center"/>
        <w:tblLook w:firstColumn="1" w:firstRow="1" w:lastColumn="0" w:lastRow="0" w:noHBand="0" w:noVBand="1" w:val="04A0"/>
      </w:tblPr>
      <w:tblGrid>
        <w:gridCol w:w="5083"/>
        <w:gridCol w:w="5083"/>
      </w:tblGrid>
      <w:tr>
        <w:tc>
          <w:tcPr>
            <w:tcW w:type="dxa" w:w="3312"/>
            <w:shd w:fill="183B56"/>
            <w:tcMar>
              <w:top w:w="80" w:type="dxa"/>
              <w:start w:w="80" w:type="dxa"/>
              <w:bottom w:w="80" w:type="dxa"/>
              <w:end w:w="80" w:type="dxa"/>
            </w:tcMar>
          </w:tcPr>
          <w:p>
            <w:r>
              <w:rPr>
                <w:b/>
                <w:color w:val="FFFFFF"/>
                <w:sz w:val="16"/>
              </w:rPr>
              <w:t>Component</w:t>
            </w:r>
          </w:p>
        </w:tc>
        <w:tc>
          <w:tcPr>
            <w:tcW w:type="dxa" w:w="7056"/>
            <w:shd w:fill="183B56"/>
            <w:tcMar>
              <w:top w:w="80" w:type="dxa"/>
              <w:start w:w="80" w:type="dxa"/>
              <w:bottom w:w="80" w:type="dxa"/>
              <w:end w:w="80" w:type="dxa"/>
            </w:tcMar>
          </w:tcPr>
          <w:p>
            <w:r>
              <w:rPr>
                <w:b/>
                <w:color w:val="FFFFFF"/>
                <w:sz w:val="16"/>
              </w:rPr>
              <w:t>Launch configuration</w:t>
            </w:r>
          </w:p>
        </w:tc>
      </w:tr>
      <w:tr>
        <w:tc>
          <w:tcPr>
            <w:tcW w:type="dxa" w:w="3312"/>
            <w:vAlign w:val="top"/>
            <w:shd w:fill="F4F7F9"/>
            <w:tcMar>
              <w:top w:w="80" w:type="dxa"/>
              <w:start w:w="80" w:type="dxa"/>
              <w:bottom w:w="80" w:type="dxa"/>
              <w:end w:w="80" w:type="dxa"/>
            </w:tcMar>
          </w:tcPr>
          <w:p>
            <w:pPr>
              <w:spacing w:after="20"/>
            </w:pPr>
            <w:r>
              <w:rPr>
                <w:sz w:val="16"/>
              </w:rPr>
              <w:t>API ECS</w:t>
            </w:r>
          </w:p>
        </w:tc>
        <w:tc>
          <w:tcPr>
            <w:tcW w:type="dxa" w:w="7056"/>
            <w:vAlign w:val="top"/>
            <w:shd w:fill="F4F7F9"/>
            <w:tcMar>
              <w:top w:w="80" w:type="dxa"/>
              <w:start w:w="80" w:type="dxa"/>
              <w:bottom w:w="80" w:type="dxa"/>
              <w:end w:w="80" w:type="dxa"/>
            </w:tcMar>
          </w:tcPr>
          <w:p>
            <w:pPr>
              <w:spacing w:after="20"/>
            </w:pPr>
            <w:r>
              <w:rPr>
                <w:sz w:val="16"/>
              </w:rPr>
              <w:t>3 tasks × 1 vCPU / 2 GB ARM64; min 3, max 30.</w:t>
            </w:r>
          </w:p>
        </w:tc>
      </w:tr>
      <w:tr>
        <w:tc>
          <w:tcPr>
            <w:tcW w:type="dxa" w:w="3312"/>
            <w:vAlign w:val="top"/>
            <w:tcMar>
              <w:top w:w="80" w:type="dxa"/>
              <w:start w:w="80" w:type="dxa"/>
              <w:bottom w:w="80" w:type="dxa"/>
              <w:end w:w="80" w:type="dxa"/>
            </w:tcMar>
          </w:tcPr>
          <w:p>
            <w:pPr>
              <w:spacing w:after="20"/>
            </w:pPr>
            <w:r>
              <w:rPr>
                <w:sz w:val="16"/>
              </w:rPr>
              <w:t>General workers</w:t>
            </w:r>
          </w:p>
        </w:tc>
        <w:tc>
          <w:tcPr>
            <w:tcW w:type="dxa" w:w="7056"/>
            <w:vAlign w:val="top"/>
            <w:tcMar>
              <w:top w:w="80" w:type="dxa"/>
              <w:start w:w="80" w:type="dxa"/>
              <w:bottom w:w="80" w:type="dxa"/>
              <w:end w:w="80" w:type="dxa"/>
            </w:tcMar>
          </w:tcPr>
          <w:p>
            <w:pPr>
              <w:spacing w:after="20"/>
            </w:pPr>
            <w:r>
              <w:rPr>
                <w:sz w:val="16"/>
              </w:rPr>
              <w:t>2 tasks × 1 vCPU / 2 GB; max ~50 based on backlog.</w:t>
            </w:r>
          </w:p>
        </w:tc>
      </w:tr>
      <w:tr>
        <w:tc>
          <w:tcPr>
            <w:tcW w:type="dxa" w:w="3312"/>
            <w:vAlign w:val="top"/>
            <w:shd w:fill="F4F7F9"/>
            <w:tcMar>
              <w:top w:w="80" w:type="dxa"/>
              <w:start w:w="80" w:type="dxa"/>
              <w:bottom w:w="80" w:type="dxa"/>
              <w:end w:w="80" w:type="dxa"/>
            </w:tcMar>
          </w:tcPr>
          <w:p>
            <w:pPr>
              <w:spacing w:after="20"/>
            </w:pPr>
            <w:r>
              <w:rPr>
                <w:sz w:val="16"/>
              </w:rPr>
              <w:t>AI workers</w:t>
            </w:r>
          </w:p>
        </w:tc>
        <w:tc>
          <w:tcPr>
            <w:tcW w:type="dxa" w:w="7056"/>
            <w:vAlign w:val="top"/>
            <w:shd w:fill="F4F7F9"/>
            <w:tcMar>
              <w:top w:w="80" w:type="dxa"/>
              <w:start w:w="80" w:type="dxa"/>
              <w:bottom w:w="80" w:type="dxa"/>
              <w:end w:w="80" w:type="dxa"/>
            </w:tcMar>
          </w:tcPr>
          <w:p>
            <w:pPr>
              <w:spacing w:after="20"/>
            </w:pPr>
            <w:r>
              <w:rPr>
                <w:sz w:val="16"/>
              </w:rPr>
              <w:t>1–2 tasks × 1 vCPU / 2 GB; max controlled by queue and model-provider quotas.</w:t>
            </w:r>
          </w:p>
        </w:tc>
      </w:tr>
      <w:tr>
        <w:tc>
          <w:tcPr>
            <w:tcW w:type="dxa" w:w="3312"/>
            <w:vAlign w:val="top"/>
            <w:tcMar>
              <w:top w:w="80" w:type="dxa"/>
              <w:start w:w="80" w:type="dxa"/>
              <w:bottom w:w="80" w:type="dxa"/>
              <w:end w:w="80" w:type="dxa"/>
            </w:tcMar>
          </w:tcPr>
          <w:p>
            <w:pPr>
              <w:spacing w:after="20"/>
            </w:pPr>
            <w:r>
              <w:rPr>
                <w:sz w:val="16"/>
              </w:rPr>
              <w:t>Document/OCR workers</w:t>
            </w:r>
          </w:p>
        </w:tc>
        <w:tc>
          <w:tcPr>
            <w:tcW w:type="dxa" w:w="7056"/>
            <w:vAlign w:val="top"/>
            <w:tcMar>
              <w:top w:w="80" w:type="dxa"/>
              <w:start w:w="80" w:type="dxa"/>
              <w:bottom w:w="80" w:type="dxa"/>
              <w:end w:w="80" w:type="dxa"/>
            </w:tcMar>
          </w:tcPr>
          <w:p>
            <w:pPr>
              <w:spacing w:after="20"/>
            </w:pPr>
            <w:r>
              <w:rPr>
                <w:sz w:val="16"/>
              </w:rPr>
              <w:t>1 task × 2 vCPU / 4 GB; max ~25; Spot allowed for retry-safe work.</w:t>
            </w:r>
          </w:p>
        </w:tc>
      </w:tr>
      <w:tr>
        <w:tc>
          <w:tcPr>
            <w:tcW w:type="dxa" w:w="3312"/>
            <w:vAlign w:val="top"/>
            <w:shd w:fill="F4F7F9"/>
            <w:tcMar>
              <w:top w:w="80" w:type="dxa"/>
              <w:start w:w="80" w:type="dxa"/>
              <w:bottom w:w="80" w:type="dxa"/>
              <w:end w:w="80" w:type="dxa"/>
            </w:tcMar>
          </w:tcPr>
          <w:p>
            <w:pPr>
              <w:spacing w:after="20"/>
            </w:pPr>
            <w:r>
              <w:rPr>
                <w:sz w:val="16"/>
              </w:rPr>
              <w:t>Webhook Lambda</w:t>
            </w:r>
          </w:p>
        </w:tc>
        <w:tc>
          <w:tcPr>
            <w:tcW w:type="dxa" w:w="7056"/>
            <w:vAlign w:val="top"/>
            <w:shd w:fill="F4F7F9"/>
            <w:tcMar>
              <w:top w:w="80" w:type="dxa"/>
              <w:start w:w="80" w:type="dxa"/>
              <w:bottom w:w="80" w:type="dxa"/>
              <w:end w:w="80" w:type="dxa"/>
            </w:tcMar>
          </w:tcPr>
          <w:p>
            <w:pPr>
              <w:spacing w:after="20"/>
            </w:pPr>
            <w:r>
              <w:rPr>
                <w:sz w:val="16"/>
              </w:rPr>
              <w:t>512 MB; 5–10 second timeout; concurrency/rate guardrails tuned after provider testing.</w:t>
            </w:r>
          </w:p>
        </w:tc>
      </w:tr>
      <w:tr>
        <w:tc>
          <w:tcPr>
            <w:tcW w:type="dxa" w:w="3312"/>
            <w:vAlign w:val="top"/>
            <w:tcMar>
              <w:top w:w="80" w:type="dxa"/>
              <w:start w:w="80" w:type="dxa"/>
              <w:bottom w:w="80" w:type="dxa"/>
              <w:end w:w="80" w:type="dxa"/>
            </w:tcMar>
          </w:tcPr>
          <w:p>
            <w:pPr>
              <w:spacing w:after="20"/>
            </w:pPr>
            <w:r>
              <w:rPr>
                <w:sz w:val="16"/>
              </w:rPr>
              <w:t>Aurora PostgreSQL</w:t>
            </w:r>
          </w:p>
        </w:tc>
        <w:tc>
          <w:tcPr>
            <w:tcW w:type="dxa" w:w="7056"/>
            <w:vAlign w:val="top"/>
            <w:tcMar>
              <w:top w:w="80" w:type="dxa"/>
              <w:start w:w="80" w:type="dxa"/>
              <w:bottom w:w="80" w:type="dxa"/>
              <w:end w:w="80" w:type="dxa"/>
            </w:tcMar>
          </w:tcPr>
          <w:p>
            <w:pPr>
              <w:spacing w:after="20"/>
            </w:pPr>
            <w:r>
              <w:rPr>
                <w:sz w:val="16"/>
              </w:rPr>
              <w:t>17.7 LTS Serverless v2; writer + reader; 2–32 ACU capacity range; RDS Proxy.</w:t>
            </w:r>
          </w:p>
        </w:tc>
      </w:tr>
      <w:tr>
        <w:tc>
          <w:tcPr>
            <w:tcW w:type="dxa" w:w="3312"/>
            <w:vAlign w:val="top"/>
            <w:shd w:fill="F4F7F9"/>
            <w:tcMar>
              <w:top w:w="80" w:type="dxa"/>
              <w:start w:w="80" w:type="dxa"/>
              <w:bottom w:w="80" w:type="dxa"/>
              <w:end w:w="80" w:type="dxa"/>
            </w:tcMar>
          </w:tcPr>
          <w:p>
            <w:pPr>
              <w:spacing w:after="20"/>
            </w:pPr>
            <w:r>
              <w:rPr>
                <w:sz w:val="16"/>
              </w:rPr>
              <w:t>Valkey</w:t>
            </w:r>
          </w:p>
        </w:tc>
        <w:tc>
          <w:tcPr>
            <w:tcW w:type="dxa" w:w="7056"/>
            <w:vAlign w:val="top"/>
            <w:shd w:fill="F4F7F9"/>
            <w:tcMar>
              <w:top w:w="80" w:type="dxa"/>
              <w:start w:w="80" w:type="dxa"/>
              <w:bottom w:w="80" w:type="dxa"/>
              <w:end w:w="80" w:type="dxa"/>
            </w:tcMar>
          </w:tcPr>
          <w:p>
            <w:pPr>
              <w:spacing w:after="20"/>
            </w:pPr>
            <w:r>
              <w:rPr>
                <w:sz w:val="16"/>
              </w:rPr>
              <w:t>ElastiCache Valkey Serverless.</w:t>
            </w:r>
          </w:p>
        </w:tc>
      </w:tr>
      <w:tr>
        <w:tc>
          <w:tcPr>
            <w:tcW w:type="dxa" w:w="3312"/>
            <w:vAlign w:val="top"/>
            <w:tcMar>
              <w:top w:w="80" w:type="dxa"/>
              <w:start w:w="80" w:type="dxa"/>
              <w:bottom w:w="80" w:type="dxa"/>
              <w:end w:w="80" w:type="dxa"/>
            </w:tcMar>
          </w:tcPr>
          <w:p>
            <w:pPr>
              <w:spacing w:after="20"/>
            </w:pPr>
            <w:r>
              <w:rPr>
                <w:sz w:val="16"/>
              </w:rPr>
              <w:t>SQS/EventBridge</w:t>
            </w:r>
          </w:p>
        </w:tc>
        <w:tc>
          <w:tcPr>
            <w:tcW w:type="dxa" w:w="7056"/>
            <w:vAlign w:val="top"/>
            <w:tcMar>
              <w:top w:w="80" w:type="dxa"/>
              <w:start w:w="80" w:type="dxa"/>
              <w:bottom w:w="80" w:type="dxa"/>
              <w:end w:w="80" w:type="dxa"/>
            </w:tcMar>
          </w:tcPr>
          <w:p>
            <w:pPr>
              <w:spacing w:after="20"/>
            </w:pPr>
            <w:r>
              <w:rPr>
                <w:sz w:val="16"/>
              </w:rPr>
              <w:t>Managed/serverless; queue-specific DLQ and alarms.</w:t>
            </w:r>
          </w:p>
        </w:tc>
      </w:tr>
      <w:tr>
        <w:tc>
          <w:tcPr>
            <w:tcW w:type="dxa" w:w="3312"/>
            <w:vAlign w:val="top"/>
            <w:shd w:fill="F4F7F9"/>
            <w:tcMar>
              <w:top w:w="80" w:type="dxa"/>
              <w:start w:w="80" w:type="dxa"/>
              <w:bottom w:w="80" w:type="dxa"/>
              <w:end w:w="80" w:type="dxa"/>
            </w:tcMar>
          </w:tcPr>
          <w:p>
            <w:pPr>
              <w:spacing w:after="20"/>
            </w:pPr>
            <w:r>
              <w:rPr>
                <w:sz w:val="16"/>
              </w:rPr>
              <w:t>S3</w:t>
            </w:r>
          </w:p>
        </w:tc>
        <w:tc>
          <w:tcPr>
            <w:tcW w:type="dxa" w:w="7056"/>
            <w:vAlign w:val="top"/>
            <w:shd w:fill="F4F7F9"/>
            <w:tcMar>
              <w:top w:w="80" w:type="dxa"/>
              <w:start w:w="80" w:type="dxa"/>
              <w:bottom w:w="80" w:type="dxa"/>
              <w:end w:w="80" w:type="dxa"/>
            </w:tcMar>
          </w:tcPr>
          <w:p>
            <w:pPr>
              <w:spacing w:after="20"/>
            </w:pPr>
            <w:r>
              <w:rPr>
                <w:sz w:val="16"/>
              </w:rPr>
              <w:t>Private KMS-encrypted buckets; no fixed size planning needed.</w:t>
            </w:r>
          </w:p>
        </w:tc>
      </w:tr>
      <w:tr>
        <w:tc>
          <w:tcPr>
            <w:tcW w:type="dxa" w:w="3312"/>
            <w:vAlign w:val="top"/>
            <w:tcMar>
              <w:top w:w="80" w:type="dxa"/>
              <w:start w:w="80" w:type="dxa"/>
              <w:bottom w:w="80" w:type="dxa"/>
              <w:end w:w="80" w:type="dxa"/>
            </w:tcMar>
          </w:tcPr>
          <w:p>
            <w:pPr>
              <w:spacing w:after="20"/>
            </w:pPr>
            <w:r>
              <w:rPr>
                <w:sz w:val="16"/>
              </w:rPr>
              <w:t>CloudFront</w:t>
            </w:r>
          </w:p>
        </w:tc>
        <w:tc>
          <w:tcPr>
            <w:tcW w:type="dxa" w:w="7056"/>
            <w:vAlign w:val="top"/>
            <w:tcMar>
              <w:top w:w="80" w:type="dxa"/>
              <w:start w:w="80" w:type="dxa"/>
              <w:bottom w:w="80" w:type="dxa"/>
              <w:end w:w="80" w:type="dxa"/>
            </w:tcMar>
          </w:tcPr>
          <w:p>
            <w:pPr>
              <w:spacing w:after="20"/>
            </w:pPr>
            <w:r>
              <w:rPr>
                <w:sz w:val="16"/>
              </w:rPr>
              <w:t>Global distribution; dynamic API caching off unless explicitly safe.</w:t>
            </w:r>
          </w:p>
        </w:tc>
      </w:tr>
    </w:tbl>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Capacity rule — </w:t>
            </w:r>
            <w:r>
              <w:t>Do not buy a giant server “just in case.” Horizontal scaling plus serverless/managed data services are the production capacity model. Increase the ceilings when telemetry shows sustained pressure.</w:t>
            </w:r>
          </w:p>
        </w:tc>
      </w:tr>
    </w:tbl>
    <w:p/>
    <w:p>
      <w:pPr>
        <w:pStyle w:val="Heading1"/>
      </w:pPr>
      <w:r>
        <w:t>32. Autoscaling rules</w:t>
      </w:r>
    </w:p>
    <w:p>
      <w:pPr>
        <w:pStyle w:val="Heading2"/>
      </w:pPr>
      <w:r>
        <w:t>API</w:t>
      </w:r>
    </w:p>
    <w:p>
      <w:pPr>
        <w:pStyle w:val="ListBullet"/>
        <w:spacing w:after="40"/>
      </w:pPr>
      <w:r>
        <w:t>Target average CPU roughly 55–60% as one signal.</w:t>
      </w:r>
    </w:p>
    <w:p>
      <w:pPr>
        <w:pStyle w:val="ListBullet"/>
        <w:spacing w:after="40"/>
      </w:pPr>
      <w:r>
        <w:t>Target memory roughly 65% as a secondary signal.</w:t>
      </w:r>
    </w:p>
    <w:p>
      <w:pPr>
        <w:pStyle w:val="ListBullet"/>
        <w:spacing w:after="40"/>
      </w:pPr>
      <w:r>
        <w:t>Use ALBRequestCountPerTarget and p95 latency alarms to catch request pressure that CPU misses.</w:t>
      </w:r>
    </w:p>
    <w:p>
      <w:pPr>
        <w:pStyle w:val="ListBullet"/>
        <w:spacing w:after="40"/>
      </w:pPr>
      <w:r>
        <w:t>Scale out quickly (for example 30–60 second evaluation/cooldown behavior); scale in more slowly (for example several minutes) to avoid thrashing.</w:t>
      </w:r>
    </w:p>
    <w:p>
      <w:pPr>
        <w:pStyle w:val="ListBullet"/>
        <w:spacing w:after="40"/>
      </w:pPr>
      <w:r>
        <w:t>Minimum remains 3 in production even when traffic is quiet.</w:t>
      </w:r>
    </w:p>
    <w:p>
      <w:pPr>
        <w:pStyle w:val="Heading2"/>
      </w:pPr>
      <w:r>
        <w:t>Workers</w:t>
      </w:r>
    </w:p>
    <w:p>
      <w:pPr>
        <w:pStyle w:val="ListBullet"/>
        <w:spacing w:after="40"/>
      </w:pPr>
      <w:r>
        <w:t>Primary scaling signal is SQS backlog per running task, not CPU alone.</w:t>
      </w:r>
    </w:p>
    <w:p>
      <w:pPr>
        <w:pStyle w:val="ListBullet"/>
        <w:spacing w:after="40"/>
      </w:pPr>
      <w:r>
        <w:t>Also alarm on ApproximateAgeOfOldestMessage so a slowly draining queue is visible even if depth looks moderate.</w:t>
      </w:r>
    </w:p>
    <w:p>
      <w:pPr>
        <w:pStyle w:val="ListBullet"/>
        <w:spacing w:after="40"/>
      </w:pPr>
      <w:r>
        <w:t>Respect external provider quotas; more workers are not useful if Google/Microsoft/model APIs are throttling.</w:t>
      </w:r>
    </w:p>
    <w:p>
      <w:pPr>
        <w:pStyle w:val="ListBullet"/>
        <w:spacing w:after="40"/>
      </w:pPr>
      <w:r>
        <w:t>Use separate queues/services for heavyweight work so 200 large PDFs cannot delay a time-sensitive calendar change.</w:t>
      </w:r>
    </w:p>
    <w:p>
      <w:pPr>
        <w:pStyle w:val="Heading2"/>
      </w:pPr>
      <w:r>
        <w:t>Database</w:t>
      </w:r>
    </w:p>
    <w:p>
      <w:pPr>
        <w:pStyle w:val="ListBullet"/>
        <w:spacing w:after="40"/>
      </w:pPr>
      <w:r>
        <w:t>Monitor ServerlessDatabaseCapacity, ACUUtilization, FreeableMemory, connection count, read/write latency, database load, and top SQL.</w:t>
      </w:r>
    </w:p>
    <w:p>
      <w:pPr>
        <w:pStyle w:val="ListBullet"/>
        <w:spacing w:after="40"/>
      </w:pPr>
      <w:r>
        <w:t>If ACU utilization routinely approaches the maximum, raise max ACU before the platform hits the ceiling.</w:t>
      </w:r>
    </w:p>
    <w:p>
      <w:pPr>
        <w:pStyle w:val="ListBullet"/>
        <w:spacing w:after="40"/>
      </w:pPr>
      <w:r>
        <w:t>If the database spends most of its time near a higher capacity, raise minimum ACU enough to improve cache stability and scale-up speed.</w:t>
      </w:r>
    </w:p>
    <w:p>
      <w:pPr>
        <w:pStyle w:val="ListBullet"/>
        <w:spacing w:after="40"/>
      </w:pPr>
      <w:r>
        <w:t>Add read replicas only when measured read load requires them; the first reader is primarily failover/read-offload capacity.</w:t>
      </w:r>
    </w:p>
    <w:p>
      <w:pPr>
        <w:pStyle w:val="Heading1"/>
      </w:pPr>
      <w:r>
        <w:t>33. Cost controls</w:t>
      </w:r>
    </w:p>
    <w:p>
      <w:pPr>
        <w:pStyle w:val="ListBullet"/>
        <w:spacing w:after="40"/>
      </w:pPr>
      <w:r>
        <w:t>AWS Budgets and anomaly alerts per account and service category.</w:t>
      </w:r>
    </w:p>
    <w:p>
      <w:pPr>
        <w:pStyle w:val="ListBullet"/>
        <w:spacing w:after="40"/>
      </w:pPr>
      <w:r>
        <w:t>Hard initial autoscaling ceilings on ECS and Aurora, with alarms at 70/85/95% of expected budget thresholds.</w:t>
      </w:r>
    </w:p>
    <w:p>
      <w:pPr>
        <w:pStyle w:val="ListBullet"/>
        <w:spacing w:after="40"/>
      </w:pPr>
      <w:r>
        <w:t>AI model routing: cheap deterministic/classifier paths first; expensive reasoning only when needed.</w:t>
      </w:r>
    </w:p>
    <w:p>
      <w:pPr>
        <w:pStyle w:val="ListBullet"/>
        <w:spacing w:after="40"/>
      </w:pPr>
      <w:r>
        <w:t>Historical mailbox processing is quota/tier controlled because it creates burst AI/API costs.</w:t>
      </w:r>
    </w:p>
    <w:p>
      <w:pPr>
        <w:pStyle w:val="ListBullet"/>
        <w:spacing w:after="40"/>
      </w:pPr>
      <w:r>
        <w:t>S3 lifecycle rules for raw payloads, temporary uploads, previews, and noncurrent versions.</w:t>
      </w:r>
    </w:p>
    <w:p>
      <w:pPr>
        <w:pStyle w:val="ListBullet"/>
        <w:spacing w:after="40"/>
      </w:pPr>
      <w:r>
        <w:t>Fargate Spot for safe background queues, never as the sole API capacity.</w:t>
      </w:r>
    </w:p>
    <w:p>
      <w:pPr>
        <w:pStyle w:val="ListBullet"/>
        <w:spacing w:after="40"/>
      </w:pPr>
      <w:r>
        <w:t>Use VPC endpoints where they reduce NAT processing cost enough to justify endpoint hourly charges.</w:t>
      </w:r>
    </w:p>
    <w:p>
      <w:pPr>
        <w:pStyle w:val="ListBullet"/>
        <w:spacing w:after="40"/>
      </w:pPr>
      <w:r>
        <w:t>Do not deploy OpenSearch, Kafka/MSK, Kubernetes/EKS, or multi-region active-active until measured need exists.</w:t>
      </w:r>
    </w:p>
    <w:p>
      <w:pPr>
        <w:pStyle w:val="ListBullet"/>
        <w:spacing w:after="40"/>
      </w:pPr>
      <w:r>
        <w:t>Track cost per active free user and cost per paid user; subscription pricing must include AI, aggregator, storage, push/email, support, and app-store fees.</w:t>
      </w:r>
    </w:p>
    <w:p>
      <w:pPr>
        <w:pStyle w:val="Heading1"/>
      </w:pPr>
      <w:r>
        <w:t>34. Scaling path from launch to very large consumer scale</w:t>
      </w:r>
    </w:p>
    <w:tbl>
      <w:tblPr>
        <w:tblStyle w:val="TableGrid"/>
        <w:tblW w:type="auto" w:w="0"/>
        <w:jc w:val="center"/>
        <w:tblLook w:firstColumn="1" w:firstRow="1" w:lastColumn="0" w:lastRow="0" w:noHBand="0" w:noVBand="1" w:val="04A0"/>
      </w:tblPr>
      <w:tblGrid>
        <w:gridCol w:w="5083"/>
        <w:gridCol w:w="5083"/>
      </w:tblGrid>
      <w:tr>
        <w:tc>
          <w:tcPr>
            <w:tcW w:type="dxa" w:w="2232"/>
            <w:shd w:fill="183B56"/>
            <w:tcMar>
              <w:top w:w="80" w:type="dxa"/>
              <w:start w:w="80" w:type="dxa"/>
              <w:bottom w:w="80" w:type="dxa"/>
              <w:end w:w="80" w:type="dxa"/>
            </w:tcMar>
          </w:tcPr>
          <w:p>
            <w:r>
              <w:rPr>
                <w:b/>
                <w:color w:val="FFFFFF"/>
                <w:sz w:val="16"/>
              </w:rPr>
              <w:t>Scale stage</w:t>
            </w:r>
          </w:p>
        </w:tc>
        <w:tc>
          <w:tcPr>
            <w:tcW w:type="dxa" w:w="8136"/>
            <w:shd w:fill="183B56"/>
            <w:tcMar>
              <w:top w:w="80" w:type="dxa"/>
              <w:start w:w="80" w:type="dxa"/>
              <w:bottom w:w="80" w:type="dxa"/>
              <w:end w:w="80" w:type="dxa"/>
            </w:tcMar>
          </w:tcPr>
          <w:p>
            <w:r>
              <w:rPr>
                <w:b/>
                <w:color w:val="FFFFFF"/>
                <w:sz w:val="16"/>
              </w:rPr>
              <w:t>Likely changes</w:t>
            </w:r>
          </w:p>
        </w:tc>
      </w:tr>
      <w:tr>
        <w:tc>
          <w:tcPr>
            <w:tcW w:type="dxa" w:w="2232"/>
            <w:vAlign w:val="top"/>
            <w:shd w:fill="F4F7F9"/>
            <w:tcMar>
              <w:top w:w="80" w:type="dxa"/>
              <w:start w:w="80" w:type="dxa"/>
              <w:bottom w:w="80" w:type="dxa"/>
              <w:end w:w="80" w:type="dxa"/>
            </w:tcMar>
          </w:tcPr>
          <w:p>
            <w:pPr>
              <w:spacing w:after="20"/>
            </w:pPr>
            <w:r>
              <w:rPr>
                <w:sz w:val="16"/>
              </w:rPr>
              <w:t>0–50k active users</w:t>
            </w:r>
          </w:p>
        </w:tc>
        <w:tc>
          <w:tcPr>
            <w:tcW w:type="dxa" w:w="8136"/>
            <w:vAlign w:val="top"/>
            <w:shd w:fill="F4F7F9"/>
            <w:tcMar>
              <w:top w:w="80" w:type="dxa"/>
              <w:start w:w="80" w:type="dxa"/>
              <w:bottom w:w="80" w:type="dxa"/>
              <w:end w:w="80" w:type="dxa"/>
            </w:tcMar>
          </w:tcPr>
          <w:p>
            <w:pPr>
              <w:spacing w:after="20"/>
            </w:pPr>
            <w:r>
              <w:rPr>
                <w:sz w:val="16"/>
              </w:rPr>
              <w:t>Current architecture; increase ECS limits and Aurora ACU ceiling based on telemetry. Keep pgvector/search in Aurora.</w:t>
            </w:r>
          </w:p>
        </w:tc>
      </w:tr>
      <w:tr>
        <w:tc>
          <w:tcPr>
            <w:tcW w:type="dxa" w:w="2232"/>
            <w:vAlign w:val="top"/>
            <w:tcMar>
              <w:top w:w="80" w:type="dxa"/>
              <w:start w:w="80" w:type="dxa"/>
              <w:bottom w:w="80" w:type="dxa"/>
              <w:end w:w="80" w:type="dxa"/>
            </w:tcMar>
          </w:tcPr>
          <w:p>
            <w:pPr>
              <w:spacing w:after="20"/>
            </w:pPr>
            <w:r>
              <w:rPr>
                <w:sz w:val="16"/>
              </w:rPr>
              <w:t>50k–500k active users</w:t>
            </w:r>
          </w:p>
        </w:tc>
        <w:tc>
          <w:tcPr>
            <w:tcW w:type="dxa" w:w="8136"/>
            <w:vAlign w:val="top"/>
            <w:tcMar>
              <w:top w:w="80" w:type="dxa"/>
              <w:start w:w="80" w:type="dxa"/>
              <w:bottom w:w="80" w:type="dxa"/>
              <w:end w:w="80" w:type="dxa"/>
            </w:tcMar>
          </w:tcPr>
          <w:p>
            <w:pPr>
              <w:spacing w:after="20"/>
            </w:pPr>
            <w:r>
              <w:rPr>
                <w:sz w:val="16"/>
              </w:rPr>
              <w:t>More worker pools, dedicated read replicas, OpenSearch if search load justifies it, stronger data partition/index strategy, warm DR.</w:t>
            </w:r>
          </w:p>
        </w:tc>
      </w:tr>
      <w:tr>
        <w:tc>
          <w:tcPr>
            <w:tcW w:type="dxa" w:w="2232"/>
            <w:vAlign w:val="top"/>
            <w:shd w:fill="F4F7F9"/>
            <w:tcMar>
              <w:top w:w="80" w:type="dxa"/>
              <w:start w:w="80" w:type="dxa"/>
              <w:bottom w:w="80" w:type="dxa"/>
              <w:end w:w="80" w:type="dxa"/>
            </w:tcMar>
          </w:tcPr>
          <w:p>
            <w:pPr>
              <w:spacing w:after="20"/>
            </w:pPr>
            <w:r>
              <w:rPr>
                <w:sz w:val="16"/>
              </w:rPr>
              <w:t>500k–5M active users</w:t>
            </w:r>
          </w:p>
        </w:tc>
        <w:tc>
          <w:tcPr>
            <w:tcW w:type="dxa" w:w="8136"/>
            <w:vAlign w:val="top"/>
            <w:shd w:fill="F4F7F9"/>
            <w:tcMar>
              <w:top w:w="80" w:type="dxa"/>
              <w:start w:w="80" w:type="dxa"/>
              <w:bottom w:w="80" w:type="dxa"/>
              <w:end w:w="80" w:type="dxa"/>
            </w:tcMar>
          </w:tcPr>
          <w:p>
            <w:pPr>
              <w:spacing w:after="20"/>
            </w:pPr>
            <w:r>
              <w:rPr>
                <w:sz w:val="16"/>
              </w:rPr>
              <w:t>Service extraction for high-volume domains, Aurora larger/serverless fleet strategy, dedicated search, event analytics pipeline, regional edge/API optimization.</w:t>
            </w:r>
          </w:p>
        </w:tc>
      </w:tr>
      <w:tr>
        <w:tc>
          <w:tcPr>
            <w:tcW w:type="dxa" w:w="2232"/>
            <w:vAlign w:val="top"/>
            <w:tcMar>
              <w:top w:w="80" w:type="dxa"/>
              <w:start w:w="80" w:type="dxa"/>
              <w:bottom w:w="80" w:type="dxa"/>
              <w:end w:w="80" w:type="dxa"/>
            </w:tcMar>
          </w:tcPr>
          <w:p>
            <w:pPr>
              <w:spacing w:after="20"/>
            </w:pPr>
            <w:r>
              <w:rPr>
                <w:sz w:val="16"/>
              </w:rPr>
              <w:t>5M+ / global</w:t>
            </w:r>
          </w:p>
        </w:tc>
        <w:tc>
          <w:tcPr>
            <w:tcW w:type="dxa" w:w="8136"/>
            <w:vAlign w:val="top"/>
            <w:tcMar>
              <w:top w:w="80" w:type="dxa"/>
              <w:start w:w="80" w:type="dxa"/>
              <w:bottom w:w="80" w:type="dxa"/>
              <w:end w:w="80" w:type="dxa"/>
            </w:tcMar>
          </w:tcPr>
          <w:p>
            <w:pPr>
              <w:spacing w:after="20"/>
            </w:pPr>
            <w:r>
              <w:rPr>
                <w:sz w:val="16"/>
              </w:rPr>
              <w:t>Regional application stacks, Aurora Global Database or data-region strategy, regional tenant routing, specialized streaming/search/data infrastructure as measured.</w:t>
            </w:r>
          </w:p>
        </w:tc>
      </w:tr>
    </w:tbl>
    <w:p/>
    <w:p>
      <w:r>
        <w:t>The architecture is intentionally modular enough that Veynlo can become more distributed without starting life as dozens of microservices. Start as a modular monolith plus separately scalable worker processes. Extract services only when a workload, team boundary, or scaling characteristic demonstrably requires isolation.</w:t>
      </w:r>
    </w:p>
    <w:p>
      <w:pPr>
        <w:pStyle w:val="Heading1"/>
      </w:pPr>
      <w:r>
        <w:t>35. What should not be used as Veynlo's core architecture</w:t>
      </w:r>
    </w:p>
    <w:tbl>
      <w:tblPr>
        <w:tblStyle w:val="TableGrid"/>
        <w:tblW w:type="auto" w:w="0"/>
        <w:jc w:val="center"/>
        <w:tblLook w:firstColumn="1" w:firstRow="1" w:lastColumn="0" w:lastRow="0" w:noHBand="0" w:noVBand="1" w:val="04A0"/>
      </w:tblPr>
      <w:tblGrid>
        <w:gridCol w:w="5083"/>
        <w:gridCol w:w="5083"/>
      </w:tblGrid>
      <w:tr>
        <w:tc>
          <w:tcPr>
            <w:tcW w:type="dxa" w:w="3888"/>
            <w:shd w:fill="183B56"/>
            <w:tcMar>
              <w:top w:w="80" w:type="dxa"/>
              <w:start w:w="80" w:type="dxa"/>
              <w:bottom w:w="80" w:type="dxa"/>
              <w:end w:w="80" w:type="dxa"/>
            </w:tcMar>
          </w:tcPr>
          <w:p>
            <w:r>
              <w:rPr>
                <w:b/>
                <w:color w:val="FFFFFF"/>
                <w:sz w:val="16"/>
              </w:rPr>
              <w:t>Do not choose as the primary design</w:t>
            </w:r>
          </w:p>
        </w:tc>
        <w:tc>
          <w:tcPr>
            <w:tcW w:type="dxa" w:w="6480"/>
            <w:shd w:fill="183B56"/>
            <w:tcMar>
              <w:top w:w="80" w:type="dxa"/>
              <w:start w:w="80" w:type="dxa"/>
              <w:bottom w:w="80" w:type="dxa"/>
              <w:end w:w="80" w:type="dxa"/>
            </w:tcMar>
          </w:tcPr>
          <w:p>
            <w:r>
              <w:rPr>
                <w:b/>
                <w:color w:val="FFFFFF"/>
                <w:sz w:val="16"/>
              </w:rPr>
              <w:t>Reason</w:t>
            </w:r>
          </w:p>
        </w:tc>
      </w:tr>
      <w:tr>
        <w:tc>
          <w:tcPr>
            <w:tcW w:type="dxa" w:w="3888"/>
            <w:vAlign w:val="top"/>
            <w:shd w:fill="F4F7F9"/>
            <w:tcMar>
              <w:top w:w="80" w:type="dxa"/>
              <w:start w:w="80" w:type="dxa"/>
              <w:bottom w:w="80" w:type="dxa"/>
              <w:end w:w="80" w:type="dxa"/>
            </w:tcMar>
          </w:tcPr>
          <w:p>
            <w:pPr>
              <w:spacing w:after="20"/>
            </w:pPr>
            <w:r>
              <w:rPr>
                <w:sz w:val="16"/>
              </w:rPr>
              <w:t>GoDaddy/shared hosting</w:t>
            </w:r>
          </w:p>
        </w:tc>
        <w:tc>
          <w:tcPr>
            <w:tcW w:type="dxa" w:w="6480"/>
            <w:vAlign w:val="top"/>
            <w:shd w:fill="F4F7F9"/>
            <w:tcMar>
              <w:top w:w="80" w:type="dxa"/>
              <w:start w:w="80" w:type="dxa"/>
              <w:bottom w:w="80" w:type="dxa"/>
              <w:end w:w="80" w:type="dxa"/>
            </w:tcMar>
          </w:tcPr>
          <w:p>
            <w:pPr>
              <w:spacing w:after="20"/>
            </w:pPr>
            <w:r>
              <w:rPr>
                <w:sz w:val="16"/>
              </w:rPr>
              <w:t>Wrong category for a security-sensitive, event-driven, high-concurrency consumer platform.</w:t>
            </w:r>
          </w:p>
        </w:tc>
      </w:tr>
      <w:tr>
        <w:tc>
          <w:tcPr>
            <w:tcW w:type="dxa" w:w="3888"/>
            <w:vAlign w:val="top"/>
            <w:tcMar>
              <w:top w:w="80" w:type="dxa"/>
              <w:start w:w="80" w:type="dxa"/>
              <w:bottom w:w="80" w:type="dxa"/>
              <w:end w:w="80" w:type="dxa"/>
            </w:tcMar>
          </w:tcPr>
          <w:p>
            <w:pPr>
              <w:spacing w:after="20"/>
            </w:pPr>
            <w:r>
              <w:rPr>
                <w:sz w:val="16"/>
              </w:rPr>
              <w:t>One giant VPS/EC2 instance</w:t>
            </w:r>
          </w:p>
        </w:tc>
        <w:tc>
          <w:tcPr>
            <w:tcW w:type="dxa" w:w="6480"/>
            <w:vAlign w:val="top"/>
            <w:tcMar>
              <w:top w:w="80" w:type="dxa"/>
              <w:start w:w="80" w:type="dxa"/>
              <w:bottom w:w="80" w:type="dxa"/>
              <w:end w:w="80" w:type="dxa"/>
            </w:tcMar>
          </w:tcPr>
          <w:p>
            <w:pPr>
              <w:spacing w:after="20"/>
            </w:pPr>
            <w:r>
              <w:rPr>
                <w:sz w:val="16"/>
              </w:rPr>
              <w:t>Single failure/scaling domain; API, workers, cache, and jobs compete for one machine.</w:t>
            </w:r>
          </w:p>
        </w:tc>
      </w:tr>
      <w:tr>
        <w:tc>
          <w:tcPr>
            <w:tcW w:type="dxa" w:w="3888"/>
            <w:vAlign w:val="top"/>
            <w:shd w:fill="F4F7F9"/>
            <w:tcMar>
              <w:top w:w="80" w:type="dxa"/>
              <w:start w:w="80" w:type="dxa"/>
              <w:bottom w:w="80" w:type="dxa"/>
              <w:end w:w="80" w:type="dxa"/>
            </w:tcMar>
          </w:tcPr>
          <w:p>
            <w:pPr>
              <w:spacing w:after="20"/>
            </w:pPr>
            <w:r>
              <w:rPr>
                <w:sz w:val="16"/>
              </w:rPr>
              <w:t>Firebase/Firestore as the canonical database</w:t>
            </w:r>
          </w:p>
        </w:tc>
        <w:tc>
          <w:tcPr>
            <w:tcW w:type="dxa" w:w="6480"/>
            <w:vAlign w:val="top"/>
            <w:shd w:fill="F4F7F9"/>
            <w:tcMar>
              <w:top w:w="80" w:type="dxa"/>
              <w:start w:w="80" w:type="dxa"/>
              <w:bottom w:w="80" w:type="dxa"/>
              <w:end w:w="80" w:type="dxa"/>
            </w:tcMar>
          </w:tcPr>
          <w:p>
            <w:pPr>
              <w:spacing w:after="20"/>
            </w:pPr>
            <w:r>
              <w:rPr>
                <w:sz w:val="16"/>
              </w:rPr>
              <w:t>Veynlo has deeply relational ownership, evidence, privacy, lifecycle, and query requirements better suited to PostgreSQL.</w:t>
            </w:r>
          </w:p>
        </w:tc>
      </w:tr>
      <w:tr>
        <w:tc>
          <w:tcPr>
            <w:tcW w:type="dxa" w:w="3888"/>
            <w:vAlign w:val="top"/>
            <w:tcMar>
              <w:top w:w="80" w:type="dxa"/>
              <w:start w:w="80" w:type="dxa"/>
              <w:bottom w:w="80" w:type="dxa"/>
              <w:end w:w="80" w:type="dxa"/>
            </w:tcMar>
          </w:tcPr>
          <w:p>
            <w:pPr>
              <w:spacing w:after="20"/>
            </w:pPr>
            <w:r>
              <w:rPr>
                <w:sz w:val="16"/>
              </w:rPr>
              <w:t>SQLite in development with a plan to migrate later</w:t>
            </w:r>
          </w:p>
        </w:tc>
        <w:tc>
          <w:tcPr>
            <w:tcW w:type="dxa" w:w="6480"/>
            <w:vAlign w:val="top"/>
            <w:tcMar>
              <w:top w:w="80" w:type="dxa"/>
              <w:start w:w="80" w:type="dxa"/>
              <w:bottom w:w="80" w:type="dxa"/>
              <w:end w:w="80" w:type="dxa"/>
            </w:tcMar>
          </w:tcPr>
          <w:p>
            <w:pPr>
              <w:spacing w:after="20"/>
            </w:pPr>
            <w:r>
              <w:rPr>
                <w:sz w:val="16"/>
              </w:rPr>
              <w:t>Different query/transaction/index behavior creates avoidable production surprises.</w:t>
            </w:r>
          </w:p>
        </w:tc>
      </w:tr>
      <w:tr>
        <w:tc>
          <w:tcPr>
            <w:tcW w:type="dxa" w:w="3888"/>
            <w:vAlign w:val="top"/>
            <w:shd w:fill="F4F7F9"/>
            <w:tcMar>
              <w:top w:w="80" w:type="dxa"/>
              <w:start w:w="80" w:type="dxa"/>
              <w:bottom w:w="80" w:type="dxa"/>
              <w:end w:w="80" w:type="dxa"/>
            </w:tcMar>
          </w:tcPr>
          <w:p>
            <w:pPr>
              <w:spacing w:after="20"/>
            </w:pPr>
            <w:r>
              <w:rPr>
                <w:sz w:val="16"/>
              </w:rPr>
              <w:t>Kubernetes/EKS from day one</w:t>
            </w:r>
          </w:p>
        </w:tc>
        <w:tc>
          <w:tcPr>
            <w:tcW w:type="dxa" w:w="6480"/>
            <w:vAlign w:val="top"/>
            <w:shd w:fill="F4F7F9"/>
            <w:tcMar>
              <w:top w:w="80" w:type="dxa"/>
              <w:start w:w="80" w:type="dxa"/>
              <w:bottom w:w="80" w:type="dxa"/>
              <w:end w:w="80" w:type="dxa"/>
            </w:tcMar>
          </w:tcPr>
          <w:p>
            <w:pPr>
              <w:spacing w:after="20"/>
            </w:pPr>
            <w:r>
              <w:rPr>
                <w:sz w:val="16"/>
              </w:rPr>
              <w:t>Adds cluster operational complexity with little benefit while one team is building the product.</w:t>
            </w:r>
          </w:p>
        </w:tc>
      </w:tr>
      <w:tr>
        <w:tc>
          <w:tcPr>
            <w:tcW w:type="dxa" w:w="3888"/>
            <w:vAlign w:val="top"/>
            <w:tcMar>
              <w:top w:w="80" w:type="dxa"/>
              <w:start w:w="80" w:type="dxa"/>
              <w:bottom w:w="80" w:type="dxa"/>
              <w:end w:w="80" w:type="dxa"/>
            </w:tcMar>
          </w:tcPr>
          <w:p>
            <w:pPr>
              <w:spacing w:after="20"/>
            </w:pPr>
            <w:r>
              <w:rPr>
                <w:sz w:val="16"/>
              </w:rPr>
              <w:t>Lambda for every backend operation</w:t>
            </w:r>
          </w:p>
        </w:tc>
        <w:tc>
          <w:tcPr>
            <w:tcW w:type="dxa" w:w="6480"/>
            <w:vAlign w:val="top"/>
            <w:tcMar>
              <w:top w:w="80" w:type="dxa"/>
              <w:start w:w="80" w:type="dxa"/>
              <w:bottom w:w="80" w:type="dxa"/>
              <w:end w:w="80" w:type="dxa"/>
            </w:tcMar>
          </w:tcPr>
          <w:p>
            <w:pPr>
              <w:spacing w:after="20"/>
            </w:pPr>
            <w:r>
              <w:rPr>
                <w:sz w:val="16"/>
              </w:rPr>
              <w:t>Excellent for webhook/short event work, but long-running API and complex workers fit Fargate better.</w:t>
            </w:r>
          </w:p>
        </w:tc>
      </w:tr>
      <w:tr>
        <w:tc>
          <w:tcPr>
            <w:tcW w:type="dxa" w:w="3888"/>
            <w:vAlign w:val="top"/>
            <w:shd w:fill="F4F7F9"/>
            <w:tcMar>
              <w:top w:w="80" w:type="dxa"/>
              <w:start w:w="80" w:type="dxa"/>
              <w:bottom w:w="80" w:type="dxa"/>
              <w:end w:w="80" w:type="dxa"/>
            </w:tcMar>
          </w:tcPr>
          <w:p>
            <w:pPr>
              <w:spacing w:after="20"/>
            </w:pPr>
            <w:r>
              <w:rPr>
                <w:sz w:val="16"/>
              </w:rPr>
              <w:t>Microservices for every domain from day one</w:t>
            </w:r>
          </w:p>
        </w:tc>
        <w:tc>
          <w:tcPr>
            <w:tcW w:type="dxa" w:w="6480"/>
            <w:vAlign w:val="top"/>
            <w:shd w:fill="F4F7F9"/>
            <w:tcMar>
              <w:top w:w="80" w:type="dxa"/>
              <w:start w:w="80" w:type="dxa"/>
              <w:bottom w:w="80" w:type="dxa"/>
              <w:end w:w="80" w:type="dxa"/>
            </w:tcMar>
          </w:tcPr>
          <w:p>
            <w:pPr>
              <w:spacing w:after="20"/>
            </w:pPr>
            <w:r>
              <w:rPr>
                <w:sz w:val="16"/>
              </w:rPr>
              <w:t>Distributed-system complexity before scale/team boundaries justify it.</w:t>
            </w:r>
          </w:p>
        </w:tc>
      </w:tr>
      <w:tr>
        <w:tc>
          <w:tcPr>
            <w:tcW w:type="dxa" w:w="3888"/>
            <w:vAlign w:val="top"/>
            <w:tcMar>
              <w:top w:w="80" w:type="dxa"/>
              <w:start w:w="80" w:type="dxa"/>
              <w:bottom w:w="80" w:type="dxa"/>
              <w:end w:w="80" w:type="dxa"/>
            </w:tcMar>
          </w:tcPr>
          <w:p>
            <w:pPr>
              <w:spacing w:after="20"/>
            </w:pPr>
            <w:r>
              <w:rPr>
                <w:sz w:val="16"/>
              </w:rPr>
              <w:t>Public S3 buckets for user content</w:t>
            </w:r>
          </w:p>
        </w:tc>
        <w:tc>
          <w:tcPr>
            <w:tcW w:type="dxa" w:w="6480"/>
            <w:vAlign w:val="top"/>
            <w:tcMar>
              <w:top w:w="80" w:type="dxa"/>
              <w:start w:w="80" w:type="dxa"/>
              <w:bottom w:w="80" w:type="dxa"/>
              <w:end w:w="80" w:type="dxa"/>
            </w:tcMar>
          </w:tcPr>
          <w:p>
            <w:pPr>
              <w:spacing w:after="20"/>
            </w:pPr>
            <w:r>
              <w:rPr>
                <w:sz w:val="16"/>
              </w:rPr>
              <w:t>Unacceptable privacy/security model.</w:t>
            </w:r>
          </w:p>
        </w:tc>
      </w:tr>
      <w:tr>
        <w:tc>
          <w:tcPr>
            <w:tcW w:type="dxa" w:w="3888"/>
            <w:vAlign w:val="top"/>
            <w:shd w:fill="F4F7F9"/>
            <w:tcMar>
              <w:top w:w="80" w:type="dxa"/>
              <w:start w:w="80" w:type="dxa"/>
              <w:bottom w:w="80" w:type="dxa"/>
              <w:end w:w="80" w:type="dxa"/>
            </w:tcMar>
          </w:tcPr>
          <w:p>
            <w:pPr>
              <w:spacing w:after="20"/>
            </w:pPr>
            <w:r>
              <w:rPr>
                <w:sz w:val="16"/>
              </w:rPr>
              <w:t>Secrets inside mobile apps</w:t>
            </w:r>
          </w:p>
        </w:tc>
        <w:tc>
          <w:tcPr>
            <w:tcW w:type="dxa" w:w="6480"/>
            <w:vAlign w:val="top"/>
            <w:shd w:fill="F4F7F9"/>
            <w:tcMar>
              <w:top w:w="80" w:type="dxa"/>
              <w:start w:w="80" w:type="dxa"/>
              <w:bottom w:w="80" w:type="dxa"/>
              <w:end w:w="80" w:type="dxa"/>
            </w:tcMar>
          </w:tcPr>
          <w:p>
            <w:pPr>
              <w:spacing w:after="20"/>
            </w:pPr>
            <w:r>
              <w:rPr>
                <w:sz w:val="16"/>
              </w:rPr>
              <w:t>Mobile binaries are inspectable; privileged credentials belong on the backend.</w:t>
            </w:r>
          </w:p>
        </w:tc>
      </w:tr>
    </w:tbl>
    <w:p/>
    <w:p>
      <w:pPr>
        <w:pStyle w:val="Heading1"/>
      </w:pPr>
      <w:r>
        <w:t>36. Production-readiness migration checklist</w:t>
      </w:r>
    </w:p>
    <w:p>
      <w:pPr>
        <w:pStyle w:val="ListNumber"/>
        <w:spacing w:after="40"/>
      </w:pPr>
      <w:r>
        <w:t>Create AWS Organization / Control Tower landing zone and the required accounts.</w:t>
      </w:r>
    </w:p>
    <w:p>
      <w:pPr>
        <w:pStyle w:val="ListNumber"/>
        <w:spacing w:after="40"/>
      </w:pPr>
      <w:r>
        <w:t>Register/acquire the final production domain and lock down registrar access with MFA/domain lock.</w:t>
      </w:r>
    </w:p>
    <w:p>
      <w:pPr>
        <w:pStyle w:val="ListNumber"/>
        <w:spacing w:after="40"/>
      </w:pPr>
      <w:r>
        <w:t>Terraform all production networking, endpoints, KMS keys, logging, security services, S3, queues, ECR, ECS, Aurora, Valkey, Cognito, and edge resources.</w:t>
      </w:r>
    </w:p>
    <w:p>
      <w:pPr>
        <w:pStyle w:val="ListNumber"/>
        <w:spacing w:after="40"/>
      </w:pPr>
      <w:r>
        <w:t>Create production Cognito pool, custom auth domain, Apple/Google identity-provider apps, and passkey RP configuration.</w:t>
      </w:r>
    </w:p>
    <w:p>
      <w:pPr>
        <w:pStyle w:val="ListNumber"/>
        <w:spacing w:after="40"/>
      </w:pPr>
      <w:r>
        <w:t>Create Apple App Store Connect production app identifiers, capabilities, APNs configuration, in-app subscription products, and RevenueCat Apple integration.</w:t>
      </w:r>
    </w:p>
    <w:p>
      <w:pPr>
        <w:pStyle w:val="ListNumber"/>
        <w:spacing w:after="40"/>
      </w:pPr>
      <w:r>
        <w:t>Create Google Play production app, signing configuration, subscription/base plans, FCM configuration, and RevenueCat Google integration.</w:t>
      </w:r>
    </w:p>
    <w:p>
      <w:pPr>
        <w:pStyle w:val="ListNumber"/>
        <w:spacing w:after="40"/>
      </w:pPr>
      <w:r>
        <w:t>Create Stripe production account/catalog and RevenueCat web/Stripe integration.</w:t>
      </w:r>
    </w:p>
    <w:p>
      <w:pPr>
        <w:pStyle w:val="ListNumber"/>
        <w:spacing w:after="40"/>
      </w:pPr>
      <w:r>
        <w:t>Provision production Aurora cluster and run migrations from a clean baseline.</w:t>
      </w:r>
    </w:p>
    <w:p>
      <w:pPr>
        <w:pStyle w:val="ListNumber"/>
        <w:spacing w:after="40"/>
      </w:pPr>
      <w:r>
        <w:t>Load test API, queue workers, entity-resolution paths, Ask Veynlo, file upload, and database queries.</w:t>
      </w:r>
    </w:p>
    <w:p>
      <w:pPr>
        <w:pStyle w:val="ListNumber"/>
        <w:spacing w:after="40"/>
      </w:pPr>
      <w:r>
        <w:t>Run security scanning/penetration testing and remediate high-severity findings.</w:t>
      </w:r>
    </w:p>
    <w:p>
      <w:pPr>
        <w:pStyle w:val="ListNumber"/>
        <w:spacing w:after="40"/>
      </w:pPr>
      <w:r>
        <w:t>Test OAuth revoke/reconnect, provider quota exhaustion, webhook duplicates, DLQs, database failover, task failures, and third-party outages.</w:t>
      </w:r>
    </w:p>
    <w:p>
      <w:pPr>
        <w:pStyle w:val="ListNumber"/>
        <w:spacing w:after="40"/>
      </w:pPr>
      <w:r>
        <w:t>Perform full backup restore into an isolated environment.</w:t>
      </w:r>
    </w:p>
    <w:p>
      <w:pPr>
        <w:pStyle w:val="ListNumber"/>
        <w:spacing w:after="40"/>
      </w:pPr>
      <w:r>
        <w:t>Run privacy/deletion/export workflows end to end.</w:t>
      </w:r>
    </w:p>
    <w:p>
      <w:pPr>
        <w:pStyle w:val="ListNumber"/>
        <w:spacing w:after="40"/>
      </w:pPr>
      <w:r>
        <w:t>Deploy staging mobile builds and complete TestFlight/Google closed-test subscription validation.</w:t>
      </w:r>
    </w:p>
    <w:p>
      <w:pPr>
        <w:pStyle w:val="ListNumber"/>
        <w:spacing w:after="40"/>
      </w:pPr>
      <w:r>
        <w:t>Set production budgets, alarms, incident runbooks, status page, and support workflows.</w:t>
      </w:r>
    </w:p>
    <w:p>
      <w:pPr>
        <w:pStyle w:val="ListNumber"/>
        <w:spacing w:after="40"/>
      </w:pPr>
      <w:r>
        <w:t>Deploy production backend before store binaries and perform smoke tests with production-but-internal accounts.</w:t>
      </w:r>
    </w:p>
    <w:p>
      <w:pPr>
        <w:pStyle w:val="ListNumber"/>
        <w:spacing w:after="40"/>
      </w:pPr>
      <w:r>
        <w:t>Release mobile apps using staged/phased rollout.</w:t>
      </w:r>
    </w:p>
    <w:p>
      <w:pPr>
        <w:pStyle w:val="ListNumber"/>
        <w:spacing w:after="40"/>
      </w:pPr>
      <w:r>
        <w:t>Watch error, latency, queue, database, entitlement, sync, and cost dashboards continuously during launch.</w:t>
      </w:r>
    </w:p>
    <w:p>
      <w:pPr>
        <w:pStyle w:val="Heading1"/>
      </w:pPr>
      <w:r>
        <w:t>37. Requirements Claude should follow now</w:t>
      </w:r>
    </w:p>
    <w:p>
      <w:r>
        <w:t>The development repository should be shaped for this target immediately, even if AWS production is not provisioned yet. The goal is to make production a deployment/configuration step rather than a rearchitecture.</w:t>
      </w:r>
    </w:p>
    <w:p>
      <w:pPr>
        <w:pStyle w:val="ListBullet"/>
        <w:spacing w:after="40"/>
      </w:pPr>
      <w:r>
        <w:t>Use a monorepo (pnpm + Turborepo is reasonable) with apps/web, apps/mobile, apps/api, apps/worker, apps/desktop and shared domain/config/UI packages.</w:t>
      </w:r>
    </w:p>
    <w:p>
      <w:pPr>
        <w:pStyle w:val="ListBullet"/>
        <w:spacing w:after="40"/>
      </w:pPr>
      <w:r>
        <w:t>Containerize API and worker processes now. CI must build ARM64-compatible images or multi-architecture images.</w:t>
      </w:r>
    </w:p>
    <w:p>
      <w:pPr>
        <w:pStyle w:val="ListBullet"/>
        <w:spacing w:after="40"/>
      </w:pPr>
      <w:r>
        <w:t>Use PostgreSQL 17 locally and write portable PostgreSQL migrations compatible with Aurora PostgreSQL.</w:t>
      </w:r>
    </w:p>
    <w:p>
      <w:pPr>
        <w:pStyle w:val="ListBullet"/>
        <w:spacing w:after="40"/>
      </w:pPr>
      <w:r>
        <w:t>Do not read/write files from container local disk except temporary processing directories; durable files go through an object-storage interface.</w:t>
      </w:r>
    </w:p>
    <w:p>
      <w:pPr>
        <w:pStyle w:val="ListBullet"/>
        <w:spacing w:after="40"/>
      </w:pPr>
      <w:r>
        <w:t>Create Queue, ObjectStorage, Cache, ModelProvider, NotificationProvider, BillingProvider, and Connector interfaces so local mocks can be replaced by AWS/provider implementations.</w:t>
      </w:r>
    </w:p>
    <w:p>
      <w:pPr>
        <w:pStyle w:val="ListBullet"/>
        <w:spacing w:after="40"/>
      </w:pPr>
      <w:r>
        <w:t>Keep all URLs, bucket names, regions, plan IDs, OAuth IDs, and provider settings environment-driven.</w:t>
      </w:r>
    </w:p>
    <w:p>
      <w:pPr>
        <w:pStyle w:val="ListBullet"/>
        <w:spacing w:after="40"/>
      </w:pPr>
      <w:r>
        <w:t>Use an outbox/event abstraction instead of scattering direct EventBridge calls through domain logic.</w:t>
      </w:r>
    </w:p>
    <w:p>
      <w:pPr>
        <w:pStyle w:val="ListBullet"/>
        <w:spacing w:after="40"/>
      </w:pPr>
      <w:r>
        <w:t>Build permission checks as domain/application policy functions and test household/private boundaries heavily.</w:t>
      </w:r>
    </w:p>
    <w:p>
      <w:pPr>
        <w:pStyle w:val="ListBullet"/>
        <w:spacing w:after="40"/>
      </w:pPr>
      <w:r>
        <w:t>Create infrastructure/terraform with reusable modules and environment composition for dev/staging/prod.</w:t>
      </w:r>
    </w:p>
    <w:p>
      <w:pPr>
        <w:pStyle w:val="ListBullet"/>
        <w:spacing w:after="40"/>
      </w:pPr>
      <w:r>
        <w:t>Create docs/ARCHITECTURE.md, docs/DEPLOYMENT.md, docs/SECURITY.md, docs/DR.md, docs/IMPLEMENTATION_STATUS.md, and docs/DECISIONS.md.</w:t>
      </w:r>
    </w:p>
    <w:p>
      <w:pPr>
        <w:pStyle w:val="ListBullet"/>
        <w:spacing w:after="40"/>
      </w:pPr>
      <w:r>
        <w:t>Never commit production secrets or personal test data.</w:t>
      </w:r>
    </w:p>
    <w:p>
      <w:pPr>
        <w:pStyle w:val="ListBullet"/>
        <w:spacing w:after="40"/>
      </w:pPr>
      <w:r>
        <w:t>Where a real integration is blocked by credentials/provider approval, finish the interface, mock, UI states, retry/error behavior, and documentation instead of stopping the entire build.</w:t>
      </w:r>
    </w:p>
    <w:p>
      <w:pPr>
        <w:pStyle w:val="Heading1"/>
      </w:pPr>
      <w:r>
        <w:t>38. Final recommendation</w:t>
      </w:r>
    </w:p>
    <w:p>
      <w:r>
        <w:t>For Veynlo, I would build toward AWS—not GoDaddy—and I would use the updated architecture in this document as the production target. The most important practical change is conceptual: do not think in terms of choosing one Veynlo server size. There should ultimately be no single Veynlo server. The API, background processing, database, cache, file store, queues, and edge each have their own managed scaling model.</w:t>
      </w:r>
    </w:p>
    <w:p>
      <w:r>
        <w:t>The production database should be Aurora PostgreSQL 17.7 LTS Serverless v2 with a writer and hot reader, fronted by RDS Proxy. The API should run as at least three ARM64 Fargate tasks behind an Application Load Balancer. Provider webhooks should enter through API Gateway/Lambda and go directly to durable SQS queues. Files should remain private in KMS-encrypted S3. Internal events should use EventBridge. Cognito should own consumer authentication, with passkeys and Apple/Google federation. RevenueCat should normalize Apple, Google, and web subscription entitlements. Terraform should define everything, and AWS Control Tower should isolate development, staging, production, security logging, and backups into separate accounts.</w:t>
      </w:r>
    </w:p>
    <w:tbl>
      <w:tblPr>
        <w:tblStyle w:val="TableGrid"/>
        <w:tblW w:type="auto" w:w="0"/>
        <w:jc w:val="center"/>
        <w:tblLook w:firstColumn="1" w:firstRow="1" w:lastColumn="0" w:lastRow="0" w:noHBand="0" w:noVBand="1" w:val="04A0"/>
      </w:tblPr>
      <w:tblGrid>
        <w:gridCol w:w="10166"/>
      </w:tblGrid>
      <w:tr>
        <w:tc>
          <w:tcPr>
            <w:tcW w:type="dxa" w:w="10166"/>
            <w:shd w:fill="EAF2F7"/>
            <w:tcMar>
              <w:top w:w="120" w:type="dxa"/>
              <w:start w:w="140" w:type="dxa"/>
              <w:bottom w:w="120" w:type="dxa"/>
              <w:end w:w="140" w:type="dxa"/>
            </w:tcMar>
          </w:tcPr>
          <w:p>
            <w:r>
              <w:rPr>
                <w:b/>
                <w:color w:val="183B56"/>
              </w:rPr>
              <w:t xml:space="preserve">If this architecture is followed from the start — </w:t>
            </w:r>
            <w:r>
              <w:t>The eventual production transition should consist of provisioning the production AWS account, applying Terraform, deploying the same tested container images, running the same migrations, installing production provider credentials, pointing production apps at api.veynlo.com, and completing store release workflows. It should not require rewriting Veynlo for a different database, filesystem, queue, authentication model, or server topology.</w:t>
            </w:r>
          </w:p>
        </w:tc>
      </w:tr>
    </w:tbl>
    <w:p/>
    <w:p>
      <w:r>
        <w:br w:type="page"/>
      </w:r>
    </w:p>
    <w:p>
      <w:pPr>
        <w:pStyle w:val="Heading1"/>
      </w:pPr>
      <w:r>
        <w:t>Appendix A. Domain and environment naming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016"/>
            <w:shd w:fill="183B56"/>
            <w:tcMar>
              <w:top w:w="80" w:type="dxa"/>
              <w:start w:w="80" w:type="dxa"/>
              <w:bottom w:w="80" w:type="dxa"/>
              <w:end w:w="80" w:type="dxa"/>
            </w:tcMar>
          </w:tcPr>
          <w:p>
            <w:r>
              <w:rPr>
                <w:b/>
                <w:color w:val="FFFFFF"/>
                <w:sz w:val="16"/>
              </w:rPr>
              <w:t>Purpose</w:t>
            </w:r>
          </w:p>
        </w:tc>
        <w:tc>
          <w:tcPr>
            <w:tcW w:type="dxa" w:w="2880"/>
            <w:shd w:fill="183B56"/>
            <w:tcMar>
              <w:top w:w="80" w:type="dxa"/>
              <w:start w:w="80" w:type="dxa"/>
              <w:bottom w:w="80" w:type="dxa"/>
              <w:end w:w="80" w:type="dxa"/>
            </w:tcMar>
          </w:tcPr>
          <w:p>
            <w:r>
              <w:rPr>
                <w:b/>
                <w:color w:val="FFFFFF"/>
                <w:sz w:val="16"/>
              </w:rPr>
              <w:t>Development</w:t>
            </w:r>
          </w:p>
        </w:tc>
        <w:tc>
          <w:tcPr>
            <w:tcW w:type="dxa" w:w="2880"/>
            <w:shd w:fill="183B56"/>
            <w:tcMar>
              <w:top w:w="80" w:type="dxa"/>
              <w:start w:w="80" w:type="dxa"/>
              <w:bottom w:w="80" w:type="dxa"/>
              <w:end w:w="80" w:type="dxa"/>
            </w:tcMar>
          </w:tcPr>
          <w:p>
            <w:r>
              <w:rPr>
                <w:b/>
                <w:color w:val="FFFFFF"/>
                <w:sz w:val="16"/>
              </w:rPr>
              <w:t>Staging</w:t>
            </w:r>
          </w:p>
        </w:tc>
        <w:tc>
          <w:tcPr>
            <w:tcW w:type="dxa" w:w="2880"/>
            <w:shd w:fill="183B56"/>
            <w:tcMar>
              <w:top w:w="80" w:type="dxa"/>
              <w:start w:w="80" w:type="dxa"/>
              <w:bottom w:w="80" w:type="dxa"/>
              <w:end w:w="80" w:type="dxa"/>
            </w:tcMar>
          </w:tcPr>
          <w:p>
            <w:r>
              <w:rPr>
                <w:b/>
                <w:color w:val="FFFFFF"/>
                <w:sz w:val="16"/>
              </w:rPr>
              <w:t>Production</w:t>
            </w:r>
          </w:p>
        </w:tc>
      </w:tr>
      <w:tr>
        <w:tc>
          <w:tcPr>
            <w:tcW w:type="dxa" w:w="2016"/>
            <w:vAlign w:val="top"/>
            <w:shd w:fill="F4F7F9"/>
            <w:tcMar>
              <w:top w:w="80" w:type="dxa"/>
              <w:start w:w="80" w:type="dxa"/>
              <w:bottom w:w="80" w:type="dxa"/>
              <w:end w:w="80" w:type="dxa"/>
            </w:tcMar>
          </w:tcPr>
          <w:p>
            <w:pPr>
              <w:spacing w:after="20"/>
            </w:pPr>
            <w:r>
              <w:rPr>
                <w:sz w:val="16"/>
              </w:rPr>
              <w:t>Web app</w:t>
            </w:r>
          </w:p>
        </w:tc>
        <w:tc>
          <w:tcPr>
            <w:tcW w:type="dxa" w:w="2880"/>
            <w:vAlign w:val="top"/>
            <w:shd w:fill="F4F7F9"/>
            <w:tcMar>
              <w:top w:w="80" w:type="dxa"/>
              <w:start w:w="80" w:type="dxa"/>
              <w:bottom w:w="80" w:type="dxa"/>
              <w:end w:w="80" w:type="dxa"/>
            </w:tcMar>
          </w:tcPr>
          <w:p>
            <w:pPr>
              <w:spacing w:after="20"/>
            </w:pPr>
            <w:r>
              <w:rPr>
                <w:sz w:val="16"/>
              </w:rPr>
              <w:t>app.dev.veynlo.com</w:t>
            </w:r>
          </w:p>
        </w:tc>
        <w:tc>
          <w:tcPr>
            <w:tcW w:type="dxa" w:w="2880"/>
            <w:vAlign w:val="top"/>
            <w:shd w:fill="F4F7F9"/>
            <w:tcMar>
              <w:top w:w="80" w:type="dxa"/>
              <w:start w:w="80" w:type="dxa"/>
              <w:bottom w:w="80" w:type="dxa"/>
              <w:end w:w="80" w:type="dxa"/>
            </w:tcMar>
          </w:tcPr>
          <w:p>
            <w:pPr>
              <w:spacing w:after="20"/>
            </w:pPr>
            <w:r>
              <w:rPr>
                <w:sz w:val="16"/>
              </w:rPr>
              <w:t>app.staging.veynlo.com</w:t>
            </w:r>
          </w:p>
        </w:tc>
        <w:tc>
          <w:tcPr>
            <w:tcW w:type="dxa" w:w="2880"/>
            <w:vAlign w:val="top"/>
            <w:shd w:fill="F4F7F9"/>
            <w:tcMar>
              <w:top w:w="80" w:type="dxa"/>
              <w:start w:w="80" w:type="dxa"/>
              <w:bottom w:w="80" w:type="dxa"/>
              <w:end w:w="80" w:type="dxa"/>
            </w:tcMar>
          </w:tcPr>
          <w:p>
            <w:pPr>
              <w:spacing w:after="20"/>
            </w:pPr>
            <w:r>
              <w:rPr>
                <w:sz w:val="16"/>
              </w:rPr>
              <w:t>app.veynlo.com</w:t>
            </w:r>
          </w:p>
        </w:tc>
      </w:tr>
      <w:tr>
        <w:tc>
          <w:tcPr>
            <w:tcW w:type="dxa" w:w="2016"/>
            <w:vAlign w:val="top"/>
            <w:tcMar>
              <w:top w:w="80" w:type="dxa"/>
              <w:start w:w="80" w:type="dxa"/>
              <w:bottom w:w="80" w:type="dxa"/>
              <w:end w:w="80" w:type="dxa"/>
            </w:tcMar>
          </w:tcPr>
          <w:p>
            <w:pPr>
              <w:spacing w:after="20"/>
            </w:pPr>
            <w:r>
              <w:rPr>
                <w:sz w:val="16"/>
              </w:rPr>
              <w:t>API</w:t>
            </w:r>
          </w:p>
        </w:tc>
        <w:tc>
          <w:tcPr>
            <w:tcW w:type="dxa" w:w="2880"/>
            <w:vAlign w:val="top"/>
            <w:tcMar>
              <w:top w:w="80" w:type="dxa"/>
              <w:start w:w="80" w:type="dxa"/>
              <w:bottom w:w="80" w:type="dxa"/>
              <w:end w:w="80" w:type="dxa"/>
            </w:tcMar>
          </w:tcPr>
          <w:p>
            <w:pPr>
              <w:spacing w:after="20"/>
            </w:pPr>
            <w:r>
              <w:rPr>
                <w:sz w:val="16"/>
              </w:rPr>
              <w:t>api.dev.veynlo.com</w:t>
            </w:r>
          </w:p>
        </w:tc>
        <w:tc>
          <w:tcPr>
            <w:tcW w:type="dxa" w:w="2880"/>
            <w:vAlign w:val="top"/>
            <w:tcMar>
              <w:top w:w="80" w:type="dxa"/>
              <w:start w:w="80" w:type="dxa"/>
              <w:bottom w:w="80" w:type="dxa"/>
              <w:end w:w="80" w:type="dxa"/>
            </w:tcMar>
          </w:tcPr>
          <w:p>
            <w:pPr>
              <w:spacing w:after="20"/>
            </w:pPr>
            <w:r>
              <w:rPr>
                <w:sz w:val="16"/>
              </w:rPr>
              <w:t>api.staging.veynlo.com</w:t>
            </w:r>
          </w:p>
        </w:tc>
        <w:tc>
          <w:tcPr>
            <w:tcW w:type="dxa" w:w="2880"/>
            <w:vAlign w:val="top"/>
            <w:tcMar>
              <w:top w:w="80" w:type="dxa"/>
              <w:start w:w="80" w:type="dxa"/>
              <w:bottom w:w="80" w:type="dxa"/>
              <w:end w:w="80" w:type="dxa"/>
            </w:tcMar>
          </w:tcPr>
          <w:p>
            <w:pPr>
              <w:spacing w:after="20"/>
            </w:pPr>
            <w:r>
              <w:rPr>
                <w:sz w:val="16"/>
              </w:rPr>
              <w:t>api.veynlo.com</w:t>
            </w:r>
          </w:p>
        </w:tc>
      </w:tr>
      <w:tr>
        <w:tc>
          <w:tcPr>
            <w:tcW w:type="dxa" w:w="2016"/>
            <w:vAlign w:val="top"/>
            <w:shd w:fill="F4F7F9"/>
            <w:tcMar>
              <w:top w:w="80" w:type="dxa"/>
              <w:start w:w="80" w:type="dxa"/>
              <w:bottom w:w="80" w:type="dxa"/>
              <w:end w:w="80" w:type="dxa"/>
            </w:tcMar>
          </w:tcPr>
          <w:p>
            <w:pPr>
              <w:spacing w:after="20"/>
            </w:pPr>
            <w:r>
              <w:rPr>
                <w:sz w:val="16"/>
              </w:rPr>
              <w:t>Webhooks</w:t>
            </w:r>
          </w:p>
        </w:tc>
        <w:tc>
          <w:tcPr>
            <w:tcW w:type="dxa" w:w="2880"/>
            <w:vAlign w:val="top"/>
            <w:shd w:fill="F4F7F9"/>
            <w:tcMar>
              <w:top w:w="80" w:type="dxa"/>
              <w:start w:w="80" w:type="dxa"/>
              <w:bottom w:w="80" w:type="dxa"/>
              <w:end w:w="80" w:type="dxa"/>
            </w:tcMar>
          </w:tcPr>
          <w:p>
            <w:pPr>
              <w:spacing w:after="20"/>
            </w:pPr>
            <w:r>
              <w:rPr>
                <w:sz w:val="16"/>
              </w:rPr>
              <w:t>hooks.dev.veynlo.com</w:t>
            </w:r>
          </w:p>
        </w:tc>
        <w:tc>
          <w:tcPr>
            <w:tcW w:type="dxa" w:w="2880"/>
            <w:vAlign w:val="top"/>
            <w:shd w:fill="F4F7F9"/>
            <w:tcMar>
              <w:top w:w="80" w:type="dxa"/>
              <w:start w:w="80" w:type="dxa"/>
              <w:bottom w:w="80" w:type="dxa"/>
              <w:end w:w="80" w:type="dxa"/>
            </w:tcMar>
          </w:tcPr>
          <w:p>
            <w:pPr>
              <w:spacing w:after="20"/>
            </w:pPr>
            <w:r>
              <w:rPr>
                <w:sz w:val="16"/>
              </w:rPr>
              <w:t>hooks.staging.veynlo.com</w:t>
            </w:r>
          </w:p>
        </w:tc>
        <w:tc>
          <w:tcPr>
            <w:tcW w:type="dxa" w:w="2880"/>
            <w:vAlign w:val="top"/>
            <w:shd w:fill="F4F7F9"/>
            <w:tcMar>
              <w:top w:w="80" w:type="dxa"/>
              <w:start w:w="80" w:type="dxa"/>
              <w:bottom w:w="80" w:type="dxa"/>
              <w:end w:w="80" w:type="dxa"/>
            </w:tcMar>
          </w:tcPr>
          <w:p>
            <w:pPr>
              <w:spacing w:after="20"/>
            </w:pPr>
            <w:r>
              <w:rPr>
                <w:sz w:val="16"/>
              </w:rPr>
              <w:t>hooks.veynlo.com</w:t>
            </w:r>
          </w:p>
        </w:tc>
      </w:tr>
      <w:tr>
        <w:tc>
          <w:tcPr>
            <w:tcW w:type="dxa" w:w="2016"/>
            <w:vAlign w:val="top"/>
            <w:tcMar>
              <w:top w:w="80" w:type="dxa"/>
              <w:start w:w="80" w:type="dxa"/>
              <w:bottom w:w="80" w:type="dxa"/>
              <w:end w:w="80" w:type="dxa"/>
            </w:tcMar>
          </w:tcPr>
          <w:p>
            <w:pPr>
              <w:spacing w:after="20"/>
            </w:pPr>
            <w:r>
              <w:rPr>
                <w:sz w:val="16"/>
              </w:rPr>
              <w:t>Authentication</w:t>
            </w:r>
          </w:p>
        </w:tc>
        <w:tc>
          <w:tcPr>
            <w:tcW w:type="dxa" w:w="2880"/>
            <w:vAlign w:val="top"/>
            <w:tcMar>
              <w:top w:w="80" w:type="dxa"/>
              <w:start w:w="80" w:type="dxa"/>
              <w:bottom w:w="80" w:type="dxa"/>
              <w:end w:w="80" w:type="dxa"/>
            </w:tcMar>
          </w:tcPr>
          <w:p>
            <w:pPr>
              <w:spacing w:after="20"/>
            </w:pPr>
            <w:r>
              <w:rPr>
                <w:sz w:val="16"/>
              </w:rPr>
              <w:t>auth.dev.veynlo.com</w:t>
            </w:r>
          </w:p>
        </w:tc>
        <w:tc>
          <w:tcPr>
            <w:tcW w:type="dxa" w:w="2880"/>
            <w:vAlign w:val="top"/>
            <w:tcMar>
              <w:top w:w="80" w:type="dxa"/>
              <w:start w:w="80" w:type="dxa"/>
              <w:bottom w:w="80" w:type="dxa"/>
              <w:end w:w="80" w:type="dxa"/>
            </w:tcMar>
          </w:tcPr>
          <w:p>
            <w:pPr>
              <w:spacing w:after="20"/>
            </w:pPr>
            <w:r>
              <w:rPr>
                <w:sz w:val="16"/>
              </w:rPr>
              <w:t>auth.staging.veynlo.com</w:t>
            </w:r>
          </w:p>
        </w:tc>
        <w:tc>
          <w:tcPr>
            <w:tcW w:type="dxa" w:w="2880"/>
            <w:vAlign w:val="top"/>
            <w:tcMar>
              <w:top w:w="80" w:type="dxa"/>
              <w:start w:w="80" w:type="dxa"/>
              <w:bottom w:w="80" w:type="dxa"/>
              <w:end w:w="80" w:type="dxa"/>
            </w:tcMar>
          </w:tcPr>
          <w:p>
            <w:pPr>
              <w:spacing w:after="20"/>
            </w:pPr>
            <w:r>
              <w:rPr>
                <w:sz w:val="16"/>
              </w:rPr>
              <w:t>auth.veynlo.com</w:t>
            </w:r>
          </w:p>
        </w:tc>
      </w:tr>
      <w:tr>
        <w:tc>
          <w:tcPr>
            <w:tcW w:type="dxa" w:w="2016"/>
            <w:vAlign w:val="top"/>
            <w:shd w:fill="F4F7F9"/>
            <w:tcMar>
              <w:top w:w="80" w:type="dxa"/>
              <w:start w:w="80" w:type="dxa"/>
              <w:bottom w:w="80" w:type="dxa"/>
              <w:end w:w="80" w:type="dxa"/>
            </w:tcMar>
          </w:tcPr>
          <w:p>
            <w:pPr>
              <w:spacing w:after="20"/>
            </w:pPr>
            <w:r>
              <w:rPr>
                <w:sz w:val="16"/>
              </w:rPr>
              <w:t>Marketing</w:t>
            </w:r>
          </w:p>
        </w:tc>
        <w:tc>
          <w:tcPr>
            <w:tcW w:type="dxa" w:w="2880"/>
            <w:vAlign w:val="top"/>
            <w:shd w:fill="F4F7F9"/>
            <w:tcMar>
              <w:top w:w="80" w:type="dxa"/>
              <w:start w:w="80" w:type="dxa"/>
              <w:bottom w:w="80" w:type="dxa"/>
              <w:end w:w="80" w:type="dxa"/>
            </w:tcMar>
          </w:tcPr>
          <w:p>
            <w:pPr>
              <w:spacing w:after="20"/>
            </w:pPr>
            <w:r>
              <w:rPr>
                <w:sz w:val="16"/>
              </w:rPr>
              <w:t>—</w:t>
            </w:r>
          </w:p>
        </w:tc>
        <w:tc>
          <w:tcPr>
            <w:tcW w:type="dxa" w:w="2880"/>
            <w:vAlign w:val="top"/>
            <w:shd w:fill="F4F7F9"/>
            <w:tcMar>
              <w:top w:w="80" w:type="dxa"/>
              <w:start w:w="80" w:type="dxa"/>
              <w:bottom w:w="80" w:type="dxa"/>
              <w:end w:w="80" w:type="dxa"/>
            </w:tcMar>
          </w:tcPr>
          <w:p>
            <w:pPr>
              <w:spacing w:after="20"/>
            </w:pPr>
            <w:r>
              <w:rPr>
                <w:sz w:val="16"/>
              </w:rPr>
              <w:t>—</w:t>
            </w:r>
          </w:p>
        </w:tc>
        <w:tc>
          <w:tcPr>
            <w:tcW w:type="dxa" w:w="2880"/>
            <w:vAlign w:val="top"/>
            <w:shd w:fill="F4F7F9"/>
            <w:tcMar>
              <w:top w:w="80" w:type="dxa"/>
              <w:start w:w="80" w:type="dxa"/>
              <w:bottom w:w="80" w:type="dxa"/>
              <w:end w:w="80" w:type="dxa"/>
            </w:tcMar>
          </w:tcPr>
          <w:p>
            <w:pPr>
              <w:spacing w:after="20"/>
            </w:pPr>
            <w:r>
              <w:rPr>
                <w:sz w:val="16"/>
              </w:rPr>
              <w:t>www.veynlo.com</w:t>
            </w:r>
          </w:p>
        </w:tc>
      </w:tr>
    </w:tbl>
    <w:p/>
    <w:p>
      <w:r>
        <w:t>If the final product name changes, domains and app metadata must be configuration-driven so rebranding does not require domain logic changes.</w:t>
      </w:r>
    </w:p>
    <w:p>
      <w:pPr>
        <w:pStyle w:val="Heading1"/>
      </w:pPr>
      <w:r>
        <w:t>Appendix B. Service inventory</w:t>
      </w:r>
    </w:p>
    <w:tbl>
      <w:tblPr>
        <w:tblStyle w:val="TableGrid"/>
        <w:tblW w:type="auto" w:w="0"/>
        <w:jc w:val="center"/>
        <w:tblLook w:firstColumn="1" w:firstRow="1" w:lastColumn="0" w:lastRow="0" w:noHBand="0" w:noVBand="1" w:val="04A0"/>
      </w:tblPr>
      <w:tblGrid>
        <w:gridCol w:w="5083"/>
        <w:gridCol w:w="5083"/>
      </w:tblGrid>
      <w:tr>
        <w:tc>
          <w:tcPr>
            <w:tcW w:type="dxa" w:w="4032"/>
            <w:shd w:fill="183B56"/>
            <w:tcMar>
              <w:top w:w="80" w:type="dxa"/>
              <w:start w:w="80" w:type="dxa"/>
              <w:bottom w:w="80" w:type="dxa"/>
              <w:end w:w="80" w:type="dxa"/>
            </w:tcMar>
          </w:tcPr>
          <w:p>
            <w:r>
              <w:rPr>
                <w:b/>
                <w:color w:val="FFFFFF"/>
                <w:sz w:val="16"/>
              </w:rPr>
              <w:t>Service</w:t>
            </w:r>
          </w:p>
        </w:tc>
        <w:tc>
          <w:tcPr>
            <w:tcW w:type="dxa" w:w="6336"/>
            <w:shd w:fill="183B56"/>
            <w:tcMar>
              <w:top w:w="80" w:type="dxa"/>
              <w:start w:w="80" w:type="dxa"/>
              <w:bottom w:w="80" w:type="dxa"/>
              <w:end w:w="80" w:type="dxa"/>
            </w:tcMar>
          </w:tcPr>
          <w:p>
            <w:r>
              <w:rPr>
                <w:b/>
                <w:color w:val="FFFFFF"/>
                <w:sz w:val="16"/>
              </w:rPr>
              <w:t>Primary responsibility</w:t>
            </w:r>
          </w:p>
        </w:tc>
      </w:tr>
      <w:tr>
        <w:tc>
          <w:tcPr>
            <w:tcW w:type="dxa" w:w="4032"/>
            <w:vAlign w:val="top"/>
            <w:shd w:fill="F4F7F9"/>
            <w:tcMar>
              <w:top w:w="80" w:type="dxa"/>
              <w:start w:w="80" w:type="dxa"/>
              <w:bottom w:w="80" w:type="dxa"/>
              <w:end w:w="80" w:type="dxa"/>
            </w:tcMar>
          </w:tcPr>
          <w:p>
            <w:pPr>
              <w:spacing w:after="20"/>
            </w:pPr>
            <w:r>
              <w:rPr>
                <w:sz w:val="16"/>
              </w:rPr>
              <w:t>AWS Organizations / Control Tower</w:t>
            </w:r>
          </w:p>
        </w:tc>
        <w:tc>
          <w:tcPr>
            <w:tcW w:type="dxa" w:w="6336"/>
            <w:vAlign w:val="top"/>
            <w:shd w:fill="F4F7F9"/>
            <w:tcMar>
              <w:top w:w="80" w:type="dxa"/>
              <w:start w:w="80" w:type="dxa"/>
              <w:bottom w:w="80" w:type="dxa"/>
              <w:end w:w="80" w:type="dxa"/>
            </w:tcMar>
          </w:tcPr>
          <w:p>
            <w:pPr>
              <w:spacing w:after="20"/>
            </w:pPr>
            <w:r>
              <w:rPr>
                <w:sz w:val="16"/>
              </w:rPr>
              <w:t>Account governance and landing zone</w:t>
            </w:r>
          </w:p>
        </w:tc>
      </w:tr>
      <w:tr>
        <w:tc>
          <w:tcPr>
            <w:tcW w:type="dxa" w:w="4032"/>
            <w:vAlign w:val="top"/>
            <w:tcMar>
              <w:top w:w="80" w:type="dxa"/>
              <w:start w:w="80" w:type="dxa"/>
              <w:bottom w:w="80" w:type="dxa"/>
              <w:end w:w="80" w:type="dxa"/>
            </w:tcMar>
          </w:tcPr>
          <w:p>
            <w:pPr>
              <w:spacing w:after="20"/>
            </w:pPr>
            <w:r>
              <w:rPr>
                <w:sz w:val="16"/>
              </w:rPr>
              <w:t>IAM Identity Center</w:t>
            </w:r>
          </w:p>
        </w:tc>
        <w:tc>
          <w:tcPr>
            <w:tcW w:type="dxa" w:w="6336"/>
            <w:vAlign w:val="top"/>
            <w:tcMar>
              <w:top w:w="80" w:type="dxa"/>
              <w:start w:w="80" w:type="dxa"/>
              <w:bottom w:w="80" w:type="dxa"/>
              <w:end w:w="80" w:type="dxa"/>
            </w:tcMar>
          </w:tcPr>
          <w:p>
            <w:pPr>
              <w:spacing w:after="20"/>
            </w:pPr>
            <w:r>
              <w:rPr>
                <w:sz w:val="16"/>
              </w:rPr>
              <w:t>Human AWS access</w:t>
            </w:r>
          </w:p>
        </w:tc>
      </w:tr>
      <w:tr>
        <w:tc>
          <w:tcPr>
            <w:tcW w:type="dxa" w:w="4032"/>
            <w:vAlign w:val="top"/>
            <w:shd w:fill="F4F7F9"/>
            <w:tcMar>
              <w:top w:w="80" w:type="dxa"/>
              <w:start w:w="80" w:type="dxa"/>
              <w:bottom w:w="80" w:type="dxa"/>
              <w:end w:w="80" w:type="dxa"/>
            </w:tcMar>
          </w:tcPr>
          <w:p>
            <w:pPr>
              <w:spacing w:after="20"/>
            </w:pPr>
            <w:r>
              <w:rPr>
                <w:sz w:val="16"/>
              </w:rPr>
              <w:t>Route 53</w:t>
            </w:r>
          </w:p>
        </w:tc>
        <w:tc>
          <w:tcPr>
            <w:tcW w:type="dxa" w:w="6336"/>
            <w:vAlign w:val="top"/>
            <w:shd w:fill="F4F7F9"/>
            <w:tcMar>
              <w:top w:w="80" w:type="dxa"/>
              <w:start w:w="80" w:type="dxa"/>
              <w:bottom w:w="80" w:type="dxa"/>
              <w:end w:w="80" w:type="dxa"/>
            </w:tcMar>
          </w:tcPr>
          <w:p>
            <w:pPr>
              <w:spacing w:after="20"/>
            </w:pPr>
            <w:r>
              <w:rPr>
                <w:sz w:val="16"/>
              </w:rPr>
              <w:t>DNS</w:t>
            </w:r>
          </w:p>
        </w:tc>
      </w:tr>
      <w:tr>
        <w:tc>
          <w:tcPr>
            <w:tcW w:type="dxa" w:w="4032"/>
            <w:vAlign w:val="top"/>
            <w:tcMar>
              <w:top w:w="80" w:type="dxa"/>
              <w:start w:w="80" w:type="dxa"/>
              <w:bottom w:w="80" w:type="dxa"/>
              <w:end w:w="80" w:type="dxa"/>
            </w:tcMar>
          </w:tcPr>
          <w:p>
            <w:pPr>
              <w:spacing w:after="20"/>
            </w:pPr>
            <w:r>
              <w:rPr>
                <w:sz w:val="16"/>
              </w:rPr>
              <w:t>ACM</w:t>
            </w:r>
          </w:p>
        </w:tc>
        <w:tc>
          <w:tcPr>
            <w:tcW w:type="dxa" w:w="6336"/>
            <w:vAlign w:val="top"/>
            <w:tcMar>
              <w:top w:w="80" w:type="dxa"/>
              <w:start w:w="80" w:type="dxa"/>
              <w:bottom w:w="80" w:type="dxa"/>
              <w:end w:w="80" w:type="dxa"/>
            </w:tcMar>
          </w:tcPr>
          <w:p>
            <w:pPr>
              <w:spacing w:after="20"/>
            </w:pPr>
            <w:r>
              <w:rPr>
                <w:sz w:val="16"/>
              </w:rPr>
              <w:t>TLS certificates</w:t>
            </w:r>
          </w:p>
        </w:tc>
      </w:tr>
      <w:tr>
        <w:tc>
          <w:tcPr>
            <w:tcW w:type="dxa" w:w="4032"/>
            <w:vAlign w:val="top"/>
            <w:shd w:fill="F4F7F9"/>
            <w:tcMar>
              <w:top w:w="80" w:type="dxa"/>
              <w:start w:w="80" w:type="dxa"/>
              <w:bottom w:w="80" w:type="dxa"/>
              <w:end w:w="80" w:type="dxa"/>
            </w:tcMar>
          </w:tcPr>
          <w:p>
            <w:pPr>
              <w:spacing w:after="20"/>
            </w:pPr>
            <w:r>
              <w:rPr>
                <w:sz w:val="16"/>
              </w:rPr>
              <w:t>CloudFront</w:t>
            </w:r>
          </w:p>
        </w:tc>
        <w:tc>
          <w:tcPr>
            <w:tcW w:type="dxa" w:w="6336"/>
            <w:vAlign w:val="top"/>
            <w:shd w:fill="F4F7F9"/>
            <w:tcMar>
              <w:top w:w="80" w:type="dxa"/>
              <w:start w:w="80" w:type="dxa"/>
              <w:bottom w:w="80" w:type="dxa"/>
              <w:end w:w="80" w:type="dxa"/>
            </w:tcMar>
          </w:tcPr>
          <w:p>
            <w:pPr>
              <w:spacing w:after="20"/>
            </w:pPr>
            <w:r>
              <w:rPr>
                <w:sz w:val="16"/>
              </w:rPr>
              <w:t>Static/global web delivery</w:t>
            </w:r>
          </w:p>
        </w:tc>
      </w:tr>
      <w:tr>
        <w:tc>
          <w:tcPr>
            <w:tcW w:type="dxa" w:w="4032"/>
            <w:vAlign w:val="top"/>
            <w:tcMar>
              <w:top w:w="80" w:type="dxa"/>
              <w:start w:w="80" w:type="dxa"/>
              <w:bottom w:w="80" w:type="dxa"/>
              <w:end w:w="80" w:type="dxa"/>
            </w:tcMar>
          </w:tcPr>
          <w:p>
            <w:pPr>
              <w:spacing w:after="20"/>
            </w:pPr>
            <w:r>
              <w:rPr>
                <w:sz w:val="16"/>
              </w:rPr>
              <w:t>WAF</w:t>
            </w:r>
          </w:p>
        </w:tc>
        <w:tc>
          <w:tcPr>
            <w:tcW w:type="dxa" w:w="6336"/>
            <w:vAlign w:val="top"/>
            <w:tcMar>
              <w:top w:w="80" w:type="dxa"/>
              <w:start w:w="80" w:type="dxa"/>
              <w:bottom w:w="80" w:type="dxa"/>
              <w:end w:w="80" w:type="dxa"/>
            </w:tcMar>
          </w:tcPr>
          <w:p>
            <w:pPr>
              <w:spacing w:after="20"/>
            </w:pPr>
            <w:r>
              <w:rPr>
                <w:sz w:val="16"/>
              </w:rPr>
              <w:t>Layer-7 security/rate controls</w:t>
            </w:r>
          </w:p>
        </w:tc>
      </w:tr>
      <w:tr>
        <w:tc>
          <w:tcPr>
            <w:tcW w:type="dxa" w:w="4032"/>
            <w:vAlign w:val="top"/>
            <w:shd w:fill="F4F7F9"/>
            <w:tcMar>
              <w:top w:w="80" w:type="dxa"/>
              <w:start w:w="80" w:type="dxa"/>
              <w:bottom w:w="80" w:type="dxa"/>
              <w:end w:w="80" w:type="dxa"/>
            </w:tcMar>
          </w:tcPr>
          <w:p>
            <w:pPr>
              <w:spacing w:after="20"/>
            </w:pPr>
            <w:r>
              <w:rPr>
                <w:sz w:val="16"/>
              </w:rPr>
              <w:t>Shield Standard</w:t>
            </w:r>
          </w:p>
        </w:tc>
        <w:tc>
          <w:tcPr>
            <w:tcW w:type="dxa" w:w="6336"/>
            <w:vAlign w:val="top"/>
            <w:shd w:fill="F4F7F9"/>
            <w:tcMar>
              <w:top w:w="80" w:type="dxa"/>
              <w:start w:w="80" w:type="dxa"/>
              <w:bottom w:w="80" w:type="dxa"/>
              <w:end w:w="80" w:type="dxa"/>
            </w:tcMar>
          </w:tcPr>
          <w:p>
            <w:pPr>
              <w:spacing w:after="20"/>
            </w:pPr>
            <w:r>
              <w:rPr>
                <w:sz w:val="16"/>
              </w:rPr>
              <w:t>Baseline DDoS protection</w:t>
            </w:r>
          </w:p>
        </w:tc>
      </w:tr>
      <w:tr>
        <w:tc>
          <w:tcPr>
            <w:tcW w:type="dxa" w:w="4032"/>
            <w:vAlign w:val="top"/>
            <w:tcMar>
              <w:top w:w="80" w:type="dxa"/>
              <w:start w:w="80" w:type="dxa"/>
              <w:bottom w:w="80" w:type="dxa"/>
              <w:end w:w="80" w:type="dxa"/>
            </w:tcMar>
          </w:tcPr>
          <w:p>
            <w:pPr>
              <w:spacing w:after="20"/>
            </w:pPr>
            <w:r>
              <w:rPr>
                <w:sz w:val="16"/>
              </w:rPr>
              <w:t>VPC / Regional NAT</w:t>
            </w:r>
          </w:p>
        </w:tc>
        <w:tc>
          <w:tcPr>
            <w:tcW w:type="dxa" w:w="6336"/>
            <w:vAlign w:val="top"/>
            <w:tcMar>
              <w:top w:w="80" w:type="dxa"/>
              <w:start w:w="80" w:type="dxa"/>
              <w:bottom w:w="80" w:type="dxa"/>
              <w:end w:w="80" w:type="dxa"/>
            </w:tcMar>
          </w:tcPr>
          <w:p>
            <w:pPr>
              <w:spacing w:after="20"/>
            </w:pPr>
            <w:r>
              <w:rPr>
                <w:sz w:val="16"/>
              </w:rPr>
              <w:t>Private networking/outbound provider access</w:t>
            </w:r>
          </w:p>
        </w:tc>
      </w:tr>
      <w:tr>
        <w:tc>
          <w:tcPr>
            <w:tcW w:type="dxa" w:w="4032"/>
            <w:vAlign w:val="top"/>
            <w:shd w:fill="F4F7F9"/>
            <w:tcMar>
              <w:top w:w="80" w:type="dxa"/>
              <w:start w:w="80" w:type="dxa"/>
              <w:bottom w:w="80" w:type="dxa"/>
              <w:end w:w="80" w:type="dxa"/>
            </w:tcMar>
          </w:tcPr>
          <w:p>
            <w:pPr>
              <w:spacing w:after="20"/>
            </w:pPr>
            <w:r>
              <w:rPr>
                <w:sz w:val="16"/>
              </w:rPr>
              <w:t>ECS Fargate</w:t>
            </w:r>
          </w:p>
        </w:tc>
        <w:tc>
          <w:tcPr>
            <w:tcW w:type="dxa" w:w="6336"/>
            <w:vAlign w:val="top"/>
            <w:shd w:fill="F4F7F9"/>
            <w:tcMar>
              <w:top w:w="80" w:type="dxa"/>
              <w:start w:w="80" w:type="dxa"/>
              <w:bottom w:w="80" w:type="dxa"/>
              <w:end w:w="80" w:type="dxa"/>
            </w:tcMar>
          </w:tcPr>
          <w:p>
            <w:pPr>
              <w:spacing w:after="20"/>
            </w:pPr>
            <w:r>
              <w:rPr>
                <w:sz w:val="16"/>
              </w:rPr>
              <w:t>API and durable workers</w:t>
            </w:r>
          </w:p>
        </w:tc>
      </w:tr>
      <w:tr>
        <w:tc>
          <w:tcPr>
            <w:tcW w:type="dxa" w:w="4032"/>
            <w:vAlign w:val="top"/>
            <w:tcMar>
              <w:top w:w="80" w:type="dxa"/>
              <w:start w:w="80" w:type="dxa"/>
              <w:bottom w:w="80" w:type="dxa"/>
              <w:end w:w="80" w:type="dxa"/>
            </w:tcMar>
          </w:tcPr>
          <w:p>
            <w:pPr>
              <w:spacing w:after="20"/>
            </w:pPr>
            <w:r>
              <w:rPr>
                <w:sz w:val="16"/>
              </w:rPr>
              <w:t>API Gateway</w:t>
            </w:r>
          </w:p>
        </w:tc>
        <w:tc>
          <w:tcPr>
            <w:tcW w:type="dxa" w:w="6336"/>
            <w:vAlign w:val="top"/>
            <w:tcMar>
              <w:top w:w="80" w:type="dxa"/>
              <w:start w:w="80" w:type="dxa"/>
              <w:bottom w:w="80" w:type="dxa"/>
              <w:end w:w="80" w:type="dxa"/>
            </w:tcMar>
          </w:tcPr>
          <w:p>
            <w:pPr>
              <w:spacing w:after="20"/>
            </w:pPr>
            <w:r>
              <w:rPr>
                <w:sz w:val="16"/>
              </w:rPr>
              <w:t>Webhook edge</w:t>
            </w:r>
          </w:p>
        </w:tc>
      </w:tr>
      <w:tr>
        <w:tc>
          <w:tcPr>
            <w:tcW w:type="dxa" w:w="4032"/>
            <w:vAlign w:val="top"/>
            <w:shd w:fill="F4F7F9"/>
            <w:tcMar>
              <w:top w:w="80" w:type="dxa"/>
              <w:start w:w="80" w:type="dxa"/>
              <w:bottom w:w="80" w:type="dxa"/>
              <w:end w:w="80" w:type="dxa"/>
            </w:tcMar>
          </w:tcPr>
          <w:p>
            <w:pPr>
              <w:spacing w:after="20"/>
            </w:pPr>
            <w:r>
              <w:rPr>
                <w:sz w:val="16"/>
              </w:rPr>
              <w:t>Lambda</w:t>
            </w:r>
          </w:p>
        </w:tc>
        <w:tc>
          <w:tcPr>
            <w:tcW w:type="dxa" w:w="6336"/>
            <w:vAlign w:val="top"/>
            <w:shd w:fill="F4F7F9"/>
            <w:tcMar>
              <w:top w:w="80" w:type="dxa"/>
              <w:start w:w="80" w:type="dxa"/>
              <w:bottom w:w="80" w:type="dxa"/>
              <w:end w:w="80" w:type="dxa"/>
            </w:tcMar>
          </w:tcPr>
          <w:p>
            <w:pPr>
              <w:spacing w:after="20"/>
            </w:pPr>
            <w:r>
              <w:rPr>
                <w:sz w:val="16"/>
              </w:rPr>
              <w:t>Webhook validation and short event handlers</w:t>
            </w:r>
          </w:p>
        </w:tc>
      </w:tr>
      <w:tr>
        <w:tc>
          <w:tcPr>
            <w:tcW w:type="dxa" w:w="4032"/>
            <w:vAlign w:val="top"/>
            <w:tcMar>
              <w:top w:w="80" w:type="dxa"/>
              <w:start w:w="80" w:type="dxa"/>
              <w:bottom w:w="80" w:type="dxa"/>
              <w:end w:w="80" w:type="dxa"/>
            </w:tcMar>
          </w:tcPr>
          <w:p>
            <w:pPr>
              <w:spacing w:after="20"/>
            </w:pPr>
            <w:r>
              <w:rPr>
                <w:sz w:val="16"/>
              </w:rPr>
              <w:t>ECR</w:t>
            </w:r>
          </w:p>
        </w:tc>
        <w:tc>
          <w:tcPr>
            <w:tcW w:type="dxa" w:w="6336"/>
            <w:vAlign w:val="top"/>
            <w:tcMar>
              <w:top w:w="80" w:type="dxa"/>
              <w:start w:w="80" w:type="dxa"/>
              <w:bottom w:w="80" w:type="dxa"/>
              <w:end w:w="80" w:type="dxa"/>
            </w:tcMar>
          </w:tcPr>
          <w:p>
            <w:pPr>
              <w:spacing w:after="20"/>
            </w:pPr>
            <w:r>
              <w:rPr>
                <w:sz w:val="16"/>
              </w:rPr>
              <w:t>Container registry</w:t>
            </w:r>
          </w:p>
        </w:tc>
      </w:tr>
      <w:tr>
        <w:tc>
          <w:tcPr>
            <w:tcW w:type="dxa" w:w="4032"/>
            <w:vAlign w:val="top"/>
            <w:shd w:fill="F4F7F9"/>
            <w:tcMar>
              <w:top w:w="80" w:type="dxa"/>
              <w:start w:w="80" w:type="dxa"/>
              <w:bottom w:w="80" w:type="dxa"/>
              <w:end w:w="80" w:type="dxa"/>
            </w:tcMar>
          </w:tcPr>
          <w:p>
            <w:pPr>
              <w:spacing w:after="20"/>
            </w:pPr>
            <w:r>
              <w:rPr>
                <w:sz w:val="16"/>
              </w:rPr>
              <w:t>Aurora PostgreSQL Serverless v2</w:t>
            </w:r>
          </w:p>
        </w:tc>
        <w:tc>
          <w:tcPr>
            <w:tcW w:type="dxa" w:w="6336"/>
            <w:vAlign w:val="top"/>
            <w:shd w:fill="F4F7F9"/>
            <w:tcMar>
              <w:top w:w="80" w:type="dxa"/>
              <w:start w:w="80" w:type="dxa"/>
              <w:bottom w:w="80" w:type="dxa"/>
              <w:end w:w="80" w:type="dxa"/>
            </w:tcMar>
          </w:tcPr>
          <w:p>
            <w:pPr>
              <w:spacing w:after="20"/>
            </w:pPr>
            <w:r>
              <w:rPr>
                <w:sz w:val="16"/>
              </w:rPr>
              <w:t>Primary relational database</w:t>
            </w:r>
          </w:p>
        </w:tc>
      </w:tr>
      <w:tr>
        <w:tc>
          <w:tcPr>
            <w:tcW w:type="dxa" w:w="4032"/>
            <w:vAlign w:val="top"/>
            <w:tcMar>
              <w:top w:w="80" w:type="dxa"/>
              <w:start w:w="80" w:type="dxa"/>
              <w:bottom w:w="80" w:type="dxa"/>
              <w:end w:w="80" w:type="dxa"/>
            </w:tcMar>
          </w:tcPr>
          <w:p>
            <w:pPr>
              <w:spacing w:after="20"/>
            </w:pPr>
            <w:r>
              <w:rPr>
                <w:sz w:val="16"/>
              </w:rPr>
              <w:t>RDS Proxy</w:t>
            </w:r>
          </w:p>
        </w:tc>
        <w:tc>
          <w:tcPr>
            <w:tcW w:type="dxa" w:w="6336"/>
            <w:vAlign w:val="top"/>
            <w:tcMar>
              <w:top w:w="80" w:type="dxa"/>
              <w:start w:w="80" w:type="dxa"/>
              <w:bottom w:w="80" w:type="dxa"/>
              <w:end w:w="80" w:type="dxa"/>
            </w:tcMar>
          </w:tcPr>
          <w:p>
            <w:pPr>
              <w:spacing w:after="20"/>
            </w:pPr>
            <w:r>
              <w:rPr>
                <w:sz w:val="16"/>
              </w:rPr>
              <w:t>Database connection pool/failover assistance</w:t>
            </w:r>
          </w:p>
        </w:tc>
      </w:tr>
      <w:tr>
        <w:tc>
          <w:tcPr>
            <w:tcW w:type="dxa" w:w="4032"/>
            <w:vAlign w:val="top"/>
            <w:shd w:fill="F4F7F9"/>
            <w:tcMar>
              <w:top w:w="80" w:type="dxa"/>
              <w:start w:w="80" w:type="dxa"/>
              <w:bottom w:w="80" w:type="dxa"/>
              <w:end w:w="80" w:type="dxa"/>
            </w:tcMar>
          </w:tcPr>
          <w:p>
            <w:pPr>
              <w:spacing w:after="20"/>
            </w:pPr>
            <w:r>
              <w:rPr>
                <w:sz w:val="16"/>
              </w:rPr>
              <w:t>ElastiCache Valkey Serverless</w:t>
            </w:r>
          </w:p>
        </w:tc>
        <w:tc>
          <w:tcPr>
            <w:tcW w:type="dxa" w:w="6336"/>
            <w:vAlign w:val="top"/>
            <w:shd w:fill="F4F7F9"/>
            <w:tcMar>
              <w:top w:w="80" w:type="dxa"/>
              <w:start w:w="80" w:type="dxa"/>
              <w:bottom w:w="80" w:type="dxa"/>
              <w:end w:w="80" w:type="dxa"/>
            </w:tcMar>
          </w:tcPr>
          <w:p>
            <w:pPr>
              <w:spacing w:after="20"/>
            </w:pPr>
            <w:r>
              <w:rPr>
                <w:sz w:val="16"/>
              </w:rPr>
              <w:t>Cache/locks/rate state</w:t>
            </w:r>
          </w:p>
        </w:tc>
      </w:tr>
      <w:tr>
        <w:tc>
          <w:tcPr>
            <w:tcW w:type="dxa" w:w="4032"/>
            <w:vAlign w:val="top"/>
            <w:tcMar>
              <w:top w:w="80" w:type="dxa"/>
              <w:start w:w="80" w:type="dxa"/>
              <w:bottom w:w="80" w:type="dxa"/>
              <w:end w:w="80" w:type="dxa"/>
            </w:tcMar>
          </w:tcPr>
          <w:p>
            <w:pPr>
              <w:spacing w:after="20"/>
            </w:pPr>
            <w:r>
              <w:rPr>
                <w:sz w:val="16"/>
              </w:rPr>
              <w:t>S3</w:t>
            </w:r>
          </w:p>
        </w:tc>
        <w:tc>
          <w:tcPr>
            <w:tcW w:type="dxa" w:w="6336"/>
            <w:vAlign w:val="top"/>
            <w:tcMar>
              <w:top w:w="80" w:type="dxa"/>
              <w:start w:w="80" w:type="dxa"/>
              <w:bottom w:w="80" w:type="dxa"/>
              <w:end w:w="80" w:type="dxa"/>
            </w:tcMar>
          </w:tcPr>
          <w:p>
            <w:pPr>
              <w:spacing w:after="20"/>
            </w:pPr>
            <w:r>
              <w:rPr>
                <w:sz w:val="16"/>
              </w:rPr>
              <w:t>Files, attachments, raw/derived data</w:t>
            </w:r>
          </w:p>
        </w:tc>
      </w:tr>
      <w:tr>
        <w:tc>
          <w:tcPr>
            <w:tcW w:type="dxa" w:w="4032"/>
            <w:vAlign w:val="top"/>
            <w:shd w:fill="F4F7F9"/>
            <w:tcMar>
              <w:top w:w="80" w:type="dxa"/>
              <w:start w:w="80" w:type="dxa"/>
              <w:bottom w:w="80" w:type="dxa"/>
              <w:end w:w="80" w:type="dxa"/>
            </w:tcMar>
          </w:tcPr>
          <w:p>
            <w:pPr>
              <w:spacing w:after="20"/>
            </w:pPr>
            <w:r>
              <w:rPr>
                <w:sz w:val="16"/>
              </w:rPr>
              <w:t>SQS</w:t>
            </w:r>
          </w:p>
        </w:tc>
        <w:tc>
          <w:tcPr>
            <w:tcW w:type="dxa" w:w="6336"/>
            <w:vAlign w:val="top"/>
            <w:shd w:fill="F4F7F9"/>
            <w:tcMar>
              <w:top w:w="80" w:type="dxa"/>
              <w:start w:w="80" w:type="dxa"/>
              <w:bottom w:w="80" w:type="dxa"/>
              <w:end w:w="80" w:type="dxa"/>
            </w:tcMar>
          </w:tcPr>
          <w:p>
            <w:pPr>
              <w:spacing w:after="20"/>
            </w:pPr>
            <w:r>
              <w:rPr>
                <w:sz w:val="16"/>
              </w:rPr>
              <w:t>Durable asynchronous jobs</w:t>
            </w:r>
          </w:p>
        </w:tc>
      </w:tr>
      <w:tr>
        <w:tc>
          <w:tcPr>
            <w:tcW w:type="dxa" w:w="4032"/>
            <w:vAlign w:val="top"/>
            <w:tcMar>
              <w:top w:w="80" w:type="dxa"/>
              <w:start w:w="80" w:type="dxa"/>
              <w:bottom w:w="80" w:type="dxa"/>
              <w:end w:w="80" w:type="dxa"/>
            </w:tcMar>
          </w:tcPr>
          <w:p>
            <w:pPr>
              <w:spacing w:after="20"/>
            </w:pPr>
            <w:r>
              <w:rPr>
                <w:sz w:val="16"/>
              </w:rPr>
              <w:t>EventBridge</w:t>
            </w:r>
          </w:p>
        </w:tc>
        <w:tc>
          <w:tcPr>
            <w:tcW w:type="dxa" w:w="6336"/>
            <w:vAlign w:val="top"/>
            <w:tcMar>
              <w:top w:w="80" w:type="dxa"/>
              <w:start w:w="80" w:type="dxa"/>
              <w:bottom w:w="80" w:type="dxa"/>
              <w:end w:w="80" w:type="dxa"/>
            </w:tcMar>
          </w:tcPr>
          <w:p>
            <w:pPr>
              <w:spacing w:after="20"/>
            </w:pPr>
            <w:r>
              <w:rPr>
                <w:sz w:val="16"/>
              </w:rPr>
              <w:t>Domain events</w:t>
            </w:r>
          </w:p>
        </w:tc>
      </w:tr>
      <w:tr>
        <w:tc>
          <w:tcPr>
            <w:tcW w:type="dxa" w:w="4032"/>
            <w:vAlign w:val="top"/>
            <w:shd w:fill="F4F7F9"/>
            <w:tcMar>
              <w:top w:w="80" w:type="dxa"/>
              <w:start w:w="80" w:type="dxa"/>
              <w:bottom w:w="80" w:type="dxa"/>
              <w:end w:w="80" w:type="dxa"/>
            </w:tcMar>
          </w:tcPr>
          <w:p>
            <w:pPr>
              <w:spacing w:after="20"/>
            </w:pPr>
            <w:r>
              <w:rPr>
                <w:sz w:val="16"/>
              </w:rPr>
              <w:t>EventBridge Scheduler</w:t>
            </w:r>
          </w:p>
        </w:tc>
        <w:tc>
          <w:tcPr>
            <w:tcW w:type="dxa" w:w="6336"/>
            <w:vAlign w:val="top"/>
            <w:shd w:fill="F4F7F9"/>
            <w:tcMar>
              <w:top w:w="80" w:type="dxa"/>
              <w:start w:w="80" w:type="dxa"/>
              <w:bottom w:w="80" w:type="dxa"/>
              <w:end w:w="80" w:type="dxa"/>
            </w:tcMar>
          </w:tcPr>
          <w:p>
            <w:pPr>
              <w:spacing w:after="20"/>
            </w:pPr>
            <w:r>
              <w:rPr>
                <w:sz w:val="16"/>
              </w:rPr>
              <w:t>Future/recurring jobs</w:t>
            </w:r>
          </w:p>
        </w:tc>
      </w:tr>
      <w:tr>
        <w:tc>
          <w:tcPr>
            <w:tcW w:type="dxa" w:w="4032"/>
            <w:vAlign w:val="top"/>
            <w:tcMar>
              <w:top w:w="80" w:type="dxa"/>
              <w:start w:w="80" w:type="dxa"/>
              <w:bottom w:w="80" w:type="dxa"/>
              <w:end w:w="80" w:type="dxa"/>
            </w:tcMar>
          </w:tcPr>
          <w:p>
            <w:pPr>
              <w:spacing w:after="20"/>
            </w:pPr>
            <w:r>
              <w:rPr>
                <w:sz w:val="16"/>
              </w:rPr>
              <w:t>KMS</w:t>
            </w:r>
          </w:p>
        </w:tc>
        <w:tc>
          <w:tcPr>
            <w:tcW w:type="dxa" w:w="6336"/>
            <w:vAlign w:val="top"/>
            <w:tcMar>
              <w:top w:w="80" w:type="dxa"/>
              <w:start w:w="80" w:type="dxa"/>
              <w:bottom w:w="80" w:type="dxa"/>
              <w:end w:w="80" w:type="dxa"/>
            </w:tcMar>
          </w:tcPr>
          <w:p>
            <w:pPr>
              <w:spacing w:after="20"/>
            </w:pPr>
            <w:r>
              <w:rPr>
                <w:sz w:val="16"/>
              </w:rPr>
              <w:t>Encryption keys</w:t>
            </w:r>
          </w:p>
        </w:tc>
      </w:tr>
      <w:tr>
        <w:tc>
          <w:tcPr>
            <w:tcW w:type="dxa" w:w="4032"/>
            <w:vAlign w:val="top"/>
            <w:shd w:fill="F4F7F9"/>
            <w:tcMar>
              <w:top w:w="80" w:type="dxa"/>
              <w:start w:w="80" w:type="dxa"/>
              <w:bottom w:w="80" w:type="dxa"/>
              <w:end w:w="80" w:type="dxa"/>
            </w:tcMar>
          </w:tcPr>
          <w:p>
            <w:pPr>
              <w:spacing w:after="20"/>
            </w:pPr>
            <w:r>
              <w:rPr>
                <w:sz w:val="16"/>
              </w:rPr>
              <w:t>Secrets Manager</w:t>
            </w:r>
          </w:p>
        </w:tc>
        <w:tc>
          <w:tcPr>
            <w:tcW w:type="dxa" w:w="6336"/>
            <w:vAlign w:val="top"/>
            <w:shd w:fill="F4F7F9"/>
            <w:tcMar>
              <w:top w:w="80" w:type="dxa"/>
              <w:start w:w="80" w:type="dxa"/>
              <w:bottom w:w="80" w:type="dxa"/>
              <w:end w:w="80" w:type="dxa"/>
            </w:tcMar>
          </w:tcPr>
          <w:p>
            <w:pPr>
              <w:spacing w:after="20"/>
            </w:pPr>
            <w:r>
              <w:rPr>
                <w:sz w:val="16"/>
              </w:rPr>
              <w:t>Service/provider secrets</w:t>
            </w:r>
          </w:p>
        </w:tc>
      </w:tr>
      <w:tr>
        <w:tc>
          <w:tcPr>
            <w:tcW w:type="dxa" w:w="4032"/>
            <w:vAlign w:val="top"/>
            <w:tcMar>
              <w:top w:w="80" w:type="dxa"/>
              <w:start w:w="80" w:type="dxa"/>
              <w:bottom w:w="80" w:type="dxa"/>
              <w:end w:w="80" w:type="dxa"/>
            </w:tcMar>
          </w:tcPr>
          <w:p>
            <w:pPr>
              <w:spacing w:after="20"/>
            </w:pPr>
            <w:r>
              <w:rPr>
                <w:sz w:val="16"/>
              </w:rPr>
              <w:t>Cognito</w:t>
            </w:r>
          </w:p>
        </w:tc>
        <w:tc>
          <w:tcPr>
            <w:tcW w:type="dxa" w:w="6336"/>
            <w:vAlign w:val="top"/>
            <w:tcMar>
              <w:top w:w="80" w:type="dxa"/>
              <w:start w:w="80" w:type="dxa"/>
              <w:bottom w:w="80" w:type="dxa"/>
              <w:end w:w="80" w:type="dxa"/>
            </w:tcMar>
          </w:tcPr>
          <w:p>
            <w:pPr>
              <w:spacing w:after="20"/>
            </w:pPr>
            <w:r>
              <w:rPr>
                <w:sz w:val="16"/>
              </w:rPr>
              <w:t>Consumer authentication</w:t>
            </w:r>
          </w:p>
        </w:tc>
      </w:tr>
      <w:tr>
        <w:tc>
          <w:tcPr>
            <w:tcW w:type="dxa" w:w="4032"/>
            <w:vAlign w:val="top"/>
            <w:shd w:fill="F4F7F9"/>
            <w:tcMar>
              <w:top w:w="80" w:type="dxa"/>
              <w:start w:w="80" w:type="dxa"/>
              <w:bottom w:w="80" w:type="dxa"/>
              <w:end w:w="80" w:type="dxa"/>
            </w:tcMar>
          </w:tcPr>
          <w:p>
            <w:pPr>
              <w:spacing w:after="20"/>
            </w:pPr>
            <w:r>
              <w:rPr>
                <w:sz w:val="16"/>
              </w:rPr>
              <w:t>SES</w:t>
            </w:r>
          </w:p>
        </w:tc>
        <w:tc>
          <w:tcPr>
            <w:tcW w:type="dxa" w:w="6336"/>
            <w:vAlign w:val="top"/>
            <w:shd w:fill="F4F7F9"/>
            <w:tcMar>
              <w:top w:w="80" w:type="dxa"/>
              <w:start w:w="80" w:type="dxa"/>
              <w:bottom w:w="80" w:type="dxa"/>
              <w:end w:w="80" w:type="dxa"/>
            </w:tcMar>
          </w:tcPr>
          <w:p>
            <w:pPr>
              <w:spacing w:after="20"/>
            </w:pPr>
            <w:r>
              <w:rPr>
                <w:sz w:val="16"/>
              </w:rPr>
              <w:t>Transactional email</w:t>
            </w:r>
          </w:p>
        </w:tc>
      </w:tr>
      <w:tr>
        <w:tc>
          <w:tcPr>
            <w:tcW w:type="dxa" w:w="4032"/>
            <w:vAlign w:val="top"/>
            <w:tcMar>
              <w:top w:w="80" w:type="dxa"/>
              <w:start w:w="80" w:type="dxa"/>
              <w:bottom w:w="80" w:type="dxa"/>
              <w:end w:w="80" w:type="dxa"/>
            </w:tcMar>
          </w:tcPr>
          <w:p>
            <w:pPr>
              <w:spacing w:after="20"/>
            </w:pPr>
            <w:r>
              <w:rPr>
                <w:sz w:val="16"/>
              </w:rPr>
              <w:t>CloudWatch</w:t>
            </w:r>
          </w:p>
        </w:tc>
        <w:tc>
          <w:tcPr>
            <w:tcW w:type="dxa" w:w="6336"/>
            <w:vAlign w:val="top"/>
            <w:tcMar>
              <w:top w:w="80" w:type="dxa"/>
              <w:start w:w="80" w:type="dxa"/>
              <w:bottom w:w="80" w:type="dxa"/>
              <w:end w:w="80" w:type="dxa"/>
            </w:tcMar>
          </w:tcPr>
          <w:p>
            <w:pPr>
              <w:spacing w:after="20"/>
            </w:pPr>
            <w:r>
              <w:rPr>
                <w:sz w:val="16"/>
              </w:rPr>
              <w:t>Logs/metrics/alarms</w:t>
            </w:r>
          </w:p>
        </w:tc>
      </w:tr>
      <w:tr>
        <w:tc>
          <w:tcPr>
            <w:tcW w:type="dxa" w:w="4032"/>
            <w:vAlign w:val="top"/>
            <w:shd w:fill="F4F7F9"/>
            <w:tcMar>
              <w:top w:w="80" w:type="dxa"/>
              <w:start w:w="80" w:type="dxa"/>
              <w:bottom w:w="80" w:type="dxa"/>
              <w:end w:w="80" w:type="dxa"/>
            </w:tcMar>
          </w:tcPr>
          <w:p>
            <w:pPr>
              <w:spacing w:after="20"/>
            </w:pPr>
            <w:r>
              <w:rPr>
                <w:sz w:val="16"/>
              </w:rPr>
              <w:t>GuardDuty</w:t>
            </w:r>
          </w:p>
        </w:tc>
        <w:tc>
          <w:tcPr>
            <w:tcW w:type="dxa" w:w="6336"/>
            <w:vAlign w:val="top"/>
            <w:shd w:fill="F4F7F9"/>
            <w:tcMar>
              <w:top w:w="80" w:type="dxa"/>
              <w:start w:w="80" w:type="dxa"/>
              <w:bottom w:w="80" w:type="dxa"/>
              <w:end w:w="80" w:type="dxa"/>
            </w:tcMar>
          </w:tcPr>
          <w:p>
            <w:pPr>
              <w:spacing w:after="20"/>
            </w:pPr>
            <w:r>
              <w:rPr>
                <w:sz w:val="16"/>
              </w:rPr>
              <w:t>Threat detection</w:t>
            </w:r>
          </w:p>
        </w:tc>
      </w:tr>
      <w:tr>
        <w:tc>
          <w:tcPr>
            <w:tcW w:type="dxa" w:w="4032"/>
            <w:vAlign w:val="top"/>
            <w:tcMar>
              <w:top w:w="80" w:type="dxa"/>
              <w:start w:w="80" w:type="dxa"/>
              <w:bottom w:w="80" w:type="dxa"/>
              <w:end w:w="80" w:type="dxa"/>
            </w:tcMar>
          </w:tcPr>
          <w:p>
            <w:pPr>
              <w:spacing w:after="20"/>
            </w:pPr>
            <w:r>
              <w:rPr>
                <w:sz w:val="16"/>
              </w:rPr>
              <w:t>Security Hub</w:t>
            </w:r>
          </w:p>
        </w:tc>
        <w:tc>
          <w:tcPr>
            <w:tcW w:type="dxa" w:w="6336"/>
            <w:vAlign w:val="top"/>
            <w:tcMar>
              <w:top w:w="80" w:type="dxa"/>
              <w:start w:w="80" w:type="dxa"/>
              <w:bottom w:w="80" w:type="dxa"/>
              <w:end w:w="80" w:type="dxa"/>
            </w:tcMar>
          </w:tcPr>
          <w:p>
            <w:pPr>
              <w:spacing w:after="20"/>
            </w:pPr>
            <w:r>
              <w:rPr>
                <w:sz w:val="16"/>
              </w:rPr>
              <w:t>Security posture/findings</w:t>
            </w:r>
          </w:p>
        </w:tc>
      </w:tr>
      <w:tr>
        <w:tc>
          <w:tcPr>
            <w:tcW w:type="dxa" w:w="4032"/>
            <w:vAlign w:val="top"/>
            <w:shd w:fill="F4F7F9"/>
            <w:tcMar>
              <w:top w:w="80" w:type="dxa"/>
              <w:start w:w="80" w:type="dxa"/>
              <w:bottom w:w="80" w:type="dxa"/>
              <w:end w:w="80" w:type="dxa"/>
            </w:tcMar>
          </w:tcPr>
          <w:p>
            <w:pPr>
              <w:spacing w:after="20"/>
            </w:pPr>
            <w:r>
              <w:rPr>
                <w:sz w:val="16"/>
              </w:rPr>
              <w:t>Inspector</w:t>
            </w:r>
          </w:p>
        </w:tc>
        <w:tc>
          <w:tcPr>
            <w:tcW w:type="dxa" w:w="6336"/>
            <w:vAlign w:val="top"/>
            <w:shd w:fill="F4F7F9"/>
            <w:tcMar>
              <w:top w:w="80" w:type="dxa"/>
              <w:start w:w="80" w:type="dxa"/>
              <w:bottom w:w="80" w:type="dxa"/>
              <w:end w:w="80" w:type="dxa"/>
            </w:tcMar>
          </w:tcPr>
          <w:p>
            <w:pPr>
              <w:spacing w:after="20"/>
            </w:pPr>
            <w:r>
              <w:rPr>
                <w:sz w:val="16"/>
              </w:rPr>
              <w:t>Vulnerability scanning</w:t>
            </w:r>
          </w:p>
        </w:tc>
      </w:tr>
      <w:tr>
        <w:tc>
          <w:tcPr>
            <w:tcW w:type="dxa" w:w="4032"/>
            <w:vAlign w:val="top"/>
            <w:tcMar>
              <w:top w:w="80" w:type="dxa"/>
              <w:start w:w="80" w:type="dxa"/>
              <w:bottom w:w="80" w:type="dxa"/>
              <w:end w:w="80" w:type="dxa"/>
            </w:tcMar>
          </w:tcPr>
          <w:p>
            <w:pPr>
              <w:spacing w:after="20"/>
            </w:pPr>
            <w:r>
              <w:rPr>
                <w:sz w:val="16"/>
              </w:rPr>
              <w:t>Config / CloudTrail</w:t>
            </w:r>
          </w:p>
        </w:tc>
        <w:tc>
          <w:tcPr>
            <w:tcW w:type="dxa" w:w="6336"/>
            <w:vAlign w:val="top"/>
            <w:tcMar>
              <w:top w:w="80" w:type="dxa"/>
              <w:start w:w="80" w:type="dxa"/>
              <w:bottom w:w="80" w:type="dxa"/>
              <w:end w:w="80" w:type="dxa"/>
            </w:tcMar>
          </w:tcPr>
          <w:p>
            <w:pPr>
              <w:spacing w:after="20"/>
            </w:pPr>
            <w:r>
              <w:rPr>
                <w:sz w:val="16"/>
              </w:rPr>
              <w:t>Configuration and audit history</w:t>
            </w:r>
          </w:p>
        </w:tc>
      </w:tr>
      <w:tr>
        <w:tc>
          <w:tcPr>
            <w:tcW w:type="dxa" w:w="4032"/>
            <w:vAlign w:val="top"/>
            <w:shd w:fill="F4F7F9"/>
            <w:tcMar>
              <w:top w:w="80" w:type="dxa"/>
              <w:start w:w="80" w:type="dxa"/>
              <w:bottom w:w="80" w:type="dxa"/>
              <w:end w:w="80" w:type="dxa"/>
            </w:tcMar>
          </w:tcPr>
          <w:p>
            <w:pPr>
              <w:spacing w:after="20"/>
            </w:pPr>
            <w:r>
              <w:rPr>
                <w:sz w:val="16"/>
              </w:rPr>
              <w:t>AWS Backup</w:t>
            </w:r>
          </w:p>
        </w:tc>
        <w:tc>
          <w:tcPr>
            <w:tcW w:type="dxa" w:w="6336"/>
            <w:vAlign w:val="top"/>
            <w:shd w:fill="F4F7F9"/>
            <w:tcMar>
              <w:top w:w="80" w:type="dxa"/>
              <w:start w:w="80" w:type="dxa"/>
              <w:bottom w:w="80" w:type="dxa"/>
              <w:end w:w="80" w:type="dxa"/>
            </w:tcMar>
          </w:tcPr>
          <w:p>
            <w:pPr>
              <w:spacing w:after="20"/>
            </w:pPr>
            <w:r>
              <w:rPr>
                <w:sz w:val="16"/>
              </w:rPr>
              <w:t>Cross-account/cross-region backup policy</w:t>
            </w:r>
          </w:p>
        </w:tc>
      </w:tr>
      <w:tr>
        <w:tc>
          <w:tcPr>
            <w:tcW w:type="dxa" w:w="4032"/>
            <w:vAlign w:val="top"/>
            <w:tcMar>
              <w:top w:w="80" w:type="dxa"/>
              <w:start w:w="80" w:type="dxa"/>
              <w:bottom w:w="80" w:type="dxa"/>
              <w:end w:w="80" w:type="dxa"/>
            </w:tcMar>
          </w:tcPr>
          <w:p>
            <w:pPr>
              <w:spacing w:after="20"/>
            </w:pPr>
            <w:r>
              <w:rPr>
                <w:sz w:val="16"/>
              </w:rPr>
              <w:t>RevenueCat</w:t>
            </w:r>
          </w:p>
        </w:tc>
        <w:tc>
          <w:tcPr>
            <w:tcW w:type="dxa" w:w="6336"/>
            <w:vAlign w:val="top"/>
            <w:tcMar>
              <w:top w:w="80" w:type="dxa"/>
              <w:start w:w="80" w:type="dxa"/>
              <w:bottom w:w="80" w:type="dxa"/>
              <w:end w:w="80" w:type="dxa"/>
            </w:tcMar>
          </w:tcPr>
          <w:p>
            <w:pPr>
              <w:spacing w:after="20"/>
            </w:pPr>
            <w:r>
              <w:rPr>
                <w:sz w:val="16"/>
              </w:rPr>
              <w:t>Cross-store subscription entitlements</w:t>
            </w:r>
          </w:p>
        </w:tc>
      </w:tr>
      <w:tr>
        <w:tc>
          <w:tcPr>
            <w:tcW w:type="dxa" w:w="4032"/>
            <w:vAlign w:val="top"/>
            <w:shd w:fill="F4F7F9"/>
            <w:tcMar>
              <w:top w:w="80" w:type="dxa"/>
              <w:start w:w="80" w:type="dxa"/>
              <w:bottom w:w="80" w:type="dxa"/>
              <w:end w:w="80" w:type="dxa"/>
            </w:tcMar>
          </w:tcPr>
          <w:p>
            <w:pPr>
              <w:spacing w:after="20"/>
            </w:pPr>
            <w:r>
              <w:rPr>
                <w:sz w:val="16"/>
              </w:rPr>
              <w:t>Stripe</w:t>
            </w:r>
          </w:p>
        </w:tc>
        <w:tc>
          <w:tcPr>
            <w:tcW w:type="dxa" w:w="6336"/>
            <w:vAlign w:val="top"/>
            <w:shd w:fill="F4F7F9"/>
            <w:tcMar>
              <w:top w:w="80" w:type="dxa"/>
              <w:start w:w="80" w:type="dxa"/>
              <w:bottom w:w="80" w:type="dxa"/>
              <w:end w:w="80" w:type="dxa"/>
            </w:tcMar>
          </w:tcPr>
          <w:p>
            <w:pPr>
              <w:spacing w:after="20"/>
            </w:pPr>
            <w:r>
              <w:rPr>
                <w:sz w:val="16"/>
              </w:rPr>
              <w:t>Web billing</w:t>
            </w:r>
          </w:p>
        </w:tc>
      </w:tr>
      <w:tr>
        <w:tc>
          <w:tcPr>
            <w:tcW w:type="dxa" w:w="4032"/>
            <w:vAlign w:val="top"/>
            <w:tcMar>
              <w:top w:w="80" w:type="dxa"/>
              <w:start w:w="80" w:type="dxa"/>
              <w:bottom w:w="80" w:type="dxa"/>
              <w:end w:w="80" w:type="dxa"/>
            </w:tcMar>
          </w:tcPr>
          <w:p>
            <w:pPr>
              <w:spacing w:after="20"/>
            </w:pPr>
            <w:r>
              <w:rPr>
                <w:sz w:val="16"/>
              </w:rPr>
              <w:t>APNs / FCM</w:t>
            </w:r>
          </w:p>
        </w:tc>
        <w:tc>
          <w:tcPr>
            <w:tcW w:type="dxa" w:w="6336"/>
            <w:vAlign w:val="top"/>
            <w:tcMar>
              <w:top w:w="80" w:type="dxa"/>
              <w:start w:w="80" w:type="dxa"/>
              <w:bottom w:w="80" w:type="dxa"/>
              <w:end w:w="80" w:type="dxa"/>
            </w:tcMar>
          </w:tcPr>
          <w:p>
            <w:pPr>
              <w:spacing w:after="20"/>
            </w:pPr>
            <w:r>
              <w:rPr>
                <w:sz w:val="16"/>
              </w:rPr>
              <w:t>Mobile push</w:t>
            </w:r>
          </w:p>
        </w:tc>
      </w:tr>
    </w:tbl>
    <w:p/>
    <w:p>
      <w:pPr>
        <w:pStyle w:val="Heading1"/>
      </w:pPr>
      <w:r>
        <w:t>Appendix C. Verified current platform facts and sources</w:t>
      </w:r>
    </w:p>
    <w:p>
      <w:r>
        <w:t>The architecture was re-checked against current vendor documentation on August 28, 2026. The following facts were specifically verified before this recommendation was finalized.</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183B56"/>
            <w:tcMar>
              <w:top w:w="80" w:type="dxa"/>
              <w:start w:w="80" w:type="dxa"/>
              <w:bottom w:w="80" w:type="dxa"/>
              <w:end w:w="80" w:type="dxa"/>
            </w:tcMar>
          </w:tcPr>
          <w:p>
            <w:r>
              <w:rPr>
                <w:b/>
                <w:color w:val="FFFFFF"/>
                <w:sz w:val="13"/>
              </w:rPr>
              <w:t>Source</w:t>
            </w:r>
          </w:p>
        </w:tc>
        <w:tc>
          <w:tcPr>
            <w:tcW w:type="dxa" w:w="4968"/>
            <w:shd w:fill="183B56"/>
            <w:tcMar>
              <w:top w:w="80" w:type="dxa"/>
              <w:start w:w="80" w:type="dxa"/>
              <w:bottom w:w="80" w:type="dxa"/>
              <w:end w:w="80" w:type="dxa"/>
            </w:tcMar>
          </w:tcPr>
          <w:p>
            <w:r>
              <w:rPr>
                <w:b/>
                <w:color w:val="FFFFFF"/>
                <w:sz w:val="13"/>
              </w:rPr>
              <w:t>Verified point</w:t>
            </w:r>
          </w:p>
        </w:tc>
        <w:tc>
          <w:tcPr>
            <w:tcW w:type="dxa" w:w="3168"/>
            <w:shd w:fill="183B56"/>
            <w:tcMar>
              <w:top w:w="80" w:type="dxa"/>
              <w:start w:w="80" w:type="dxa"/>
              <w:bottom w:w="80" w:type="dxa"/>
              <w:end w:w="80" w:type="dxa"/>
            </w:tcMar>
          </w:tcPr>
          <w:p>
            <w:r>
              <w:rPr>
                <w:b/>
                <w:color w:val="FFFFFF"/>
                <w:sz w:val="13"/>
              </w:rPr>
              <w:t>URL</w:t>
            </w:r>
          </w:p>
        </w:tc>
      </w:tr>
      <w:tr>
        <w:tc>
          <w:tcPr>
            <w:tcW w:type="dxa" w:w="2592"/>
            <w:vAlign w:val="top"/>
            <w:shd w:fill="F4F7F9"/>
            <w:tcMar>
              <w:top w:w="80" w:type="dxa"/>
              <w:start w:w="80" w:type="dxa"/>
              <w:bottom w:w="80" w:type="dxa"/>
              <w:end w:w="80" w:type="dxa"/>
            </w:tcMar>
          </w:tcPr>
          <w:p>
            <w:pPr>
              <w:spacing w:after="20"/>
            </w:pPr>
            <w:r>
              <w:rPr>
                <w:sz w:val="13"/>
              </w:rPr>
              <w:t>AWS Organizations multi-account best practices</w:t>
            </w:r>
          </w:p>
        </w:tc>
        <w:tc>
          <w:tcPr>
            <w:tcW w:type="dxa" w:w="4968"/>
            <w:vAlign w:val="top"/>
            <w:shd w:fill="F4F7F9"/>
            <w:tcMar>
              <w:top w:w="80" w:type="dxa"/>
              <w:start w:w="80" w:type="dxa"/>
              <w:bottom w:w="80" w:type="dxa"/>
              <w:end w:w="80" w:type="dxa"/>
            </w:tcMar>
          </w:tcPr>
          <w:p>
            <w:pPr>
              <w:spacing w:after="20"/>
            </w:pPr>
            <w:r>
              <w:rPr>
                <w:sz w:val="13"/>
              </w:rPr>
              <w:t>AWS recommends using multiple accounts, separating production from non-production, and managing workloads within a single organization.</w:t>
            </w:r>
          </w:p>
        </w:tc>
        <w:tc>
          <w:tcPr>
            <w:tcW w:type="dxa" w:w="3168"/>
            <w:vAlign w:val="top"/>
            <w:shd w:fill="F4F7F9"/>
            <w:tcMar>
              <w:top w:w="80" w:type="dxa"/>
              <w:start w:w="80" w:type="dxa"/>
              <w:bottom w:w="80" w:type="dxa"/>
              <w:end w:w="80" w:type="dxa"/>
            </w:tcMar>
          </w:tcPr>
          <w:p>
            <w:pPr>
              <w:spacing w:after="20"/>
            </w:pPr>
            <w:r>
              <w:rPr>
                <w:sz w:val="13"/>
              </w:rPr>
              <w:t>https://docs.aws.amazon.com/organizations/latest/userguide/orgs_best-practices.html</w:t>
            </w:r>
          </w:p>
        </w:tc>
      </w:tr>
      <w:tr>
        <w:tc>
          <w:tcPr>
            <w:tcW w:type="dxa" w:w="2592"/>
            <w:vAlign w:val="top"/>
            <w:tcMar>
              <w:top w:w="80" w:type="dxa"/>
              <w:start w:w="80" w:type="dxa"/>
              <w:bottom w:w="80" w:type="dxa"/>
              <w:end w:w="80" w:type="dxa"/>
            </w:tcMar>
          </w:tcPr>
          <w:p>
            <w:pPr>
              <w:spacing w:after="20"/>
            </w:pPr>
            <w:r>
              <w:rPr>
                <w:sz w:val="13"/>
              </w:rPr>
              <w:t>AWS Control Tower shared accounts</w:t>
            </w:r>
          </w:p>
        </w:tc>
        <w:tc>
          <w:tcPr>
            <w:tcW w:type="dxa" w:w="4968"/>
            <w:vAlign w:val="top"/>
            <w:tcMar>
              <w:top w:w="80" w:type="dxa"/>
              <w:start w:w="80" w:type="dxa"/>
              <w:bottom w:w="80" w:type="dxa"/>
              <w:end w:w="80" w:type="dxa"/>
            </w:tcMar>
          </w:tcPr>
          <w:p>
            <w:pPr>
              <w:spacing w:after="20"/>
            </w:pPr>
            <w:r>
              <w:rPr>
                <w:sz w:val="13"/>
              </w:rPr>
              <w:t>Control Tower creates/uses management, log archive, and audit accounts and recommends not running production workloads in the management account.</w:t>
            </w:r>
          </w:p>
        </w:tc>
        <w:tc>
          <w:tcPr>
            <w:tcW w:type="dxa" w:w="3168"/>
            <w:vAlign w:val="top"/>
            <w:tcMar>
              <w:top w:w="80" w:type="dxa"/>
              <w:start w:w="80" w:type="dxa"/>
              <w:bottom w:w="80" w:type="dxa"/>
              <w:end w:w="80" w:type="dxa"/>
            </w:tcMar>
          </w:tcPr>
          <w:p>
            <w:pPr>
              <w:spacing w:after="20"/>
            </w:pPr>
            <w:r>
              <w:rPr>
                <w:sz w:val="13"/>
              </w:rPr>
              <w:t>https://docs.aws.amazon.com/controltower/latest/userguide/what-shared.html</w:t>
            </w:r>
          </w:p>
        </w:tc>
      </w:tr>
      <w:tr>
        <w:tc>
          <w:tcPr>
            <w:tcW w:type="dxa" w:w="2592"/>
            <w:vAlign w:val="top"/>
            <w:shd w:fill="F4F7F9"/>
            <w:tcMar>
              <w:top w:w="80" w:type="dxa"/>
              <w:start w:w="80" w:type="dxa"/>
              <w:bottom w:w="80" w:type="dxa"/>
              <w:end w:w="80" w:type="dxa"/>
            </w:tcMar>
          </w:tcPr>
          <w:p>
            <w:pPr>
              <w:spacing w:after="20"/>
            </w:pPr>
            <w:r>
              <w:rPr>
                <w:sz w:val="13"/>
              </w:rPr>
              <w:t>Regional NAT Gateway</w:t>
            </w:r>
          </w:p>
        </w:tc>
        <w:tc>
          <w:tcPr>
            <w:tcW w:type="dxa" w:w="4968"/>
            <w:vAlign w:val="top"/>
            <w:shd w:fill="F4F7F9"/>
            <w:tcMar>
              <w:top w:w="80" w:type="dxa"/>
              <w:start w:w="80" w:type="dxa"/>
              <w:bottom w:w="80" w:type="dxa"/>
              <w:end w:w="80" w:type="dxa"/>
            </w:tcMar>
          </w:tcPr>
          <w:p>
            <w:pPr>
              <w:spacing w:after="20"/>
            </w:pPr>
            <w:r>
              <w:rPr>
                <w:sz w:val="13"/>
              </w:rPr>
              <w:t>AWS regional NAT automatically expands across Availability Zones where workloads exist; zonal NAT per AZ remains the fallback high-availability design.</w:t>
            </w:r>
          </w:p>
        </w:tc>
        <w:tc>
          <w:tcPr>
            <w:tcW w:type="dxa" w:w="3168"/>
            <w:vAlign w:val="top"/>
            <w:shd w:fill="F4F7F9"/>
            <w:tcMar>
              <w:top w:w="80" w:type="dxa"/>
              <w:start w:w="80" w:type="dxa"/>
              <w:bottom w:w="80" w:type="dxa"/>
              <w:end w:w="80" w:type="dxa"/>
            </w:tcMar>
          </w:tcPr>
          <w:p>
            <w:pPr>
              <w:spacing w:after="20"/>
            </w:pPr>
            <w:r>
              <w:rPr>
                <w:sz w:val="13"/>
              </w:rPr>
              <w:t>https://docs.aws.amazon.com/vpc/latest/userguide/nat-gateways-regional.html</w:t>
            </w:r>
          </w:p>
        </w:tc>
      </w:tr>
      <w:tr>
        <w:tc>
          <w:tcPr>
            <w:tcW w:type="dxa" w:w="2592"/>
            <w:vAlign w:val="top"/>
            <w:tcMar>
              <w:top w:w="80" w:type="dxa"/>
              <w:start w:w="80" w:type="dxa"/>
              <w:bottom w:w="80" w:type="dxa"/>
              <w:end w:w="80" w:type="dxa"/>
            </w:tcMar>
          </w:tcPr>
          <w:p>
            <w:pPr>
              <w:spacing w:after="20"/>
            </w:pPr>
            <w:r>
              <w:rPr>
                <w:sz w:val="13"/>
              </w:rPr>
              <w:t>ECS Fargate ARM64</w:t>
            </w:r>
          </w:p>
        </w:tc>
        <w:tc>
          <w:tcPr>
            <w:tcW w:type="dxa" w:w="4968"/>
            <w:vAlign w:val="top"/>
            <w:tcMar>
              <w:top w:w="80" w:type="dxa"/>
              <w:start w:w="80" w:type="dxa"/>
              <w:bottom w:w="80" w:type="dxa"/>
              <w:end w:w="80" w:type="dxa"/>
            </w:tcMar>
          </w:tcPr>
          <w:p>
            <w:pPr>
              <w:spacing w:after="20"/>
            </w:pPr>
            <w:r>
              <w:rPr>
                <w:sz w:val="13"/>
              </w:rPr>
              <w:t>Fargate supports Linux ARM64 workloads and defined CPU/memory task sizes.</w:t>
            </w:r>
          </w:p>
        </w:tc>
        <w:tc>
          <w:tcPr>
            <w:tcW w:type="dxa" w:w="3168"/>
            <w:vAlign w:val="top"/>
            <w:tcMar>
              <w:top w:w="80" w:type="dxa"/>
              <w:start w:w="80" w:type="dxa"/>
              <w:bottom w:w="80" w:type="dxa"/>
              <w:end w:w="80" w:type="dxa"/>
            </w:tcMar>
          </w:tcPr>
          <w:p>
            <w:pPr>
              <w:spacing w:after="20"/>
            </w:pPr>
            <w:r>
              <w:rPr>
                <w:sz w:val="13"/>
              </w:rPr>
              <w:t>https://docs.aws.amazon.com/AmazonECS/latest/developerguide/ecs-arm64.html</w:t>
            </w:r>
          </w:p>
        </w:tc>
      </w:tr>
      <w:tr>
        <w:tc>
          <w:tcPr>
            <w:tcW w:type="dxa" w:w="2592"/>
            <w:vAlign w:val="top"/>
            <w:shd w:fill="F4F7F9"/>
            <w:tcMar>
              <w:top w:w="80" w:type="dxa"/>
              <w:start w:w="80" w:type="dxa"/>
              <w:bottom w:w="80" w:type="dxa"/>
              <w:end w:w="80" w:type="dxa"/>
            </w:tcMar>
          </w:tcPr>
          <w:p>
            <w:pPr>
              <w:spacing w:after="20"/>
            </w:pPr>
            <w:r>
              <w:rPr>
                <w:sz w:val="13"/>
              </w:rPr>
              <w:t>ECS Application Load Balancer</w:t>
            </w:r>
          </w:p>
        </w:tc>
        <w:tc>
          <w:tcPr>
            <w:tcW w:type="dxa" w:w="4968"/>
            <w:vAlign w:val="top"/>
            <w:shd w:fill="F4F7F9"/>
            <w:tcMar>
              <w:top w:w="80" w:type="dxa"/>
              <w:start w:w="80" w:type="dxa"/>
              <w:bottom w:w="80" w:type="dxa"/>
              <w:end w:w="80" w:type="dxa"/>
            </w:tcMar>
          </w:tcPr>
          <w:p>
            <w:pPr>
              <w:spacing w:after="20"/>
            </w:pPr>
            <w:r>
              <w:rPr>
                <w:sz w:val="13"/>
              </w:rPr>
              <w:t>AWS supports and recommends ALB for HTTP/HTTPS layer-7 ECS service traffic.</w:t>
            </w:r>
          </w:p>
        </w:tc>
        <w:tc>
          <w:tcPr>
            <w:tcW w:type="dxa" w:w="3168"/>
            <w:vAlign w:val="top"/>
            <w:shd w:fill="F4F7F9"/>
            <w:tcMar>
              <w:top w:w="80" w:type="dxa"/>
              <w:start w:w="80" w:type="dxa"/>
              <w:bottom w:w="80" w:type="dxa"/>
              <w:end w:w="80" w:type="dxa"/>
            </w:tcMar>
          </w:tcPr>
          <w:p>
            <w:pPr>
              <w:spacing w:after="20"/>
            </w:pPr>
            <w:r>
              <w:rPr>
                <w:sz w:val="13"/>
              </w:rPr>
              <w:t>https://docs.aws.amazon.com/AmazonECS/latest/developerguide/service-load-balancing.html</w:t>
            </w:r>
          </w:p>
        </w:tc>
      </w:tr>
      <w:tr>
        <w:tc>
          <w:tcPr>
            <w:tcW w:type="dxa" w:w="2592"/>
            <w:vAlign w:val="top"/>
            <w:tcMar>
              <w:top w:w="80" w:type="dxa"/>
              <w:start w:w="80" w:type="dxa"/>
              <w:bottom w:w="80" w:type="dxa"/>
              <w:end w:w="80" w:type="dxa"/>
            </w:tcMar>
          </w:tcPr>
          <w:p>
            <w:pPr>
              <w:spacing w:after="20"/>
            </w:pPr>
            <w:r>
              <w:rPr>
                <w:sz w:val="13"/>
              </w:rPr>
              <w:t>ECS target tracking</w:t>
            </w:r>
          </w:p>
        </w:tc>
        <w:tc>
          <w:tcPr>
            <w:tcW w:type="dxa" w:w="4968"/>
            <w:vAlign w:val="top"/>
            <w:tcMar>
              <w:top w:w="80" w:type="dxa"/>
              <w:start w:w="80" w:type="dxa"/>
              <w:bottom w:w="80" w:type="dxa"/>
              <w:end w:w="80" w:type="dxa"/>
            </w:tcMar>
          </w:tcPr>
          <w:p>
            <w:pPr>
              <w:spacing w:after="20"/>
            </w:pPr>
            <w:r>
              <w:rPr>
                <w:sz w:val="13"/>
              </w:rPr>
              <w:t>ECS Service Auto Scaling supports CPU, memory, ALB request targets and metric-math/custom metrics such as SQS backlog per task.</w:t>
            </w:r>
          </w:p>
        </w:tc>
        <w:tc>
          <w:tcPr>
            <w:tcW w:type="dxa" w:w="3168"/>
            <w:vAlign w:val="top"/>
            <w:tcMar>
              <w:top w:w="80" w:type="dxa"/>
              <w:start w:w="80" w:type="dxa"/>
              <w:bottom w:w="80" w:type="dxa"/>
              <w:end w:w="80" w:type="dxa"/>
            </w:tcMar>
          </w:tcPr>
          <w:p>
            <w:pPr>
              <w:spacing w:after="20"/>
            </w:pPr>
            <w:r>
              <w:rPr>
                <w:sz w:val="13"/>
              </w:rPr>
              <w:t>https://docs.aws.amazon.com/AmazonECS/latest/developerguide/service-autoscaling-targettracking.html</w:t>
            </w:r>
          </w:p>
        </w:tc>
      </w:tr>
      <w:tr>
        <w:tc>
          <w:tcPr>
            <w:tcW w:type="dxa" w:w="2592"/>
            <w:vAlign w:val="top"/>
            <w:shd w:fill="F4F7F9"/>
            <w:tcMar>
              <w:top w:w="80" w:type="dxa"/>
              <w:start w:w="80" w:type="dxa"/>
              <w:bottom w:w="80" w:type="dxa"/>
              <w:end w:w="80" w:type="dxa"/>
            </w:tcMar>
          </w:tcPr>
          <w:p>
            <w:pPr>
              <w:spacing w:after="20"/>
            </w:pPr>
            <w:r>
              <w:rPr>
                <w:sz w:val="13"/>
              </w:rPr>
              <w:t>Aurora Serverless v2 capacity</w:t>
            </w:r>
          </w:p>
        </w:tc>
        <w:tc>
          <w:tcPr>
            <w:tcW w:type="dxa" w:w="4968"/>
            <w:vAlign w:val="top"/>
            <w:shd w:fill="F4F7F9"/>
            <w:tcMar>
              <w:top w:w="80" w:type="dxa"/>
              <w:start w:w="80" w:type="dxa"/>
              <w:bottom w:w="80" w:type="dxa"/>
              <w:end w:w="80" w:type="dxa"/>
            </w:tcMar>
          </w:tcPr>
          <w:p>
            <w:pPr>
              <w:spacing w:after="20"/>
            </w:pPr>
            <w:r>
              <w:rPr>
                <w:sz w:val="13"/>
              </w:rPr>
              <w:t>Serverless v2 capacity can scale over a configured ACU range; each ACU is approximately 2 GiB memory plus CPU/network resources.</w:t>
            </w:r>
          </w:p>
        </w:tc>
        <w:tc>
          <w:tcPr>
            <w:tcW w:type="dxa" w:w="3168"/>
            <w:vAlign w:val="top"/>
            <w:shd w:fill="F4F7F9"/>
            <w:tcMar>
              <w:top w:w="80" w:type="dxa"/>
              <w:start w:w="80" w:type="dxa"/>
              <w:bottom w:w="80" w:type="dxa"/>
              <w:end w:w="80" w:type="dxa"/>
            </w:tcMar>
          </w:tcPr>
          <w:p>
            <w:pPr>
              <w:spacing w:after="20"/>
            </w:pPr>
            <w:r>
              <w:rPr>
                <w:sz w:val="13"/>
              </w:rPr>
              <w:t>https://docs.aws.amazon.com/AmazonRDS/latest/AuroraUserGuide/aurora-serverless-v2.setting-capacity.html</w:t>
            </w:r>
          </w:p>
        </w:tc>
      </w:tr>
      <w:tr>
        <w:tc>
          <w:tcPr>
            <w:tcW w:type="dxa" w:w="2592"/>
            <w:vAlign w:val="top"/>
            <w:tcMar>
              <w:top w:w="80" w:type="dxa"/>
              <w:start w:w="80" w:type="dxa"/>
              <w:bottom w:w="80" w:type="dxa"/>
              <w:end w:w="80" w:type="dxa"/>
            </w:tcMar>
          </w:tcPr>
          <w:p>
            <w:pPr>
              <w:spacing w:after="20"/>
            </w:pPr>
            <w:r>
              <w:rPr>
                <w:sz w:val="13"/>
              </w:rPr>
              <w:t>Aurora storage durability</w:t>
            </w:r>
          </w:p>
        </w:tc>
        <w:tc>
          <w:tcPr>
            <w:tcW w:type="dxa" w:w="4968"/>
            <w:vAlign w:val="top"/>
            <w:tcMar>
              <w:top w:w="80" w:type="dxa"/>
              <w:start w:w="80" w:type="dxa"/>
              <w:bottom w:w="80" w:type="dxa"/>
              <w:end w:w="80" w:type="dxa"/>
            </w:tcMar>
          </w:tcPr>
          <w:p>
            <w:pPr>
              <w:spacing w:after="20"/>
            </w:pPr>
            <w:r>
              <w:rPr>
                <w:sz w:val="13"/>
              </w:rPr>
              <w:t>Aurora replicates storage six ways across three Availability Zones.</w:t>
            </w:r>
          </w:p>
        </w:tc>
        <w:tc>
          <w:tcPr>
            <w:tcW w:type="dxa" w:w="3168"/>
            <w:vAlign w:val="top"/>
            <w:tcMar>
              <w:top w:w="80" w:type="dxa"/>
              <w:start w:w="80" w:type="dxa"/>
              <w:bottom w:w="80" w:type="dxa"/>
              <w:end w:w="80" w:type="dxa"/>
            </w:tcMar>
          </w:tcPr>
          <w:p>
            <w:pPr>
              <w:spacing w:after="20"/>
            </w:pPr>
            <w:r>
              <w:rPr>
                <w:sz w:val="13"/>
              </w:rPr>
              <w:t>https://docs.aws.amazon.com/rds/latest/auroraextendedcontent/aurora-faq-availability-and-durability.html</w:t>
            </w:r>
          </w:p>
        </w:tc>
      </w:tr>
      <w:tr>
        <w:tc>
          <w:tcPr>
            <w:tcW w:type="dxa" w:w="2592"/>
            <w:vAlign w:val="top"/>
            <w:shd w:fill="F4F7F9"/>
            <w:tcMar>
              <w:top w:w="80" w:type="dxa"/>
              <w:start w:w="80" w:type="dxa"/>
              <w:bottom w:w="80" w:type="dxa"/>
              <w:end w:w="80" w:type="dxa"/>
            </w:tcMar>
          </w:tcPr>
          <w:p>
            <w:pPr>
              <w:spacing w:after="20"/>
            </w:pPr>
            <w:r>
              <w:rPr>
                <w:sz w:val="13"/>
              </w:rPr>
              <w:t>Aurora PostgreSQL 17.7 LTS</w:t>
            </w:r>
          </w:p>
        </w:tc>
        <w:tc>
          <w:tcPr>
            <w:tcW w:type="dxa" w:w="4968"/>
            <w:vAlign w:val="top"/>
            <w:shd w:fill="F4F7F9"/>
            <w:tcMar>
              <w:top w:w="80" w:type="dxa"/>
              <w:start w:w="80" w:type="dxa"/>
              <w:bottom w:w="80" w:type="dxa"/>
              <w:end w:w="80" w:type="dxa"/>
            </w:tcMar>
          </w:tcPr>
          <w:p>
            <w:pPr>
              <w:spacing w:after="20"/>
            </w:pPr>
            <w:r>
              <w:rPr>
                <w:sz w:val="13"/>
              </w:rPr>
              <w:t>AWS lists Aurora PostgreSQL 17.7 as an LTS minor with standard support through February 2030.</w:t>
            </w:r>
          </w:p>
        </w:tc>
        <w:tc>
          <w:tcPr>
            <w:tcW w:type="dxa" w:w="3168"/>
            <w:vAlign w:val="top"/>
            <w:shd w:fill="F4F7F9"/>
            <w:tcMar>
              <w:top w:w="80" w:type="dxa"/>
              <w:start w:w="80" w:type="dxa"/>
              <w:bottom w:w="80" w:type="dxa"/>
              <w:end w:w="80" w:type="dxa"/>
            </w:tcMar>
          </w:tcPr>
          <w:p>
            <w:pPr>
              <w:spacing w:after="20"/>
            </w:pPr>
            <w:r>
              <w:rPr>
                <w:sz w:val="13"/>
              </w:rPr>
              <w:t>https://docs.aws.amazon.com/AmazonRDS/latest/AuroraPostgreSQLReleaseNotes/aurorapostgresql-release-calendar.html</w:t>
            </w:r>
          </w:p>
        </w:tc>
      </w:tr>
      <w:tr>
        <w:tc>
          <w:tcPr>
            <w:tcW w:type="dxa" w:w="2592"/>
            <w:vAlign w:val="top"/>
            <w:tcMar>
              <w:top w:w="80" w:type="dxa"/>
              <w:start w:w="80" w:type="dxa"/>
              <w:bottom w:w="80" w:type="dxa"/>
              <w:end w:w="80" w:type="dxa"/>
            </w:tcMar>
          </w:tcPr>
          <w:p>
            <w:pPr>
              <w:spacing w:after="20"/>
            </w:pPr>
            <w:r>
              <w:rPr>
                <w:sz w:val="13"/>
              </w:rPr>
              <w:t>RDS Proxy</w:t>
            </w:r>
          </w:p>
        </w:tc>
        <w:tc>
          <w:tcPr>
            <w:tcW w:type="dxa" w:w="4968"/>
            <w:vAlign w:val="top"/>
            <w:tcMar>
              <w:top w:w="80" w:type="dxa"/>
              <w:start w:w="80" w:type="dxa"/>
              <w:bottom w:w="80" w:type="dxa"/>
              <w:end w:w="80" w:type="dxa"/>
            </w:tcMar>
          </w:tcPr>
          <w:p>
            <w:pPr>
              <w:spacing w:after="20"/>
            </w:pPr>
            <w:r>
              <w:rPr>
                <w:sz w:val="13"/>
              </w:rPr>
              <w:t>RDS Proxy supports Aurora Serverless v2 and can provide separate read-only endpoints for reader load.</w:t>
            </w:r>
          </w:p>
        </w:tc>
        <w:tc>
          <w:tcPr>
            <w:tcW w:type="dxa" w:w="3168"/>
            <w:vAlign w:val="top"/>
            <w:tcMar>
              <w:top w:w="80" w:type="dxa"/>
              <w:start w:w="80" w:type="dxa"/>
              <w:bottom w:w="80" w:type="dxa"/>
              <w:end w:w="80" w:type="dxa"/>
            </w:tcMar>
          </w:tcPr>
          <w:p>
            <w:pPr>
              <w:spacing w:after="20"/>
            </w:pPr>
            <w:r>
              <w:rPr>
                <w:sz w:val="13"/>
              </w:rPr>
              <w:t>https://docs.aws.amazon.com/AmazonRDS/latest/AuroraUserGuide/rds-proxy.html</w:t>
            </w:r>
          </w:p>
        </w:tc>
      </w:tr>
      <w:tr>
        <w:tc>
          <w:tcPr>
            <w:tcW w:type="dxa" w:w="2592"/>
            <w:vAlign w:val="top"/>
            <w:shd w:fill="F4F7F9"/>
            <w:tcMar>
              <w:top w:w="80" w:type="dxa"/>
              <w:start w:w="80" w:type="dxa"/>
              <w:bottom w:w="80" w:type="dxa"/>
              <w:end w:w="80" w:type="dxa"/>
            </w:tcMar>
          </w:tcPr>
          <w:p>
            <w:pPr>
              <w:spacing w:after="20"/>
            </w:pPr>
            <w:r>
              <w:rPr>
                <w:sz w:val="13"/>
              </w:rPr>
              <w:t>S3 security</w:t>
            </w:r>
          </w:p>
        </w:tc>
        <w:tc>
          <w:tcPr>
            <w:tcW w:type="dxa" w:w="4968"/>
            <w:vAlign w:val="top"/>
            <w:shd w:fill="F4F7F9"/>
            <w:tcMar>
              <w:top w:w="80" w:type="dxa"/>
              <w:start w:w="80" w:type="dxa"/>
              <w:bottom w:w="80" w:type="dxa"/>
              <w:end w:w="80" w:type="dxa"/>
            </w:tcMar>
          </w:tcPr>
          <w:p>
            <w:pPr>
              <w:spacing w:after="20"/>
            </w:pPr>
            <w:r>
              <w:rPr>
                <w:sz w:val="13"/>
              </w:rPr>
              <w:t>AWS recommends Block Public Access and supports versioning, cross-region replication, and backup controls.</w:t>
            </w:r>
          </w:p>
        </w:tc>
        <w:tc>
          <w:tcPr>
            <w:tcW w:type="dxa" w:w="3168"/>
            <w:vAlign w:val="top"/>
            <w:shd w:fill="F4F7F9"/>
            <w:tcMar>
              <w:top w:w="80" w:type="dxa"/>
              <w:start w:w="80" w:type="dxa"/>
              <w:bottom w:w="80" w:type="dxa"/>
              <w:end w:w="80" w:type="dxa"/>
            </w:tcMar>
          </w:tcPr>
          <w:p>
            <w:pPr>
              <w:spacing w:after="20"/>
            </w:pPr>
            <w:r>
              <w:rPr>
                <w:sz w:val="13"/>
              </w:rPr>
              <w:t>https://docs.aws.amazon.com/AmazonS3/latest/userguide/security-best-practices.html</w:t>
            </w:r>
          </w:p>
        </w:tc>
      </w:tr>
      <w:tr>
        <w:tc>
          <w:tcPr>
            <w:tcW w:type="dxa" w:w="2592"/>
            <w:vAlign w:val="top"/>
            <w:tcMar>
              <w:top w:w="80" w:type="dxa"/>
              <w:start w:w="80" w:type="dxa"/>
              <w:bottom w:w="80" w:type="dxa"/>
              <w:end w:w="80" w:type="dxa"/>
            </w:tcMar>
          </w:tcPr>
          <w:p>
            <w:pPr>
              <w:spacing w:after="20"/>
            </w:pPr>
            <w:r>
              <w:rPr>
                <w:sz w:val="13"/>
              </w:rPr>
              <w:t>Cognito passkeys</w:t>
            </w:r>
          </w:p>
        </w:tc>
        <w:tc>
          <w:tcPr>
            <w:tcW w:type="dxa" w:w="4968"/>
            <w:vAlign w:val="top"/>
            <w:tcMar>
              <w:top w:w="80" w:type="dxa"/>
              <w:start w:w="80" w:type="dxa"/>
              <w:bottom w:w="80" w:type="dxa"/>
              <w:end w:w="80" w:type="dxa"/>
            </w:tcMar>
          </w:tcPr>
          <w:p>
            <w:pPr>
              <w:spacing w:after="20"/>
            </w:pPr>
            <w:r>
              <w:rPr>
                <w:sz w:val="13"/>
              </w:rPr>
              <w:t>Cognito supports passwordless WebAuthn passkey sign-in and social identity providers including Apple and Google.</w:t>
            </w:r>
          </w:p>
        </w:tc>
        <w:tc>
          <w:tcPr>
            <w:tcW w:type="dxa" w:w="3168"/>
            <w:vAlign w:val="top"/>
            <w:tcMar>
              <w:top w:w="80" w:type="dxa"/>
              <w:start w:w="80" w:type="dxa"/>
              <w:bottom w:w="80" w:type="dxa"/>
              <w:end w:w="80" w:type="dxa"/>
            </w:tcMar>
          </w:tcPr>
          <w:p>
            <w:pPr>
              <w:spacing w:after="20"/>
            </w:pPr>
            <w:r>
              <w:rPr>
                <w:sz w:val="13"/>
              </w:rPr>
              <w:t>https://docs.aws.amazon.com/cognito/latest/developerguide/amazon-cognito-user-pools-authentication-flow-methods.html</w:t>
            </w:r>
          </w:p>
        </w:tc>
      </w:tr>
      <w:tr>
        <w:tc>
          <w:tcPr>
            <w:tcW w:type="dxa" w:w="2592"/>
            <w:vAlign w:val="top"/>
            <w:shd w:fill="F4F7F9"/>
            <w:tcMar>
              <w:top w:w="80" w:type="dxa"/>
              <w:start w:w="80" w:type="dxa"/>
              <w:bottom w:w="80" w:type="dxa"/>
              <w:end w:w="80" w:type="dxa"/>
            </w:tcMar>
          </w:tcPr>
          <w:p>
            <w:pPr>
              <w:spacing w:after="20"/>
            </w:pPr>
            <w:r>
              <w:rPr>
                <w:sz w:val="13"/>
              </w:rPr>
              <w:t>SQS/EventBridge roles</w:t>
            </w:r>
          </w:p>
        </w:tc>
        <w:tc>
          <w:tcPr>
            <w:tcW w:type="dxa" w:w="4968"/>
            <w:vAlign w:val="top"/>
            <w:shd w:fill="F4F7F9"/>
            <w:tcMar>
              <w:top w:w="80" w:type="dxa"/>
              <w:start w:w="80" w:type="dxa"/>
              <w:bottom w:w="80" w:type="dxa"/>
              <w:end w:w="80" w:type="dxa"/>
            </w:tcMar>
          </w:tcPr>
          <w:p>
            <w:pPr>
              <w:spacing w:after="20"/>
            </w:pPr>
            <w:r>
              <w:rPr>
                <w:sz w:val="13"/>
              </w:rPr>
              <w:t>AWS positions SQS for durable work queues and EventBridge for event routing/fan-out.</w:t>
            </w:r>
          </w:p>
        </w:tc>
        <w:tc>
          <w:tcPr>
            <w:tcW w:type="dxa" w:w="3168"/>
            <w:vAlign w:val="top"/>
            <w:shd w:fill="F4F7F9"/>
            <w:tcMar>
              <w:top w:w="80" w:type="dxa"/>
              <w:start w:w="80" w:type="dxa"/>
              <w:bottom w:w="80" w:type="dxa"/>
              <w:end w:w="80" w:type="dxa"/>
            </w:tcMar>
          </w:tcPr>
          <w:p>
            <w:pPr>
              <w:spacing w:after="20"/>
            </w:pPr>
            <w:r>
              <w:rPr>
                <w:sz w:val="13"/>
              </w:rPr>
              <w:t>https://docs.aws.amazon.com/decision-guides/latest/decision-guides/sns-or-sqs-or-eventbridge.html</w:t>
            </w:r>
          </w:p>
        </w:tc>
      </w:tr>
      <w:tr>
        <w:tc>
          <w:tcPr>
            <w:tcW w:type="dxa" w:w="2592"/>
            <w:vAlign w:val="top"/>
            <w:tcMar>
              <w:top w:w="80" w:type="dxa"/>
              <w:start w:w="80" w:type="dxa"/>
              <w:bottom w:w="80" w:type="dxa"/>
              <w:end w:w="80" w:type="dxa"/>
            </w:tcMar>
          </w:tcPr>
          <w:p>
            <w:pPr>
              <w:spacing w:after="20"/>
            </w:pPr>
            <w:r>
              <w:rPr>
                <w:sz w:val="13"/>
              </w:rPr>
              <w:t>Aurora backup retention</w:t>
            </w:r>
          </w:p>
        </w:tc>
        <w:tc>
          <w:tcPr>
            <w:tcW w:type="dxa" w:w="4968"/>
            <w:vAlign w:val="top"/>
            <w:tcMar>
              <w:top w:w="80" w:type="dxa"/>
              <w:start w:w="80" w:type="dxa"/>
              <w:bottom w:w="80" w:type="dxa"/>
              <w:end w:w="80" w:type="dxa"/>
            </w:tcMar>
          </w:tcPr>
          <w:p>
            <w:pPr>
              <w:spacing w:after="20"/>
            </w:pPr>
            <w:r>
              <w:rPr>
                <w:sz w:val="13"/>
              </w:rPr>
              <w:t>Aurora provides continuous incremental backups and point-in-time restore with retention up to 35 days.</w:t>
            </w:r>
          </w:p>
        </w:tc>
        <w:tc>
          <w:tcPr>
            <w:tcW w:type="dxa" w:w="3168"/>
            <w:vAlign w:val="top"/>
            <w:tcMar>
              <w:top w:w="80" w:type="dxa"/>
              <w:start w:w="80" w:type="dxa"/>
              <w:bottom w:w="80" w:type="dxa"/>
              <w:end w:w="80" w:type="dxa"/>
            </w:tcMar>
          </w:tcPr>
          <w:p>
            <w:pPr>
              <w:spacing w:after="20"/>
            </w:pPr>
            <w:r>
              <w:rPr>
                <w:sz w:val="13"/>
              </w:rPr>
              <w:t>https://docs.aws.amazon.com/AmazonRDS/latest/AuroraUserGuide/Aurora.Managing.Backups.html</w:t>
            </w:r>
          </w:p>
        </w:tc>
      </w:tr>
      <w:tr>
        <w:tc>
          <w:tcPr>
            <w:tcW w:type="dxa" w:w="2592"/>
            <w:vAlign w:val="top"/>
            <w:shd w:fill="F4F7F9"/>
            <w:tcMar>
              <w:top w:w="80" w:type="dxa"/>
              <w:start w:w="80" w:type="dxa"/>
              <w:bottom w:w="80" w:type="dxa"/>
              <w:end w:w="80" w:type="dxa"/>
            </w:tcMar>
          </w:tcPr>
          <w:p>
            <w:pPr>
              <w:spacing w:after="20"/>
            </w:pPr>
            <w:r>
              <w:rPr>
                <w:sz w:val="13"/>
              </w:rPr>
              <w:t>AWS Backup cross-region/cross-account</w:t>
            </w:r>
          </w:p>
        </w:tc>
        <w:tc>
          <w:tcPr>
            <w:tcW w:type="dxa" w:w="4968"/>
            <w:vAlign w:val="top"/>
            <w:shd w:fill="F4F7F9"/>
            <w:tcMar>
              <w:top w:w="80" w:type="dxa"/>
              <w:start w:w="80" w:type="dxa"/>
              <w:bottom w:w="80" w:type="dxa"/>
              <w:end w:w="80" w:type="dxa"/>
            </w:tcMar>
          </w:tcPr>
          <w:p>
            <w:pPr>
              <w:spacing w:after="20"/>
            </w:pPr>
            <w:r>
              <w:rPr>
                <w:sz w:val="13"/>
              </w:rPr>
              <w:t>AWS Backup supports cross-region and cross-account backup copy for supported services including Aurora.</w:t>
            </w:r>
          </w:p>
        </w:tc>
        <w:tc>
          <w:tcPr>
            <w:tcW w:type="dxa" w:w="3168"/>
            <w:vAlign w:val="top"/>
            <w:shd w:fill="F4F7F9"/>
            <w:tcMar>
              <w:top w:w="80" w:type="dxa"/>
              <w:start w:w="80" w:type="dxa"/>
              <w:bottom w:w="80" w:type="dxa"/>
              <w:end w:w="80" w:type="dxa"/>
            </w:tcMar>
          </w:tcPr>
          <w:p>
            <w:pPr>
              <w:spacing w:after="20"/>
            </w:pPr>
            <w:r>
              <w:rPr>
                <w:sz w:val="13"/>
              </w:rPr>
              <w:t>https://docs.aws.amazon.com/aws-backup/latest/devguide/backup-feature-availability.html</w:t>
            </w:r>
          </w:p>
        </w:tc>
      </w:tr>
      <w:tr>
        <w:tc>
          <w:tcPr>
            <w:tcW w:type="dxa" w:w="2592"/>
            <w:vAlign w:val="top"/>
            <w:tcMar>
              <w:top w:w="80" w:type="dxa"/>
              <w:start w:w="80" w:type="dxa"/>
              <w:bottom w:w="80" w:type="dxa"/>
              <w:end w:w="80" w:type="dxa"/>
            </w:tcMar>
          </w:tcPr>
          <w:p>
            <w:pPr>
              <w:spacing w:after="20"/>
            </w:pPr>
            <w:r>
              <w:rPr>
                <w:sz w:val="13"/>
              </w:rPr>
              <w:t>RevenueCat Stripe/web</w:t>
            </w:r>
          </w:p>
        </w:tc>
        <w:tc>
          <w:tcPr>
            <w:tcW w:type="dxa" w:w="4968"/>
            <w:vAlign w:val="top"/>
            <w:tcMar>
              <w:top w:w="80" w:type="dxa"/>
              <w:start w:w="80" w:type="dxa"/>
              <w:bottom w:w="80" w:type="dxa"/>
              <w:end w:w="80" w:type="dxa"/>
            </w:tcMar>
          </w:tcPr>
          <w:p>
            <w:pPr>
              <w:spacing w:after="20"/>
            </w:pPr>
            <w:r>
              <w:rPr>
                <w:sz w:val="13"/>
              </w:rPr>
              <w:t>RevenueCat can normalize web Stripe Billing purchases with mobile entitlements.</w:t>
            </w:r>
          </w:p>
        </w:tc>
        <w:tc>
          <w:tcPr>
            <w:tcW w:type="dxa" w:w="3168"/>
            <w:vAlign w:val="top"/>
            <w:tcMar>
              <w:top w:w="80" w:type="dxa"/>
              <w:start w:w="80" w:type="dxa"/>
              <w:bottom w:w="80" w:type="dxa"/>
              <w:end w:w="80" w:type="dxa"/>
            </w:tcMar>
          </w:tcPr>
          <w:p>
            <w:pPr>
              <w:spacing w:after="20"/>
            </w:pPr>
            <w:r>
              <w:rPr>
                <w:sz w:val="13"/>
              </w:rPr>
              <w:t>https://www.revenuecat.com/docs/web/integrations/stripe</w:t>
            </w:r>
          </w:p>
        </w:tc>
      </w:tr>
      <w:tr>
        <w:tc>
          <w:tcPr>
            <w:tcW w:type="dxa" w:w="2592"/>
            <w:vAlign w:val="top"/>
            <w:shd w:fill="F4F7F9"/>
            <w:tcMar>
              <w:top w:w="80" w:type="dxa"/>
              <w:start w:w="80" w:type="dxa"/>
              <w:bottom w:w="80" w:type="dxa"/>
              <w:end w:w="80" w:type="dxa"/>
            </w:tcMar>
          </w:tcPr>
          <w:p>
            <w:pPr>
              <w:spacing w:after="20"/>
            </w:pPr>
            <w:r>
              <w:rPr>
                <w:sz w:val="13"/>
              </w:rPr>
              <w:t>Google Play payments</w:t>
            </w:r>
          </w:p>
        </w:tc>
        <w:tc>
          <w:tcPr>
            <w:tcW w:type="dxa" w:w="4968"/>
            <w:vAlign w:val="top"/>
            <w:shd w:fill="F4F7F9"/>
            <w:tcMar>
              <w:top w:w="80" w:type="dxa"/>
              <w:start w:w="80" w:type="dxa"/>
              <w:bottom w:w="80" w:type="dxa"/>
              <w:end w:w="80" w:type="dxa"/>
            </w:tcMar>
          </w:tcPr>
          <w:p>
            <w:pPr>
              <w:spacing w:after="20"/>
            </w:pPr>
            <w:r>
              <w:rPr>
                <w:sz w:val="13"/>
              </w:rPr>
              <w:t>Google Play requires Play Billing for digital functionality/subscriptions unless an applicable policy exception/program applies.</w:t>
            </w:r>
          </w:p>
        </w:tc>
        <w:tc>
          <w:tcPr>
            <w:tcW w:type="dxa" w:w="3168"/>
            <w:vAlign w:val="top"/>
            <w:shd w:fill="F4F7F9"/>
            <w:tcMar>
              <w:top w:w="80" w:type="dxa"/>
              <w:start w:w="80" w:type="dxa"/>
              <w:bottom w:w="80" w:type="dxa"/>
              <w:end w:w="80" w:type="dxa"/>
            </w:tcMar>
          </w:tcPr>
          <w:p>
            <w:pPr>
              <w:spacing w:after="20"/>
            </w:pPr>
            <w:r>
              <w:rPr>
                <w:sz w:val="13"/>
              </w:rPr>
              <w:t>https://support.google.com/googleplay/android-developer/answer/10281818</w:t>
            </w:r>
          </w:p>
        </w:tc>
      </w:tr>
    </w:tbl>
    <w:p/>
    <w:p>
      <w:pPr>
        <w:spacing w:before="200"/>
      </w:pPr>
      <w:r>
        <w:rPr>
          <w:b/>
        </w:rPr>
        <w:t xml:space="preserve">Important: </w:t>
      </w:r>
      <w:r>
        <w:t>Cloud products, store rules, and pricing change. Re-check engine versions, regional service availability, app-store payment rules, and service quotas immediately before the actual production launch.</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0"/>
        <w:sz w:val="15"/>
      </w:rPr>
      <w:t>Veynlo — Confidential Product Architecture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D7A86"/>
        <w:sz w:val="15"/>
      </w:rPr>
      <w:t>VEYNLO  |  Production Architecture &amp; Deployment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B5D7C"/>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3A6A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83B5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hitectureCallout">
    <w:name w:val="Architecture Callout"/>
    <w:pPr>
      <w:spacing w:before="100" w:after="140"/>
      <w:ind w:left="259" w:right="173"/>
    </w:pPr>
    <w:rPr>
      <w:rFonts w:ascii="Aptos" w:hAnsi="Aptos"/>
      <w:b/>
      <w:color w:val="183B56"/>
      <w:sz w:val="20"/>
    </w:rPr>
  </w:style>
  <w:style w:type="paragraph" w:customStyle="1" w:styleId="CodeSmall">
    <w:name w:val="Code Small"/>
    <w:pPr>
      <w:spacing w:before="40" w:after="80"/>
      <w:ind w:left="288" w:right="288"/>
    </w:pPr>
    <w:rPr>
      <w:rFonts w:ascii="Consolas" w:hAnsi="Consolas"/>
      <w:color w:val="25313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