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ADAF" w14:textId="77777777" w:rsidR="00A633F6" w:rsidRPr="00914879" w:rsidRDefault="00A633F6">
      <w:pPr>
        <w:pStyle w:val="Heading3"/>
        <w:divId w:val="599877562"/>
        <w:rPr>
          <w:rFonts w:eastAsia="Times New Roman"/>
          <w:b/>
          <w:bCs/>
          <w:color w:val="000000" w:themeColor="text1"/>
          <w:kern w:val="0"/>
          <w:sz w:val="27"/>
          <w:szCs w:val="27"/>
          <w14:ligatures w14:val="none"/>
        </w:rPr>
      </w:pPr>
      <w:r w:rsidRPr="00914879">
        <w:rPr>
          <w:rFonts w:eastAsia="Times New Roman"/>
          <w:b/>
          <w:bCs/>
          <w:color w:val="000000" w:themeColor="text1"/>
        </w:rPr>
        <w:t>Basel III Regulations for US Banking Systems</w:t>
      </w:r>
    </w:p>
    <w:p w14:paraId="47034BCC" w14:textId="462FEE48" w:rsidR="00A633F6" w:rsidRPr="00EE3794" w:rsidRDefault="00A633F6" w:rsidP="00EE3794">
      <w:pPr>
        <w:pStyle w:val="NormalWeb"/>
        <w:divId w:val="599877562"/>
      </w:pPr>
      <w:r>
        <w:rPr>
          <w:rStyle w:val="Strong"/>
        </w:rPr>
        <w:t>Basel III</w:t>
      </w:r>
      <w:r>
        <w:t xml:space="preserve"> is a set of international banking regulations developed by the Basel Committee on Banking Supervision to enhance bank regulation, supervision, and risk management. Implemented in response to the 2008 financial crisis, Basel III aims to strengthen the resilience of banks to financial and economic shocks. In the US, these regulations are enforced by the Federal Reserve, the Office of the Comptroller of the Currency (OCC), and the Federal Deposit Insurance Corporation (FDIC).</w:t>
      </w:r>
    </w:p>
    <w:p w14:paraId="647FBE81" w14:textId="77777777" w:rsidR="00A633F6" w:rsidRDefault="00A633F6">
      <w:pPr>
        <w:pStyle w:val="NormalWeb"/>
        <w:numPr>
          <w:ilvl w:val="0"/>
          <w:numId w:val="1"/>
        </w:numPr>
        <w:divId w:val="599877562"/>
      </w:pPr>
      <w:r>
        <w:rPr>
          <w:rStyle w:val="Strong"/>
        </w:rPr>
        <w:t>Minimum Capital Requirements</w:t>
      </w:r>
      <w:r>
        <w:t>:</w:t>
      </w:r>
    </w:p>
    <w:p w14:paraId="13BC3C33"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CET1 Ratio</w:t>
      </w:r>
      <w:r>
        <w:rPr>
          <w:rFonts w:eastAsia="Times New Roman"/>
        </w:rPr>
        <w:t>: Minimum 4.5% of risk-weighted assets (RWA).</w:t>
      </w:r>
    </w:p>
    <w:p w14:paraId="375E2221"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Total Capital Ratio</w:t>
      </w:r>
      <w:r>
        <w:rPr>
          <w:rFonts w:eastAsia="Times New Roman"/>
        </w:rPr>
        <w:t>: Minimum 8% of RWA.</w:t>
      </w:r>
    </w:p>
    <w:p w14:paraId="31502F45" w14:textId="77777777" w:rsidR="00A633F6" w:rsidRDefault="00A633F6">
      <w:pPr>
        <w:pStyle w:val="NormalWeb"/>
        <w:numPr>
          <w:ilvl w:val="0"/>
          <w:numId w:val="1"/>
        </w:numPr>
        <w:divId w:val="599877562"/>
      </w:pPr>
      <w:r>
        <w:rPr>
          <w:rStyle w:val="Strong"/>
        </w:rPr>
        <w:t>Capital Buffers</w:t>
      </w:r>
      <w:r>
        <w:t>:</w:t>
      </w:r>
    </w:p>
    <w:p w14:paraId="6C323764"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Capital Conservation Buffer</w:t>
      </w:r>
      <w:r>
        <w:rPr>
          <w:rFonts w:eastAsia="Times New Roman"/>
        </w:rPr>
        <w:t>: Additional 2.5% of RWA.</w:t>
      </w:r>
    </w:p>
    <w:p w14:paraId="5D83E28D"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Countercyclical Buffer</w:t>
      </w:r>
      <w:r>
        <w:rPr>
          <w:rFonts w:eastAsia="Times New Roman"/>
        </w:rPr>
        <w:t>: 0% to 2.5% of RWA during periods of high credit growth.</w:t>
      </w:r>
    </w:p>
    <w:p w14:paraId="2797125E" w14:textId="77777777" w:rsidR="00A633F6" w:rsidRDefault="00A633F6">
      <w:pPr>
        <w:pStyle w:val="NormalWeb"/>
        <w:numPr>
          <w:ilvl w:val="0"/>
          <w:numId w:val="1"/>
        </w:numPr>
        <w:divId w:val="599877562"/>
      </w:pPr>
      <w:r>
        <w:rPr>
          <w:rStyle w:val="Strong"/>
        </w:rPr>
        <w:t>Leverage Ratio</w:t>
      </w:r>
      <w:r>
        <w:t>:</w:t>
      </w:r>
    </w:p>
    <w:p w14:paraId="69A85D23"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Minimum Leverage Ratio</w:t>
      </w:r>
      <w:r>
        <w:rPr>
          <w:rFonts w:eastAsia="Times New Roman"/>
        </w:rPr>
        <w:t>: 3% (Tier 1 capital / average total consolidated assets).</w:t>
      </w:r>
    </w:p>
    <w:p w14:paraId="7B0A025F" w14:textId="77777777" w:rsidR="00A633F6" w:rsidRDefault="00A633F6">
      <w:pPr>
        <w:pStyle w:val="NormalWeb"/>
        <w:numPr>
          <w:ilvl w:val="0"/>
          <w:numId w:val="1"/>
        </w:numPr>
        <w:divId w:val="599877562"/>
      </w:pPr>
      <w:r>
        <w:rPr>
          <w:rStyle w:val="Strong"/>
        </w:rPr>
        <w:t>Liquidity Requirements</w:t>
      </w:r>
      <w:r>
        <w:t>:</w:t>
      </w:r>
    </w:p>
    <w:p w14:paraId="4A09DD9D"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Liquidity Coverage Ratio (LCR)</w:t>
      </w:r>
      <w:r>
        <w:rPr>
          <w:rFonts w:eastAsia="Times New Roman"/>
        </w:rPr>
        <w:t>: Sufficient high-quality liquid assets to cover 30-day net cash outflows.</w:t>
      </w:r>
    </w:p>
    <w:p w14:paraId="7787A779"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Style w:val="Strong"/>
          <w:rFonts w:eastAsia="Times New Roman"/>
        </w:rPr>
        <w:t>Net Stable Funding Ratio (NSFR)</w:t>
      </w:r>
      <w:r>
        <w:rPr>
          <w:rFonts w:eastAsia="Times New Roman"/>
        </w:rPr>
        <w:t>: Stable funding profile over one year.</w:t>
      </w:r>
    </w:p>
    <w:p w14:paraId="2A30CC30" w14:textId="77777777" w:rsidR="00A633F6" w:rsidRDefault="00A633F6">
      <w:pPr>
        <w:pStyle w:val="NormalWeb"/>
        <w:numPr>
          <w:ilvl w:val="0"/>
          <w:numId w:val="1"/>
        </w:numPr>
        <w:divId w:val="599877562"/>
      </w:pPr>
      <w:r>
        <w:rPr>
          <w:rStyle w:val="Strong"/>
        </w:rPr>
        <w:t>Enhanced Disclosure</w:t>
      </w:r>
      <w:r>
        <w:t>:</w:t>
      </w:r>
    </w:p>
    <w:p w14:paraId="2D161140" w14:textId="77777777" w:rsidR="00A633F6" w:rsidRDefault="00A633F6" w:rsidP="00A633F6">
      <w:pPr>
        <w:numPr>
          <w:ilvl w:val="1"/>
          <w:numId w:val="1"/>
        </w:numPr>
        <w:spacing w:before="100" w:beforeAutospacing="1" w:after="100" w:afterAutospacing="1" w:line="240" w:lineRule="auto"/>
        <w:divId w:val="599877562"/>
        <w:rPr>
          <w:rFonts w:eastAsia="Times New Roman"/>
        </w:rPr>
      </w:pPr>
      <w:r>
        <w:rPr>
          <w:rFonts w:eastAsia="Times New Roman"/>
        </w:rPr>
        <w:t>Detailed information on risk profiles, capital adequacy, and risk management practices.</w:t>
      </w:r>
    </w:p>
    <w:p w14:paraId="42A0867D" w14:textId="77777777" w:rsidR="00A633F6" w:rsidRPr="00EE3794" w:rsidRDefault="00A633F6">
      <w:pPr>
        <w:pStyle w:val="Heading3"/>
        <w:divId w:val="599877562"/>
        <w:rPr>
          <w:rFonts w:eastAsia="Times New Roman"/>
          <w:b/>
          <w:bCs/>
          <w:color w:val="000000" w:themeColor="text1"/>
        </w:rPr>
      </w:pPr>
      <w:r w:rsidRPr="00EE3794">
        <w:rPr>
          <w:rFonts w:eastAsia="Times New Roman"/>
          <w:b/>
          <w:bCs/>
          <w:color w:val="000000" w:themeColor="text1"/>
        </w:rPr>
        <w:t>Implementation in the US</w:t>
      </w:r>
    </w:p>
    <w:p w14:paraId="235432C4" w14:textId="77777777" w:rsidR="00A633F6" w:rsidRDefault="00A633F6">
      <w:pPr>
        <w:pStyle w:val="NormalWeb"/>
        <w:divId w:val="599877562"/>
      </w:pPr>
      <w:r>
        <w:t>Implemented in 2013, with full compliance phased over several years. Larger institutions face stricter requirements, such as the Supplementary Leverage Ratio (SLR) and additional capital surcharges for global systemically important banks (G-SIBs).</w:t>
      </w:r>
    </w:p>
    <w:p w14:paraId="702C5C5F" w14:textId="77777777" w:rsidR="00A633F6" w:rsidRDefault="00A633F6">
      <w:pPr>
        <w:pStyle w:val="NormalWeb"/>
        <w:divId w:val="599877562"/>
      </w:pPr>
      <w:r>
        <w:rPr>
          <w:rStyle w:val="Strong"/>
        </w:rPr>
        <w:t>Key Regulatory Agencies</w:t>
      </w:r>
      <w:r>
        <w:t>:</w:t>
      </w:r>
    </w:p>
    <w:p w14:paraId="70E09A2D" w14:textId="77777777" w:rsidR="00A633F6" w:rsidRDefault="00A633F6" w:rsidP="00A633F6">
      <w:pPr>
        <w:numPr>
          <w:ilvl w:val="0"/>
          <w:numId w:val="2"/>
        </w:numPr>
        <w:spacing w:before="100" w:beforeAutospacing="1" w:after="100" w:afterAutospacing="1" w:line="240" w:lineRule="auto"/>
        <w:divId w:val="599877562"/>
        <w:rPr>
          <w:rFonts w:eastAsia="Times New Roman"/>
        </w:rPr>
      </w:pPr>
      <w:r>
        <w:rPr>
          <w:rStyle w:val="Strong"/>
          <w:rFonts w:eastAsia="Times New Roman"/>
        </w:rPr>
        <w:t>Federal Reserve (Fed)</w:t>
      </w:r>
    </w:p>
    <w:p w14:paraId="73879F50" w14:textId="77777777" w:rsidR="00A633F6" w:rsidRDefault="00A633F6" w:rsidP="00A633F6">
      <w:pPr>
        <w:numPr>
          <w:ilvl w:val="0"/>
          <w:numId w:val="2"/>
        </w:numPr>
        <w:spacing w:before="100" w:beforeAutospacing="1" w:after="100" w:afterAutospacing="1" w:line="240" w:lineRule="auto"/>
        <w:divId w:val="599877562"/>
        <w:rPr>
          <w:rFonts w:eastAsia="Times New Roman"/>
        </w:rPr>
      </w:pPr>
      <w:r>
        <w:rPr>
          <w:rStyle w:val="Strong"/>
          <w:rFonts w:eastAsia="Times New Roman"/>
        </w:rPr>
        <w:t>Office of the Comptroller of the Currency (OCC)</w:t>
      </w:r>
    </w:p>
    <w:p w14:paraId="34F7C0B7" w14:textId="77777777" w:rsidR="00A633F6" w:rsidRDefault="00A633F6" w:rsidP="00A633F6">
      <w:pPr>
        <w:numPr>
          <w:ilvl w:val="0"/>
          <w:numId w:val="2"/>
        </w:numPr>
        <w:spacing w:before="100" w:beforeAutospacing="1" w:after="100" w:afterAutospacing="1" w:line="240" w:lineRule="auto"/>
        <w:divId w:val="599877562"/>
        <w:rPr>
          <w:rFonts w:eastAsia="Times New Roman"/>
        </w:rPr>
      </w:pPr>
      <w:r>
        <w:rPr>
          <w:rStyle w:val="Strong"/>
          <w:rFonts w:eastAsia="Times New Roman"/>
        </w:rPr>
        <w:t>Federal Deposit Insurance Corporation (FDIC)</w:t>
      </w:r>
    </w:p>
    <w:p w14:paraId="1FA901AD" w14:textId="78223653" w:rsidR="00A633F6" w:rsidRPr="00EE3794" w:rsidRDefault="00A633F6">
      <w:pPr>
        <w:pStyle w:val="Heading3"/>
        <w:divId w:val="599877562"/>
        <w:rPr>
          <w:rFonts w:eastAsia="Times New Roman"/>
          <w:b/>
          <w:bCs/>
          <w:color w:val="000000" w:themeColor="text1"/>
        </w:rPr>
      </w:pPr>
      <w:r w:rsidRPr="00EE3794">
        <w:rPr>
          <w:rFonts w:eastAsia="Times New Roman"/>
          <w:b/>
          <w:bCs/>
          <w:color w:val="000000" w:themeColor="text1"/>
        </w:rPr>
        <w:t>Financial Metrics of Major Banks (20</w:t>
      </w:r>
      <w:r w:rsidR="00C92E95">
        <w:rPr>
          <w:rFonts w:eastAsia="Times New Roman"/>
          <w:b/>
          <w:bCs/>
          <w:color w:val="000000" w:themeColor="text1"/>
        </w:rPr>
        <w:t>22</w:t>
      </w:r>
      <w:r w:rsidRPr="00EE3794">
        <w:rPr>
          <w:rFonts w:eastAsia="Times New Roman"/>
          <w:b/>
          <w:bCs/>
          <w:color w:val="000000" w:themeColor="text1"/>
        </w:rPr>
        <w:t>-2023)</w:t>
      </w:r>
    </w:p>
    <w:tbl>
      <w:tblPr>
        <w:tblStyle w:val="TableGrid"/>
        <w:tblW w:w="8181" w:type="dxa"/>
        <w:tblLook w:val="04A0" w:firstRow="1" w:lastRow="0" w:firstColumn="1" w:lastColumn="0" w:noHBand="0" w:noVBand="1"/>
      </w:tblPr>
      <w:tblGrid>
        <w:gridCol w:w="729"/>
        <w:gridCol w:w="1180"/>
        <w:gridCol w:w="1387"/>
        <w:gridCol w:w="1041"/>
        <w:gridCol w:w="1249"/>
        <w:gridCol w:w="1458"/>
        <w:gridCol w:w="1137"/>
      </w:tblGrid>
      <w:tr w:rsidR="00A459C8" w14:paraId="6FA89171" w14:textId="16D89E5C" w:rsidTr="0090681C">
        <w:tc>
          <w:tcPr>
            <w:tcW w:w="726" w:type="dxa"/>
          </w:tcPr>
          <w:p w14:paraId="4160B860" w14:textId="67355D51" w:rsidR="00A459C8" w:rsidRDefault="00A459C8">
            <w:r>
              <w:t>Year</w:t>
            </w:r>
          </w:p>
        </w:tc>
        <w:tc>
          <w:tcPr>
            <w:tcW w:w="1181" w:type="dxa"/>
          </w:tcPr>
          <w:p w14:paraId="368E111E" w14:textId="1416B7E0" w:rsidR="00A459C8" w:rsidRDefault="00A459C8">
            <w:r>
              <w:t>Bank</w:t>
            </w:r>
          </w:p>
        </w:tc>
        <w:tc>
          <w:tcPr>
            <w:tcW w:w="1389" w:type="dxa"/>
          </w:tcPr>
          <w:p w14:paraId="0333885D" w14:textId="44537046" w:rsidR="00A459C8" w:rsidRDefault="00A459C8">
            <w:r>
              <w:t xml:space="preserve">Total Capital (in </w:t>
            </w:r>
            <w:r w:rsidR="00BA5CC9">
              <w:t xml:space="preserve">percentage </w:t>
            </w:r>
          </w:p>
        </w:tc>
        <w:tc>
          <w:tcPr>
            <w:tcW w:w="1041" w:type="dxa"/>
          </w:tcPr>
          <w:p w14:paraId="31BDF99F" w14:textId="0C2A84F4" w:rsidR="00A459C8" w:rsidRDefault="00A459C8">
            <w:r>
              <w:t>RWA (in billions)</w:t>
            </w:r>
          </w:p>
        </w:tc>
        <w:tc>
          <w:tcPr>
            <w:tcW w:w="1249" w:type="dxa"/>
          </w:tcPr>
          <w:p w14:paraId="37022501" w14:textId="51F33D1C" w:rsidR="00A459C8" w:rsidRDefault="00961EA0">
            <w:r>
              <w:t>Capital Adequacy Ratio (%)</w:t>
            </w:r>
          </w:p>
        </w:tc>
        <w:tc>
          <w:tcPr>
            <w:tcW w:w="1459" w:type="dxa"/>
          </w:tcPr>
          <w:p w14:paraId="6B0310CE" w14:textId="7D61AEAB" w:rsidR="00A459C8" w:rsidRDefault="00A459C8">
            <w:r>
              <w:t>Tier 1 Capital (in</w:t>
            </w:r>
            <w:r w:rsidR="00DE20CA">
              <w:t xml:space="preserve"> percentage</w:t>
            </w:r>
            <w:r>
              <w:t>)</w:t>
            </w:r>
          </w:p>
        </w:tc>
        <w:tc>
          <w:tcPr>
            <w:tcW w:w="1136" w:type="dxa"/>
          </w:tcPr>
          <w:p w14:paraId="0F3FDF87" w14:textId="10965B5E" w:rsidR="00A459C8" w:rsidRDefault="00A459C8">
            <w:r>
              <w:t>Leverage Ratio (%)</w:t>
            </w:r>
          </w:p>
        </w:tc>
      </w:tr>
      <w:tr w:rsidR="00A459C8" w14:paraId="47BD2AE9" w14:textId="42D840F8" w:rsidTr="0090681C">
        <w:tc>
          <w:tcPr>
            <w:tcW w:w="726" w:type="dxa"/>
          </w:tcPr>
          <w:p w14:paraId="5C2EDACB" w14:textId="6965D507" w:rsidR="00A459C8" w:rsidRDefault="00A459C8">
            <w:r>
              <w:t>2023</w:t>
            </w:r>
          </w:p>
        </w:tc>
        <w:tc>
          <w:tcPr>
            <w:tcW w:w="1181" w:type="dxa"/>
          </w:tcPr>
          <w:p w14:paraId="0C8C90C4" w14:textId="7000BE0C" w:rsidR="00A459C8" w:rsidRDefault="00A459C8">
            <w:r>
              <w:t xml:space="preserve">TD BANK </w:t>
            </w:r>
          </w:p>
        </w:tc>
        <w:tc>
          <w:tcPr>
            <w:tcW w:w="1389" w:type="dxa"/>
          </w:tcPr>
          <w:p w14:paraId="079A5BB7" w14:textId="121CCF6A" w:rsidR="00A459C8" w:rsidRDefault="005945CD">
            <w:r>
              <w:t>16.2</w:t>
            </w:r>
          </w:p>
        </w:tc>
        <w:tc>
          <w:tcPr>
            <w:tcW w:w="1041" w:type="dxa"/>
          </w:tcPr>
          <w:p w14:paraId="10A3721B" w14:textId="0E0DD339" w:rsidR="00A459C8" w:rsidRDefault="00CE1EBF">
            <w:r>
              <w:t>216</w:t>
            </w:r>
            <w:r w:rsidR="006F1CAD">
              <w:t>.28</w:t>
            </w:r>
          </w:p>
        </w:tc>
        <w:tc>
          <w:tcPr>
            <w:tcW w:w="1249" w:type="dxa"/>
          </w:tcPr>
          <w:p w14:paraId="3A66159E" w14:textId="16E17F06" w:rsidR="00A459C8" w:rsidRDefault="00EF66B3">
            <w:r>
              <w:t>13.50</w:t>
            </w:r>
          </w:p>
        </w:tc>
        <w:tc>
          <w:tcPr>
            <w:tcW w:w="1459" w:type="dxa"/>
          </w:tcPr>
          <w:p w14:paraId="5FCD4BB9" w14:textId="413404D6" w:rsidR="00A459C8" w:rsidRDefault="00DE20CA">
            <w:r>
              <w:t>16.20</w:t>
            </w:r>
          </w:p>
        </w:tc>
        <w:tc>
          <w:tcPr>
            <w:tcW w:w="1136" w:type="dxa"/>
          </w:tcPr>
          <w:p w14:paraId="7D413ADD" w14:textId="73925BBD" w:rsidR="00A459C8" w:rsidRDefault="00064F59">
            <w:r>
              <w:t>4.39</w:t>
            </w:r>
          </w:p>
        </w:tc>
      </w:tr>
      <w:tr w:rsidR="00A459C8" w14:paraId="3ADEC9CB" w14:textId="68743E9A" w:rsidTr="0090681C">
        <w:tc>
          <w:tcPr>
            <w:tcW w:w="726" w:type="dxa"/>
          </w:tcPr>
          <w:p w14:paraId="3F2405A9" w14:textId="44085E93" w:rsidR="00A459C8" w:rsidRDefault="00961EA0">
            <w:r>
              <w:t>2023</w:t>
            </w:r>
          </w:p>
        </w:tc>
        <w:tc>
          <w:tcPr>
            <w:tcW w:w="1181" w:type="dxa"/>
          </w:tcPr>
          <w:p w14:paraId="63F9F624" w14:textId="164563B3" w:rsidR="00A459C8" w:rsidRDefault="00A459C8">
            <w:r>
              <w:t xml:space="preserve">Goldman Sachs </w:t>
            </w:r>
          </w:p>
        </w:tc>
        <w:tc>
          <w:tcPr>
            <w:tcW w:w="1389" w:type="dxa"/>
          </w:tcPr>
          <w:p w14:paraId="0764A371" w14:textId="12F9603A" w:rsidR="00A459C8" w:rsidRDefault="00951BC2">
            <w:r>
              <w:t>11</w:t>
            </w:r>
          </w:p>
        </w:tc>
        <w:tc>
          <w:tcPr>
            <w:tcW w:w="1041" w:type="dxa"/>
          </w:tcPr>
          <w:p w14:paraId="744A8F92" w14:textId="5FE54CF6" w:rsidR="00A459C8" w:rsidRDefault="006E4865">
            <w:r>
              <w:t>432</w:t>
            </w:r>
          </w:p>
        </w:tc>
        <w:tc>
          <w:tcPr>
            <w:tcW w:w="1249" w:type="dxa"/>
          </w:tcPr>
          <w:p w14:paraId="275BCE3B" w14:textId="6D52C435" w:rsidR="00EF66B3" w:rsidRDefault="00EF66B3">
            <w:r>
              <w:t>10.7</w:t>
            </w:r>
          </w:p>
        </w:tc>
        <w:tc>
          <w:tcPr>
            <w:tcW w:w="1459" w:type="dxa"/>
          </w:tcPr>
          <w:p w14:paraId="799FC539" w14:textId="6654AA28" w:rsidR="00A459C8" w:rsidRDefault="008255AF">
            <w:r>
              <w:t>10.7</w:t>
            </w:r>
          </w:p>
        </w:tc>
        <w:tc>
          <w:tcPr>
            <w:tcW w:w="1136" w:type="dxa"/>
          </w:tcPr>
          <w:p w14:paraId="4E928C0F" w14:textId="72D79EDF" w:rsidR="00A459C8" w:rsidRDefault="00186CF9">
            <w:r>
              <w:t>5.8</w:t>
            </w:r>
          </w:p>
        </w:tc>
      </w:tr>
      <w:tr w:rsidR="00A459C8" w14:paraId="134F3243" w14:textId="50BF0839" w:rsidTr="0090681C">
        <w:tc>
          <w:tcPr>
            <w:tcW w:w="726" w:type="dxa"/>
          </w:tcPr>
          <w:p w14:paraId="4589AEA3" w14:textId="2CD5D4B7" w:rsidR="00A459C8" w:rsidRDefault="00961EA0">
            <w:r>
              <w:t>2023</w:t>
            </w:r>
          </w:p>
        </w:tc>
        <w:tc>
          <w:tcPr>
            <w:tcW w:w="1181" w:type="dxa"/>
          </w:tcPr>
          <w:p w14:paraId="4DFD8452" w14:textId="33B61C95" w:rsidR="00A459C8" w:rsidRDefault="00A459C8">
            <w:r>
              <w:t xml:space="preserve">JP Morgan Chase </w:t>
            </w:r>
          </w:p>
        </w:tc>
        <w:tc>
          <w:tcPr>
            <w:tcW w:w="1389" w:type="dxa"/>
          </w:tcPr>
          <w:p w14:paraId="11CA2737" w14:textId="5455DDC1" w:rsidR="00A459C8" w:rsidRDefault="00AF209C">
            <w:r>
              <w:t>16.</w:t>
            </w:r>
            <w:r w:rsidR="005F754E">
              <w:t>60</w:t>
            </w:r>
          </w:p>
        </w:tc>
        <w:tc>
          <w:tcPr>
            <w:tcW w:w="1041" w:type="dxa"/>
          </w:tcPr>
          <w:p w14:paraId="65427F43" w14:textId="69629E57" w:rsidR="00A459C8" w:rsidRDefault="006E4865">
            <w:r>
              <w:t>237</w:t>
            </w:r>
          </w:p>
        </w:tc>
        <w:tc>
          <w:tcPr>
            <w:tcW w:w="1249" w:type="dxa"/>
          </w:tcPr>
          <w:p w14:paraId="0976E0EE" w14:textId="7A92FD88" w:rsidR="00A459C8" w:rsidRDefault="00EF66B3">
            <w:r>
              <w:t>12.5</w:t>
            </w:r>
          </w:p>
        </w:tc>
        <w:tc>
          <w:tcPr>
            <w:tcW w:w="1459" w:type="dxa"/>
          </w:tcPr>
          <w:p w14:paraId="34DA2120" w14:textId="2112A957" w:rsidR="00A459C8" w:rsidRDefault="00917EBA">
            <w:r>
              <w:t>9.50</w:t>
            </w:r>
          </w:p>
        </w:tc>
        <w:tc>
          <w:tcPr>
            <w:tcW w:w="1136" w:type="dxa"/>
          </w:tcPr>
          <w:p w14:paraId="4BAB485A" w14:textId="05AA1B02" w:rsidR="00A459C8" w:rsidRDefault="0053744F">
            <w:r>
              <w:t>20.</w:t>
            </w:r>
            <w:r w:rsidR="0046712E">
              <w:t>52</w:t>
            </w:r>
          </w:p>
        </w:tc>
      </w:tr>
      <w:tr w:rsidR="00A459C8" w14:paraId="06388B6D" w14:textId="13058EFC" w:rsidTr="0090681C">
        <w:tc>
          <w:tcPr>
            <w:tcW w:w="726" w:type="dxa"/>
          </w:tcPr>
          <w:p w14:paraId="0FF03CE0" w14:textId="4806D77F" w:rsidR="00A459C8" w:rsidRDefault="00961EA0">
            <w:r>
              <w:t>2023</w:t>
            </w:r>
          </w:p>
        </w:tc>
        <w:tc>
          <w:tcPr>
            <w:tcW w:w="1181" w:type="dxa"/>
          </w:tcPr>
          <w:p w14:paraId="0E5C25D6" w14:textId="7080F01D" w:rsidR="00A459C8" w:rsidRDefault="00A459C8">
            <w:r>
              <w:t xml:space="preserve">First citizens </w:t>
            </w:r>
          </w:p>
        </w:tc>
        <w:tc>
          <w:tcPr>
            <w:tcW w:w="1389" w:type="dxa"/>
          </w:tcPr>
          <w:p w14:paraId="002428A9" w14:textId="437A71A8" w:rsidR="00A459C8" w:rsidRDefault="000B0E13">
            <w:r>
              <w:t>13.38</w:t>
            </w:r>
          </w:p>
        </w:tc>
        <w:tc>
          <w:tcPr>
            <w:tcW w:w="1041" w:type="dxa"/>
          </w:tcPr>
          <w:p w14:paraId="61D340EF" w14:textId="5488BF90" w:rsidR="00A459C8" w:rsidRDefault="006E4865">
            <w:r>
              <w:t>543</w:t>
            </w:r>
          </w:p>
        </w:tc>
        <w:tc>
          <w:tcPr>
            <w:tcW w:w="1249" w:type="dxa"/>
          </w:tcPr>
          <w:p w14:paraId="6BC42A10" w14:textId="020E6858" w:rsidR="00A459C8" w:rsidRDefault="00EF66B3">
            <w:r>
              <w:t>12</w:t>
            </w:r>
            <w:r w:rsidR="00917EBA">
              <w:t>.6</w:t>
            </w:r>
          </w:p>
        </w:tc>
        <w:tc>
          <w:tcPr>
            <w:tcW w:w="1459" w:type="dxa"/>
          </w:tcPr>
          <w:p w14:paraId="7855C245" w14:textId="06DB46C5" w:rsidR="00A459C8" w:rsidRDefault="00917EBA">
            <w:r>
              <w:t>7.54</w:t>
            </w:r>
          </w:p>
        </w:tc>
        <w:tc>
          <w:tcPr>
            <w:tcW w:w="1136" w:type="dxa"/>
          </w:tcPr>
          <w:p w14:paraId="574B0454" w14:textId="0FFE2650" w:rsidR="00A459C8" w:rsidRDefault="00CB1214">
            <w:r>
              <w:t>15.74</w:t>
            </w:r>
          </w:p>
        </w:tc>
      </w:tr>
      <w:tr w:rsidR="00A459C8" w14:paraId="4444F562" w14:textId="322ED546" w:rsidTr="0090681C">
        <w:tc>
          <w:tcPr>
            <w:tcW w:w="726" w:type="dxa"/>
          </w:tcPr>
          <w:p w14:paraId="071A2ECC" w14:textId="79F7E90D" w:rsidR="00A459C8" w:rsidRDefault="00961EA0">
            <w:r>
              <w:t>2023</w:t>
            </w:r>
          </w:p>
        </w:tc>
        <w:tc>
          <w:tcPr>
            <w:tcW w:w="1181" w:type="dxa"/>
          </w:tcPr>
          <w:p w14:paraId="1281FE83" w14:textId="691B5487" w:rsidR="00A459C8" w:rsidRDefault="00A459C8">
            <w:r>
              <w:t xml:space="preserve">Citigroup </w:t>
            </w:r>
          </w:p>
        </w:tc>
        <w:tc>
          <w:tcPr>
            <w:tcW w:w="1389" w:type="dxa"/>
          </w:tcPr>
          <w:p w14:paraId="200D961F" w14:textId="4C437421" w:rsidR="00A459C8" w:rsidRDefault="00432249">
            <w:r>
              <w:t>13.37</w:t>
            </w:r>
          </w:p>
        </w:tc>
        <w:tc>
          <w:tcPr>
            <w:tcW w:w="1041" w:type="dxa"/>
          </w:tcPr>
          <w:p w14:paraId="40791908" w14:textId="4E16B951" w:rsidR="00A459C8" w:rsidRDefault="006E4865">
            <w:r>
              <w:t>143</w:t>
            </w:r>
          </w:p>
        </w:tc>
        <w:tc>
          <w:tcPr>
            <w:tcW w:w="1249" w:type="dxa"/>
          </w:tcPr>
          <w:p w14:paraId="64B149C9" w14:textId="366F6A78" w:rsidR="00A459C8" w:rsidRDefault="004D7A62">
            <w:r>
              <w:t>11.50</w:t>
            </w:r>
          </w:p>
          <w:p w14:paraId="0314583C" w14:textId="324F5AAA" w:rsidR="004D7A62" w:rsidRDefault="004D7A62"/>
        </w:tc>
        <w:tc>
          <w:tcPr>
            <w:tcW w:w="1459" w:type="dxa"/>
          </w:tcPr>
          <w:p w14:paraId="5093E807" w14:textId="65EEC6C6" w:rsidR="00A459C8" w:rsidRDefault="00C50DB8">
            <w:r>
              <w:t>16.3</w:t>
            </w:r>
          </w:p>
        </w:tc>
        <w:tc>
          <w:tcPr>
            <w:tcW w:w="1136" w:type="dxa"/>
          </w:tcPr>
          <w:p w14:paraId="49B8A3AA" w14:textId="6122F8F4" w:rsidR="00A459C8" w:rsidRDefault="004F4567">
            <w:r>
              <w:t>5.8</w:t>
            </w:r>
          </w:p>
        </w:tc>
      </w:tr>
      <w:tr w:rsidR="00961EA0" w14:paraId="3CF124A5" w14:textId="77777777" w:rsidTr="0090681C">
        <w:tc>
          <w:tcPr>
            <w:tcW w:w="726" w:type="dxa"/>
          </w:tcPr>
          <w:p w14:paraId="2C61434F" w14:textId="41E7D162" w:rsidR="00961EA0" w:rsidRDefault="00066396">
            <w:r>
              <w:t>202</w:t>
            </w:r>
            <w:r w:rsidR="005F2B84">
              <w:t>2</w:t>
            </w:r>
          </w:p>
        </w:tc>
        <w:tc>
          <w:tcPr>
            <w:tcW w:w="1181" w:type="dxa"/>
          </w:tcPr>
          <w:p w14:paraId="2A600777" w14:textId="13741409" w:rsidR="00961EA0" w:rsidRDefault="00066396">
            <w:r>
              <w:t xml:space="preserve">TD BANK </w:t>
            </w:r>
          </w:p>
        </w:tc>
        <w:tc>
          <w:tcPr>
            <w:tcW w:w="1389" w:type="dxa"/>
          </w:tcPr>
          <w:p w14:paraId="410B2AEF" w14:textId="50002893" w:rsidR="00961EA0" w:rsidRDefault="008C5ECD">
            <w:r>
              <w:t>18.3</w:t>
            </w:r>
          </w:p>
        </w:tc>
        <w:tc>
          <w:tcPr>
            <w:tcW w:w="1041" w:type="dxa"/>
          </w:tcPr>
          <w:p w14:paraId="647AF055" w14:textId="4869D240" w:rsidR="00961EA0" w:rsidRDefault="006E4865">
            <w:r>
              <w:t>89</w:t>
            </w:r>
          </w:p>
        </w:tc>
        <w:tc>
          <w:tcPr>
            <w:tcW w:w="1249" w:type="dxa"/>
          </w:tcPr>
          <w:p w14:paraId="5B62E117" w14:textId="7E3FCC86" w:rsidR="00961EA0" w:rsidRDefault="00474A20">
            <w:r>
              <w:t>16.4</w:t>
            </w:r>
          </w:p>
        </w:tc>
        <w:tc>
          <w:tcPr>
            <w:tcW w:w="1459" w:type="dxa"/>
          </w:tcPr>
          <w:p w14:paraId="7B6224FD" w14:textId="6333F9F3" w:rsidR="00961EA0" w:rsidRDefault="00C50DB8">
            <w:r>
              <w:t>14.6</w:t>
            </w:r>
          </w:p>
        </w:tc>
        <w:tc>
          <w:tcPr>
            <w:tcW w:w="1136" w:type="dxa"/>
          </w:tcPr>
          <w:p w14:paraId="7F3204DA" w14:textId="0C157D1A" w:rsidR="00961EA0" w:rsidRDefault="002C68B7">
            <w:r>
              <w:t>4.9</w:t>
            </w:r>
          </w:p>
        </w:tc>
      </w:tr>
      <w:tr w:rsidR="00961EA0" w14:paraId="1D04BFEA" w14:textId="77777777" w:rsidTr="0090681C">
        <w:tc>
          <w:tcPr>
            <w:tcW w:w="726" w:type="dxa"/>
          </w:tcPr>
          <w:p w14:paraId="6D1A1657" w14:textId="5D2F2572" w:rsidR="00961EA0" w:rsidRDefault="00066396">
            <w:r>
              <w:t>202</w:t>
            </w:r>
            <w:r w:rsidR="005F2B84">
              <w:t>2</w:t>
            </w:r>
          </w:p>
        </w:tc>
        <w:tc>
          <w:tcPr>
            <w:tcW w:w="1181" w:type="dxa"/>
          </w:tcPr>
          <w:p w14:paraId="1CD8088F" w14:textId="0430C61E" w:rsidR="00961EA0" w:rsidRDefault="00066396">
            <w:r>
              <w:t xml:space="preserve">Goldman Sachs </w:t>
            </w:r>
          </w:p>
        </w:tc>
        <w:tc>
          <w:tcPr>
            <w:tcW w:w="1389" w:type="dxa"/>
          </w:tcPr>
          <w:p w14:paraId="26CD20A8" w14:textId="7EDC2387" w:rsidR="00961EA0" w:rsidRDefault="00C469F9">
            <w:r>
              <w:t>10.7</w:t>
            </w:r>
          </w:p>
        </w:tc>
        <w:tc>
          <w:tcPr>
            <w:tcW w:w="1041" w:type="dxa"/>
          </w:tcPr>
          <w:p w14:paraId="266A842E" w14:textId="6BF0A4C0" w:rsidR="00961EA0" w:rsidRDefault="006E4865">
            <w:r>
              <w:t>546</w:t>
            </w:r>
          </w:p>
        </w:tc>
        <w:tc>
          <w:tcPr>
            <w:tcW w:w="1249" w:type="dxa"/>
          </w:tcPr>
          <w:p w14:paraId="5F5DA68F" w14:textId="04308693" w:rsidR="00961EA0" w:rsidRDefault="00474A20">
            <w:r>
              <w:t>13.5</w:t>
            </w:r>
          </w:p>
        </w:tc>
        <w:tc>
          <w:tcPr>
            <w:tcW w:w="1459" w:type="dxa"/>
          </w:tcPr>
          <w:p w14:paraId="26CBB197" w14:textId="7A76CBF7" w:rsidR="00961EA0" w:rsidRDefault="00C50DB8">
            <w:r>
              <w:t>13.78</w:t>
            </w:r>
          </w:p>
        </w:tc>
        <w:tc>
          <w:tcPr>
            <w:tcW w:w="1136" w:type="dxa"/>
          </w:tcPr>
          <w:p w14:paraId="6F68A812" w14:textId="2F07DD8D" w:rsidR="00961EA0" w:rsidRDefault="002D3976">
            <w:r>
              <w:t>7.3</w:t>
            </w:r>
          </w:p>
        </w:tc>
      </w:tr>
      <w:tr w:rsidR="00961EA0" w14:paraId="4703B5E1" w14:textId="77777777" w:rsidTr="0090681C">
        <w:tc>
          <w:tcPr>
            <w:tcW w:w="726" w:type="dxa"/>
          </w:tcPr>
          <w:p w14:paraId="2AAC760B" w14:textId="7445008E" w:rsidR="00961EA0" w:rsidRDefault="00066396">
            <w:r>
              <w:t>202</w:t>
            </w:r>
            <w:r w:rsidR="005F2B84">
              <w:t>2</w:t>
            </w:r>
          </w:p>
        </w:tc>
        <w:tc>
          <w:tcPr>
            <w:tcW w:w="1181" w:type="dxa"/>
          </w:tcPr>
          <w:p w14:paraId="35395020" w14:textId="1EE315B0" w:rsidR="00961EA0" w:rsidRDefault="00A16A7F">
            <w:r>
              <w:t xml:space="preserve">JP Morgan Chase </w:t>
            </w:r>
          </w:p>
        </w:tc>
        <w:tc>
          <w:tcPr>
            <w:tcW w:w="1389" w:type="dxa"/>
          </w:tcPr>
          <w:p w14:paraId="72C3A414" w14:textId="6A70D042" w:rsidR="00961EA0" w:rsidRDefault="005F754E">
            <w:r>
              <w:t>14.90</w:t>
            </w:r>
          </w:p>
        </w:tc>
        <w:tc>
          <w:tcPr>
            <w:tcW w:w="1041" w:type="dxa"/>
          </w:tcPr>
          <w:p w14:paraId="567A85E8" w14:textId="112F0537" w:rsidR="00961EA0" w:rsidRDefault="006E4865">
            <w:r>
              <w:t>314</w:t>
            </w:r>
          </w:p>
        </w:tc>
        <w:tc>
          <w:tcPr>
            <w:tcW w:w="1249" w:type="dxa"/>
          </w:tcPr>
          <w:p w14:paraId="356FEBAD" w14:textId="7884DC15" w:rsidR="00961EA0" w:rsidRDefault="00474A20">
            <w:r>
              <w:t>11.0</w:t>
            </w:r>
          </w:p>
        </w:tc>
        <w:tc>
          <w:tcPr>
            <w:tcW w:w="1459" w:type="dxa"/>
          </w:tcPr>
          <w:p w14:paraId="21B10FE2" w14:textId="05DC5570" w:rsidR="00961EA0" w:rsidRDefault="00C50DB8">
            <w:r>
              <w:t>12.6</w:t>
            </w:r>
          </w:p>
        </w:tc>
        <w:tc>
          <w:tcPr>
            <w:tcW w:w="1136" w:type="dxa"/>
          </w:tcPr>
          <w:p w14:paraId="20BB283F" w14:textId="08EAB5A3" w:rsidR="00961EA0" w:rsidRDefault="00A01C5D">
            <w:r>
              <w:t>6.6</w:t>
            </w:r>
          </w:p>
        </w:tc>
      </w:tr>
      <w:tr w:rsidR="00961EA0" w14:paraId="456A28AC" w14:textId="77777777" w:rsidTr="0090681C">
        <w:tc>
          <w:tcPr>
            <w:tcW w:w="726" w:type="dxa"/>
          </w:tcPr>
          <w:p w14:paraId="7CD75A79" w14:textId="53399080" w:rsidR="00961EA0" w:rsidRDefault="00066396">
            <w:r>
              <w:t>202</w:t>
            </w:r>
            <w:r w:rsidR="005F2B84">
              <w:t>2</w:t>
            </w:r>
          </w:p>
        </w:tc>
        <w:tc>
          <w:tcPr>
            <w:tcW w:w="1181" w:type="dxa"/>
          </w:tcPr>
          <w:p w14:paraId="6CB6D342" w14:textId="2E3612A1" w:rsidR="00961EA0" w:rsidRDefault="00A16A7F">
            <w:r>
              <w:t xml:space="preserve">First citizens </w:t>
            </w:r>
          </w:p>
        </w:tc>
        <w:tc>
          <w:tcPr>
            <w:tcW w:w="1389" w:type="dxa"/>
          </w:tcPr>
          <w:p w14:paraId="3CD37C32" w14:textId="69E1C5DF" w:rsidR="00961EA0" w:rsidRDefault="00275DAA">
            <w:r>
              <w:t>13</w:t>
            </w:r>
            <w:r w:rsidR="007B18A9">
              <w:t>.18</w:t>
            </w:r>
          </w:p>
        </w:tc>
        <w:tc>
          <w:tcPr>
            <w:tcW w:w="1041" w:type="dxa"/>
          </w:tcPr>
          <w:p w14:paraId="18504F53" w14:textId="1BA9CA3F" w:rsidR="00961EA0" w:rsidRDefault="006E4865">
            <w:r>
              <w:t>433</w:t>
            </w:r>
          </w:p>
        </w:tc>
        <w:tc>
          <w:tcPr>
            <w:tcW w:w="1249" w:type="dxa"/>
          </w:tcPr>
          <w:p w14:paraId="5BFFEFBA" w14:textId="4E0A9221" w:rsidR="00961EA0" w:rsidRDefault="00917EBA">
            <w:r>
              <w:t>16.19</w:t>
            </w:r>
          </w:p>
        </w:tc>
        <w:tc>
          <w:tcPr>
            <w:tcW w:w="1459" w:type="dxa"/>
          </w:tcPr>
          <w:p w14:paraId="049CA4D7" w14:textId="685F7468" w:rsidR="00961EA0" w:rsidRDefault="002331F5">
            <w:r>
              <w:t>11.06</w:t>
            </w:r>
          </w:p>
        </w:tc>
        <w:tc>
          <w:tcPr>
            <w:tcW w:w="1136" w:type="dxa"/>
          </w:tcPr>
          <w:p w14:paraId="086C7FA9" w14:textId="3263FC8F" w:rsidR="00961EA0" w:rsidRDefault="00397FE8">
            <w:r>
              <w:t>9.3</w:t>
            </w:r>
          </w:p>
        </w:tc>
      </w:tr>
      <w:tr w:rsidR="00066396" w14:paraId="0F2A8A1B" w14:textId="77777777" w:rsidTr="0090681C">
        <w:tc>
          <w:tcPr>
            <w:tcW w:w="726" w:type="dxa"/>
          </w:tcPr>
          <w:p w14:paraId="74E5B220" w14:textId="47560D91" w:rsidR="00066396" w:rsidRDefault="00066396">
            <w:r>
              <w:t>202</w:t>
            </w:r>
            <w:r w:rsidR="005F2B84">
              <w:t>2</w:t>
            </w:r>
          </w:p>
        </w:tc>
        <w:tc>
          <w:tcPr>
            <w:tcW w:w="1181" w:type="dxa"/>
          </w:tcPr>
          <w:p w14:paraId="2AEF75E7" w14:textId="6768FDF6" w:rsidR="00066396" w:rsidRDefault="00A16A7F">
            <w:r>
              <w:t xml:space="preserve">Citigroup </w:t>
            </w:r>
          </w:p>
        </w:tc>
        <w:tc>
          <w:tcPr>
            <w:tcW w:w="1389" w:type="dxa"/>
          </w:tcPr>
          <w:p w14:paraId="3F8AF78F" w14:textId="10CD59CD" w:rsidR="00066396" w:rsidRDefault="00EE5D2D">
            <w:r>
              <w:t>14.8</w:t>
            </w:r>
          </w:p>
        </w:tc>
        <w:tc>
          <w:tcPr>
            <w:tcW w:w="1041" w:type="dxa"/>
          </w:tcPr>
          <w:p w14:paraId="5147FE38" w14:textId="4C6F223E" w:rsidR="00066396" w:rsidRDefault="006E4865">
            <w:r>
              <w:t>314</w:t>
            </w:r>
          </w:p>
        </w:tc>
        <w:tc>
          <w:tcPr>
            <w:tcW w:w="1249" w:type="dxa"/>
          </w:tcPr>
          <w:p w14:paraId="51F078F1" w14:textId="2BC96C69" w:rsidR="00066396" w:rsidRDefault="00917EBA">
            <w:r>
              <w:t>14.2</w:t>
            </w:r>
          </w:p>
        </w:tc>
        <w:tc>
          <w:tcPr>
            <w:tcW w:w="1459" w:type="dxa"/>
          </w:tcPr>
          <w:p w14:paraId="115CA426" w14:textId="13EFEB8B" w:rsidR="00066396" w:rsidRDefault="00C50DB8">
            <w:r>
              <w:t>13.4</w:t>
            </w:r>
          </w:p>
        </w:tc>
        <w:tc>
          <w:tcPr>
            <w:tcW w:w="1136" w:type="dxa"/>
          </w:tcPr>
          <w:p w14:paraId="2A11FD2E" w14:textId="5F1BDC93" w:rsidR="00066396" w:rsidRDefault="00D912CC">
            <w:r>
              <w:t>7.1</w:t>
            </w:r>
          </w:p>
        </w:tc>
      </w:tr>
    </w:tbl>
    <w:p w14:paraId="12F35D4E" w14:textId="77777777" w:rsidR="00BB15F3" w:rsidRDefault="00BB15F3"/>
    <w:p w14:paraId="0965B0E9" w14:textId="77777777" w:rsidR="002D7711" w:rsidRDefault="002D7711"/>
    <w:p w14:paraId="1D4090BF" w14:textId="744609B7" w:rsidR="002D7711" w:rsidRPr="00C92E95" w:rsidRDefault="002D7711">
      <w:pPr>
        <w:rPr>
          <w:sz w:val="32"/>
          <w:szCs w:val="32"/>
        </w:rPr>
      </w:pPr>
      <w:r w:rsidRPr="00C92E95">
        <w:rPr>
          <w:b/>
          <w:bCs/>
          <w:sz w:val="32"/>
          <w:szCs w:val="32"/>
        </w:rPr>
        <w:t>Introduction to SEC Regulations of US Banking Systems</w:t>
      </w:r>
      <w:r w:rsidRPr="00C92E95">
        <w:rPr>
          <w:sz w:val="32"/>
          <w:szCs w:val="32"/>
        </w:rPr>
        <w:t>**</w:t>
      </w:r>
    </w:p>
    <w:p w14:paraId="50FDA868" w14:textId="77777777" w:rsidR="002D7711" w:rsidRDefault="002D7711"/>
    <w:p w14:paraId="2E328063" w14:textId="181CE3BC" w:rsidR="002D7711" w:rsidRDefault="002D7711">
      <w:r>
        <w:t xml:space="preserve">1. </w:t>
      </w:r>
      <w:r w:rsidR="00563F26">
        <w:t>P</w:t>
      </w:r>
      <w:r w:rsidRPr="00563F26">
        <w:rPr>
          <w:b/>
          <w:bCs/>
        </w:rPr>
        <w:t>urpose of SEC Regulations</w:t>
      </w:r>
    </w:p>
    <w:p w14:paraId="6274314D" w14:textId="77777777" w:rsidR="002D7711" w:rsidRDefault="002D7711">
      <w:r>
        <w:t xml:space="preserve">   - Ensure fair practices in securities activities of banks.</w:t>
      </w:r>
    </w:p>
    <w:p w14:paraId="1E9440EC" w14:textId="77777777" w:rsidR="002D7711" w:rsidRDefault="002D7711">
      <w:r>
        <w:t xml:space="preserve">   - Protect investors by requiring accurate disclosure of financial information.</w:t>
      </w:r>
    </w:p>
    <w:p w14:paraId="388B716E" w14:textId="77777777" w:rsidR="002D7711" w:rsidRDefault="002D7711">
      <w:r>
        <w:t xml:space="preserve">   - Promote transparency and integrity in financial markets.</w:t>
      </w:r>
    </w:p>
    <w:p w14:paraId="588B5EAD" w14:textId="77777777" w:rsidR="002D7711" w:rsidRDefault="002D7711"/>
    <w:p w14:paraId="75BC0B41" w14:textId="1599C98C" w:rsidR="002D7711" w:rsidRPr="0016225A" w:rsidRDefault="002D7711">
      <w:pPr>
        <w:rPr>
          <w:b/>
          <w:bCs/>
        </w:rPr>
      </w:pPr>
      <w:r>
        <w:t xml:space="preserve">2. </w:t>
      </w:r>
      <w:r w:rsidR="0016225A" w:rsidRPr="0016225A">
        <w:rPr>
          <w:b/>
          <w:bCs/>
        </w:rPr>
        <w:t>R</w:t>
      </w:r>
      <w:r w:rsidRPr="0016225A">
        <w:rPr>
          <w:b/>
          <w:bCs/>
        </w:rPr>
        <w:t>egulation of Securities Activities</w:t>
      </w:r>
    </w:p>
    <w:p w14:paraId="4A08B8D8" w14:textId="2912D8B9" w:rsidR="002D7711" w:rsidRDefault="002D7711">
      <w:r>
        <w:t xml:space="preserve">   - Oversight of banks’ activities in underwriting, trading, and selling securities.</w:t>
      </w:r>
    </w:p>
    <w:p w14:paraId="4BA81674" w14:textId="77777777" w:rsidR="002D7711" w:rsidRDefault="002D7711">
      <w:r>
        <w:t xml:space="preserve">   - Rules under the Securities Act of 1933 and Securities Exchange Act of 1934 govern these activities.</w:t>
      </w:r>
    </w:p>
    <w:p w14:paraId="0A722DC5" w14:textId="77777777" w:rsidR="002D7711" w:rsidRDefault="002D7711">
      <w:r>
        <w:t xml:space="preserve">   - Requirements for accurate and timely disclosure to investors.</w:t>
      </w:r>
    </w:p>
    <w:p w14:paraId="595298EF" w14:textId="77777777" w:rsidR="002D7711" w:rsidRDefault="002D7711"/>
    <w:p w14:paraId="50C1F5C5" w14:textId="1837E6D6" w:rsidR="002D7711" w:rsidRPr="002A3233" w:rsidRDefault="002D7711">
      <w:pPr>
        <w:rPr>
          <w:b/>
          <w:bCs/>
        </w:rPr>
      </w:pPr>
      <w:r>
        <w:t>3</w:t>
      </w:r>
      <w:r w:rsidRPr="002A3233">
        <w:rPr>
          <w:b/>
          <w:bCs/>
        </w:rPr>
        <w:t xml:space="preserve">. </w:t>
      </w:r>
      <w:r w:rsidR="0016225A" w:rsidRPr="002A3233">
        <w:rPr>
          <w:b/>
          <w:bCs/>
        </w:rPr>
        <w:t>I</w:t>
      </w:r>
      <w:r w:rsidRPr="002A3233">
        <w:rPr>
          <w:b/>
          <w:bCs/>
        </w:rPr>
        <w:t>nvestor Protection</w:t>
      </w:r>
    </w:p>
    <w:p w14:paraId="3BFE6474" w14:textId="77777777" w:rsidR="002D7711" w:rsidRDefault="002D7711">
      <w:r>
        <w:t xml:space="preserve">   - Ensure investors receive truthful and complete information about securities.</w:t>
      </w:r>
    </w:p>
    <w:p w14:paraId="29608079" w14:textId="77777777" w:rsidR="002D7711" w:rsidRDefault="002D7711">
      <w:r>
        <w:t xml:space="preserve">   - Prevent fraudulent practices like insider trading and market manipulation.</w:t>
      </w:r>
    </w:p>
    <w:p w14:paraId="762D5C9F" w14:textId="77777777" w:rsidR="002D7711" w:rsidRDefault="002D7711">
      <w:r>
        <w:t xml:space="preserve">   - Enhance investor confidence in the fairness of financial markets.</w:t>
      </w:r>
    </w:p>
    <w:p w14:paraId="45474895" w14:textId="77777777" w:rsidR="002D7711" w:rsidRDefault="002D7711"/>
    <w:p w14:paraId="5AB84987" w14:textId="0A26C34F" w:rsidR="002D7711" w:rsidRPr="002A3233" w:rsidRDefault="002D7711">
      <w:pPr>
        <w:rPr>
          <w:b/>
          <w:bCs/>
        </w:rPr>
      </w:pPr>
      <w:r>
        <w:t xml:space="preserve">4. </w:t>
      </w:r>
      <w:r w:rsidR="0016225A" w:rsidRPr="002A3233">
        <w:rPr>
          <w:b/>
          <w:bCs/>
        </w:rPr>
        <w:t>M</w:t>
      </w:r>
      <w:r w:rsidRPr="002A3233">
        <w:rPr>
          <w:b/>
          <w:bCs/>
        </w:rPr>
        <w:t>arket Integrity</w:t>
      </w:r>
    </w:p>
    <w:p w14:paraId="6AE9B23B" w14:textId="77777777" w:rsidR="002D7711" w:rsidRDefault="002D7711">
      <w:r>
        <w:t xml:space="preserve">   - Enforcement of rules to maintain fair and efficient markets.</w:t>
      </w:r>
    </w:p>
    <w:p w14:paraId="22677ABF" w14:textId="77777777" w:rsidR="002D7711" w:rsidRDefault="002D7711">
      <w:r>
        <w:t xml:space="preserve">   - Monitoring for compliance with regulations to prevent misconduct.</w:t>
      </w:r>
    </w:p>
    <w:p w14:paraId="76DCA7DB" w14:textId="77777777" w:rsidR="002D7711" w:rsidRDefault="002D7711">
      <w:r>
        <w:t xml:space="preserve">   - Promote trust and stability in the financial system.</w:t>
      </w:r>
    </w:p>
    <w:p w14:paraId="0A207ECA" w14:textId="77777777" w:rsidR="002D7711" w:rsidRDefault="002D7711"/>
    <w:p w14:paraId="1BACB306" w14:textId="1D6B5737" w:rsidR="002D7711" w:rsidRPr="002A3233" w:rsidRDefault="002D7711">
      <w:pPr>
        <w:rPr>
          <w:b/>
          <w:bCs/>
        </w:rPr>
      </w:pPr>
      <w:r>
        <w:t>5</w:t>
      </w:r>
      <w:r w:rsidRPr="002A3233">
        <w:rPr>
          <w:b/>
          <w:bCs/>
        </w:rPr>
        <w:t>. Coordination with Other Regulators</w:t>
      </w:r>
    </w:p>
    <w:p w14:paraId="4B5CA407" w14:textId="77777777" w:rsidR="002D7711" w:rsidRDefault="002D7711">
      <w:r>
        <w:t xml:space="preserve">   - Collaboration with banking regulators (e.g., Federal Reserve, OCC) on overlapping issues.</w:t>
      </w:r>
    </w:p>
    <w:p w14:paraId="3C0D78E2" w14:textId="77777777" w:rsidR="002D7711" w:rsidRDefault="002D7711">
      <w:r>
        <w:t xml:space="preserve">   - Ensure consistent standards and comprehensive oversight of financial institutions.</w:t>
      </w:r>
    </w:p>
    <w:p w14:paraId="6BE355DC" w14:textId="77777777" w:rsidR="002D7711" w:rsidRDefault="002D7711">
      <w:r>
        <w:t xml:space="preserve">   - Manage systemic risks that could affect the broader economy.</w:t>
      </w:r>
    </w:p>
    <w:p w14:paraId="0B61B802" w14:textId="77777777" w:rsidR="002D7711" w:rsidRDefault="002D7711"/>
    <w:p w14:paraId="3EDCEB89" w14:textId="45A6E118" w:rsidR="002D7711" w:rsidRPr="002A3233" w:rsidRDefault="002D7711">
      <w:pPr>
        <w:rPr>
          <w:b/>
          <w:bCs/>
        </w:rPr>
      </w:pPr>
      <w:r w:rsidRPr="002A3233">
        <w:rPr>
          <w:b/>
          <w:bCs/>
        </w:rPr>
        <w:t>6. Global Impact</w:t>
      </w:r>
    </w:p>
    <w:p w14:paraId="3C44B332" w14:textId="77777777" w:rsidR="002D7711" w:rsidRDefault="002D7711">
      <w:r>
        <w:t xml:space="preserve">   - Influence global financial markets due to the international operations of US banks.</w:t>
      </w:r>
    </w:p>
    <w:p w14:paraId="329B697F" w14:textId="77777777" w:rsidR="002D7711" w:rsidRDefault="002D7711">
      <w:r>
        <w:t xml:space="preserve">   - Enhance competitiveness by adhering to SEC regulations.</w:t>
      </w:r>
    </w:p>
    <w:p w14:paraId="1650E4A3" w14:textId="362A7572" w:rsidR="00353287" w:rsidRDefault="002D7711">
      <w:r>
        <w:t xml:space="preserve">   - Support international regulatory harmonization efforts.</w:t>
      </w:r>
    </w:p>
    <w:p w14:paraId="7EB613F1" w14:textId="77777777" w:rsidR="00AB417E" w:rsidRDefault="00AB417E"/>
    <w:tbl>
      <w:tblPr>
        <w:tblStyle w:val="TableGrid"/>
        <w:tblW w:w="0" w:type="auto"/>
        <w:tblLook w:val="04A0" w:firstRow="1" w:lastRow="0" w:firstColumn="1" w:lastColumn="0" w:noHBand="0" w:noVBand="1"/>
      </w:tblPr>
      <w:tblGrid>
        <w:gridCol w:w="1411"/>
        <w:gridCol w:w="2058"/>
        <w:gridCol w:w="1756"/>
        <w:gridCol w:w="1453"/>
        <w:gridCol w:w="1199"/>
      </w:tblGrid>
      <w:tr w:rsidR="00CF1FF1" w14:paraId="777EB87B" w14:textId="4250E5C5" w:rsidTr="008469A7">
        <w:tc>
          <w:tcPr>
            <w:tcW w:w="1411" w:type="dxa"/>
          </w:tcPr>
          <w:p w14:paraId="3767980B" w14:textId="13E17CF5" w:rsidR="00CF1FF1" w:rsidRDefault="00CF1FF1">
            <w:r>
              <w:t xml:space="preserve">Year </w:t>
            </w:r>
          </w:p>
        </w:tc>
        <w:tc>
          <w:tcPr>
            <w:tcW w:w="2058" w:type="dxa"/>
          </w:tcPr>
          <w:p w14:paraId="1C40ACAD" w14:textId="2BD7645A" w:rsidR="00CF1FF1" w:rsidRDefault="00CF1FF1">
            <w:r>
              <w:t xml:space="preserve">Market manipulation </w:t>
            </w:r>
          </w:p>
        </w:tc>
        <w:tc>
          <w:tcPr>
            <w:tcW w:w="1756" w:type="dxa"/>
          </w:tcPr>
          <w:p w14:paraId="782D28AF" w14:textId="6C2CD45D" w:rsidR="00CF1FF1" w:rsidRDefault="00CF1FF1">
            <w:r>
              <w:t xml:space="preserve">Financial fraud </w:t>
            </w:r>
          </w:p>
        </w:tc>
        <w:tc>
          <w:tcPr>
            <w:tcW w:w="1453" w:type="dxa"/>
          </w:tcPr>
          <w:p w14:paraId="6D44A114" w14:textId="1A135BAB" w:rsidR="00CF1FF1" w:rsidRDefault="00CF1FF1">
            <w:r>
              <w:t xml:space="preserve">Insider Trading </w:t>
            </w:r>
          </w:p>
        </w:tc>
        <w:tc>
          <w:tcPr>
            <w:tcW w:w="1199" w:type="dxa"/>
          </w:tcPr>
          <w:p w14:paraId="348B9A99" w14:textId="16990F50" w:rsidR="00CF1FF1" w:rsidRDefault="00CF1FF1">
            <w:r>
              <w:t>Total actins</w:t>
            </w:r>
          </w:p>
        </w:tc>
      </w:tr>
      <w:tr w:rsidR="00CF1FF1" w14:paraId="2ED1FB81" w14:textId="0BFAE936" w:rsidTr="008469A7">
        <w:tc>
          <w:tcPr>
            <w:tcW w:w="1411" w:type="dxa"/>
          </w:tcPr>
          <w:p w14:paraId="53785113" w14:textId="094D78EA" w:rsidR="00CF1FF1" w:rsidRDefault="003F7A80">
            <w:r>
              <w:t xml:space="preserve">2019 </w:t>
            </w:r>
          </w:p>
        </w:tc>
        <w:tc>
          <w:tcPr>
            <w:tcW w:w="2058" w:type="dxa"/>
          </w:tcPr>
          <w:p w14:paraId="49CB329F" w14:textId="541CBB85" w:rsidR="00CF1FF1" w:rsidRDefault="003F7A80">
            <w:r>
              <w:t>50</w:t>
            </w:r>
          </w:p>
        </w:tc>
        <w:tc>
          <w:tcPr>
            <w:tcW w:w="1756" w:type="dxa"/>
          </w:tcPr>
          <w:p w14:paraId="1361ED1C" w14:textId="5D16C05F" w:rsidR="00CF1FF1" w:rsidRDefault="003F7A80">
            <w:r>
              <w:t>140</w:t>
            </w:r>
          </w:p>
        </w:tc>
        <w:tc>
          <w:tcPr>
            <w:tcW w:w="1453" w:type="dxa"/>
          </w:tcPr>
          <w:p w14:paraId="66A0E13E" w14:textId="1F4484AB" w:rsidR="00CF1FF1" w:rsidRDefault="003F7A80">
            <w:r>
              <w:t>55</w:t>
            </w:r>
          </w:p>
        </w:tc>
        <w:tc>
          <w:tcPr>
            <w:tcW w:w="1199" w:type="dxa"/>
          </w:tcPr>
          <w:p w14:paraId="33D175CA" w14:textId="5238746D" w:rsidR="00CF1FF1" w:rsidRDefault="00C209D5">
            <w:r>
              <w:t>245</w:t>
            </w:r>
          </w:p>
        </w:tc>
      </w:tr>
      <w:tr w:rsidR="00CF1FF1" w14:paraId="7896A8B8" w14:textId="7746FB7A" w:rsidTr="008469A7">
        <w:tc>
          <w:tcPr>
            <w:tcW w:w="1411" w:type="dxa"/>
          </w:tcPr>
          <w:p w14:paraId="48AA3D68" w14:textId="0AE0BA9B" w:rsidR="00CF1FF1" w:rsidRDefault="003F7A80">
            <w:r>
              <w:t>2020</w:t>
            </w:r>
          </w:p>
        </w:tc>
        <w:tc>
          <w:tcPr>
            <w:tcW w:w="2058" w:type="dxa"/>
          </w:tcPr>
          <w:p w14:paraId="4602ABCD" w14:textId="245CC53A" w:rsidR="00CF1FF1" w:rsidRDefault="007E4E0C">
            <w:r>
              <w:t>55</w:t>
            </w:r>
          </w:p>
        </w:tc>
        <w:tc>
          <w:tcPr>
            <w:tcW w:w="1756" w:type="dxa"/>
          </w:tcPr>
          <w:p w14:paraId="6F85BC53" w14:textId="76E209E3" w:rsidR="00CF1FF1" w:rsidRDefault="008010AB">
            <w:r>
              <w:t>150</w:t>
            </w:r>
          </w:p>
        </w:tc>
        <w:tc>
          <w:tcPr>
            <w:tcW w:w="1453" w:type="dxa"/>
          </w:tcPr>
          <w:p w14:paraId="096838B0" w14:textId="663B87EB" w:rsidR="00CF1FF1" w:rsidRDefault="008010AB">
            <w:r>
              <w:t>70</w:t>
            </w:r>
          </w:p>
        </w:tc>
        <w:tc>
          <w:tcPr>
            <w:tcW w:w="1199" w:type="dxa"/>
          </w:tcPr>
          <w:p w14:paraId="792A6A55" w14:textId="6B6BDECB" w:rsidR="00CF1FF1" w:rsidRDefault="00F125D8">
            <w:r>
              <w:t>275</w:t>
            </w:r>
          </w:p>
        </w:tc>
      </w:tr>
      <w:tr w:rsidR="003F7A80" w14:paraId="1F51812F" w14:textId="77777777" w:rsidTr="008469A7">
        <w:tc>
          <w:tcPr>
            <w:tcW w:w="1411" w:type="dxa"/>
          </w:tcPr>
          <w:p w14:paraId="7C7F00A1" w14:textId="5BFF3397" w:rsidR="003F7A80" w:rsidRDefault="003F7A80">
            <w:r>
              <w:t>2021</w:t>
            </w:r>
          </w:p>
        </w:tc>
        <w:tc>
          <w:tcPr>
            <w:tcW w:w="2058" w:type="dxa"/>
          </w:tcPr>
          <w:p w14:paraId="2F480A83" w14:textId="121F4B43" w:rsidR="003F7A80" w:rsidRDefault="008010AB">
            <w:r>
              <w:t>60</w:t>
            </w:r>
          </w:p>
        </w:tc>
        <w:tc>
          <w:tcPr>
            <w:tcW w:w="1756" w:type="dxa"/>
          </w:tcPr>
          <w:p w14:paraId="79C81E53" w14:textId="03B07BB6" w:rsidR="003F7A80" w:rsidRDefault="008010AB">
            <w:r>
              <w:t>160</w:t>
            </w:r>
          </w:p>
        </w:tc>
        <w:tc>
          <w:tcPr>
            <w:tcW w:w="1453" w:type="dxa"/>
          </w:tcPr>
          <w:p w14:paraId="0D405516" w14:textId="6AD573A4" w:rsidR="003F7A80" w:rsidRDefault="00D80C2C">
            <w:r>
              <w:t>80</w:t>
            </w:r>
          </w:p>
        </w:tc>
        <w:tc>
          <w:tcPr>
            <w:tcW w:w="1199" w:type="dxa"/>
          </w:tcPr>
          <w:p w14:paraId="780CD4ED" w14:textId="55870522" w:rsidR="003F7A80" w:rsidRDefault="00F125D8">
            <w:r>
              <w:t>300</w:t>
            </w:r>
          </w:p>
        </w:tc>
      </w:tr>
      <w:tr w:rsidR="003F7A80" w14:paraId="4093C33F" w14:textId="77777777" w:rsidTr="008469A7">
        <w:tc>
          <w:tcPr>
            <w:tcW w:w="1411" w:type="dxa"/>
          </w:tcPr>
          <w:p w14:paraId="78D5992A" w14:textId="510F9DCA" w:rsidR="003F7A80" w:rsidRDefault="003F7A80">
            <w:r>
              <w:t>2022</w:t>
            </w:r>
          </w:p>
        </w:tc>
        <w:tc>
          <w:tcPr>
            <w:tcW w:w="2058" w:type="dxa"/>
          </w:tcPr>
          <w:p w14:paraId="3561D2E6" w14:textId="4E97AE0C" w:rsidR="003F7A80" w:rsidRDefault="00D80C2C">
            <w:r>
              <w:t>65</w:t>
            </w:r>
          </w:p>
        </w:tc>
        <w:tc>
          <w:tcPr>
            <w:tcW w:w="1756" w:type="dxa"/>
          </w:tcPr>
          <w:p w14:paraId="04E497F3" w14:textId="4B73A26D" w:rsidR="003F7A80" w:rsidRDefault="00D80C2C">
            <w:r>
              <w:t>170</w:t>
            </w:r>
          </w:p>
        </w:tc>
        <w:tc>
          <w:tcPr>
            <w:tcW w:w="1453" w:type="dxa"/>
          </w:tcPr>
          <w:p w14:paraId="50A60950" w14:textId="455D909E" w:rsidR="003F7A80" w:rsidRDefault="00D80C2C">
            <w:r>
              <w:t>90</w:t>
            </w:r>
          </w:p>
        </w:tc>
        <w:tc>
          <w:tcPr>
            <w:tcW w:w="1199" w:type="dxa"/>
          </w:tcPr>
          <w:p w14:paraId="0CC01935" w14:textId="31529E48" w:rsidR="003F7A80" w:rsidRDefault="00F125D8">
            <w:r>
              <w:t>325</w:t>
            </w:r>
          </w:p>
        </w:tc>
      </w:tr>
      <w:tr w:rsidR="003F7A80" w14:paraId="47F5D38B" w14:textId="77777777" w:rsidTr="008469A7">
        <w:tc>
          <w:tcPr>
            <w:tcW w:w="1411" w:type="dxa"/>
          </w:tcPr>
          <w:p w14:paraId="129A6F20" w14:textId="34574E64" w:rsidR="003F7A80" w:rsidRDefault="003F7A80">
            <w:r>
              <w:t>2023</w:t>
            </w:r>
          </w:p>
        </w:tc>
        <w:tc>
          <w:tcPr>
            <w:tcW w:w="2058" w:type="dxa"/>
          </w:tcPr>
          <w:p w14:paraId="49A5E7FB" w14:textId="5BAFA1E7" w:rsidR="003F7A80" w:rsidRDefault="00D80C2C">
            <w:r>
              <w:t>70</w:t>
            </w:r>
          </w:p>
        </w:tc>
        <w:tc>
          <w:tcPr>
            <w:tcW w:w="1756" w:type="dxa"/>
          </w:tcPr>
          <w:p w14:paraId="7CC15B5A" w14:textId="1C1F85CB" w:rsidR="003F7A80" w:rsidRDefault="00D80C2C">
            <w:r>
              <w:t>180</w:t>
            </w:r>
          </w:p>
        </w:tc>
        <w:tc>
          <w:tcPr>
            <w:tcW w:w="1453" w:type="dxa"/>
          </w:tcPr>
          <w:p w14:paraId="20DA7D5D" w14:textId="7DE79711" w:rsidR="003F7A80" w:rsidRDefault="00C209D5">
            <w:r>
              <w:t>100</w:t>
            </w:r>
          </w:p>
        </w:tc>
        <w:tc>
          <w:tcPr>
            <w:tcW w:w="1199" w:type="dxa"/>
          </w:tcPr>
          <w:p w14:paraId="79082163" w14:textId="087082BA" w:rsidR="003F7A80" w:rsidRDefault="00F125D8">
            <w:r>
              <w:t>350</w:t>
            </w:r>
          </w:p>
        </w:tc>
      </w:tr>
    </w:tbl>
    <w:p w14:paraId="385FF9A3" w14:textId="77777777" w:rsidR="00353287" w:rsidRDefault="00353287"/>
    <w:p w14:paraId="113109F3" w14:textId="07EA7C72" w:rsidR="00353287" w:rsidRPr="00AF5A9D" w:rsidRDefault="00AF5A9D">
      <w:pPr>
        <w:rPr>
          <w:b/>
          <w:bCs/>
          <w:sz w:val="32"/>
          <w:szCs w:val="32"/>
        </w:rPr>
      </w:pPr>
      <w:r w:rsidRPr="00AF5A9D">
        <w:rPr>
          <w:b/>
          <w:bCs/>
          <w:sz w:val="32"/>
          <w:szCs w:val="32"/>
        </w:rPr>
        <w:t xml:space="preserve">Dodd Frank wall street form and consumer protection act </w:t>
      </w:r>
    </w:p>
    <w:p w14:paraId="33BBB206" w14:textId="06FA20AD" w:rsidR="00353287" w:rsidRDefault="00353287">
      <w:r>
        <w:t>The Dodd-Frank Wall Street Reform and Consumer Protection Act, passed in 2010 following the 2007-2008 financial crisis, represents a major overhaul of US financial regulation aimed at enhancing stability and protecting consumers.</w:t>
      </w:r>
    </w:p>
    <w:p w14:paraId="76276C93" w14:textId="5929A235" w:rsidR="00353287" w:rsidRPr="009021E5" w:rsidRDefault="00353287">
      <w:pPr>
        <w:rPr>
          <w:b/>
          <w:bCs/>
        </w:rPr>
      </w:pPr>
      <w:r w:rsidRPr="009021E5">
        <w:rPr>
          <w:b/>
          <w:bCs/>
        </w:rPr>
        <w:t>Financial Stability Measures</w:t>
      </w:r>
    </w:p>
    <w:p w14:paraId="1C9A6E70" w14:textId="0E533E39" w:rsidR="00353287" w:rsidRDefault="00353287">
      <w:r>
        <w:t>Dodd-Frank introduced measures to strengthen the stability of the financial system:</w:t>
      </w:r>
    </w:p>
    <w:p w14:paraId="633C7DAC" w14:textId="2456CB26" w:rsidR="00353287" w:rsidRDefault="00353287">
      <w:r w:rsidRPr="009021E5">
        <w:rPr>
          <w:b/>
          <w:bCs/>
        </w:rPr>
        <w:t>Systemically Important Financial Institutions (SIFIs</w:t>
      </w:r>
      <w:r>
        <w:t>): Enhanced oversight and regulation of large financial institutions deemed critical to the economy to prevent future bailouts.</w:t>
      </w:r>
    </w:p>
    <w:p w14:paraId="0DD016FA" w14:textId="7808303B" w:rsidR="00353287" w:rsidRDefault="00353287">
      <w:r w:rsidRPr="009021E5">
        <w:rPr>
          <w:b/>
          <w:bCs/>
        </w:rPr>
        <w:t>Volcker Rule</w:t>
      </w:r>
      <w:r>
        <w:t>: Prohibits banks from engaging in certain speculative trading activities and limits their investments in hedge funds and private equity, reducing systemic risk.</w:t>
      </w:r>
    </w:p>
    <w:p w14:paraId="52912D3E" w14:textId="4AB6DFE5" w:rsidR="00353287" w:rsidRPr="009021E5" w:rsidRDefault="00353287">
      <w:pPr>
        <w:rPr>
          <w:b/>
          <w:bCs/>
        </w:rPr>
      </w:pPr>
      <w:r w:rsidRPr="009021E5">
        <w:rPr>
          <w:b/>
          <w:bCs/>
        </w:rPr>
        <w:t>Consumer Protection</w:t>
      </w:r>
    </w:p>
    <w:p w14:paraId="548A553B" w14:textId="74758569" w:rsidR="00353287" w:rsidRDefault="00353287">
      <w:r>
        <w:t>The Act established robust protections for consumers in financial transactions:</w:t>
      </w:r>
    </w:p>
    <w:p w14:paraId="16B07833" w14:textId="52B988D2" w:rsidR="00353287" w:rsidRDefault="00353287">
      <w:r w:rsidRPr="0080255A">
        <w:rPr>
          <w:b/>
          <w:bCs/>
        </w:rPr>
        <w:t>Consumer Financial Protection Bureau (CFPB):</w:t>
      </w:r>
      <w:r>
        <w:t xml:space="preserve"> Created an independent agency dedicated to overseeing and regulating financial products and services to ensure they are fair, transparent, and not abusive.</w:t>
      </w:r>
    </w:p>
    <w:p w14:paraId="1902F864" w14:textId="4E3CDE0D" w:rsidR="00353287" w:rsidRDefault="00353287">
      <w:r w:rsidRPr="0080255A">
        <w:rPr>
          <w:b/>
          <w:bCs/>
        </w:rPr>
        <w:t>Mortgage Reforms</w:t>
      </w:r>
      <w:r>
        <w:t>: Implemented rules to improve mortgage lending practices, including the Qualified Mortgage rule requiring lenders to verify borrowers’ ability to repay.</w:t>
      </w:r>
    </w:p>
    <w:p w14:paraId="6C929C27" w14:textId="6B4DC43A" w:rsidR="00353287" w:rsidRPr="0080255A" w:rsidRDefault="00353287">
      <w:pPr>
        <w:rPr>
          <w:b/>
          <w:bCs/>
        </w:rPr>
      </w:pPr>
      <w:r w:rsidRPr="0080255A">
        <w:rPr>
          <w:b/>
          <w:bCs/>
        </w:rPr>
        <w:t>Regulatory Enhancements</w:t>
      </w:r>
    </w:p>
    <w:p w14:paraId="1A91819D" w14:textId="54528F2F" w:rsidR="00353287" w:rsidRDefault="00353287">
      <w:r>
        <w:t>Dodd-Frank imposed stricter regulations on financial institutions:</w:t>
      </w:r>
    </w:p>
    <w:p w14:paraId="5FE7E82F" w14:textId="77C7A25B" w:rsidR="00353287" w:rsidRDefault="00353287">
      <w:r w:rsidRPr="0080255A">
        <w:rPr>
          <w:b/>
          <w:bCs/>
        </w:rPr>
        <w:t>Capital and Liquidity Requirements</w:t>
      </w:r>
      <w:r>
        <w:t>: Enhanced requirements to ensure banks maintain adequate capital buffers and liquidity to withstand financial stress.</w:t>
      </w:r>
    </w:p>
    <w:p w14:paraId="0045C2B1" w14:textId="6D7CB02B" w:rsidR="00353287" w:rsidRDefault="00353287">
      <w:r w:rsidRPr="0080255A">
        <w:rPr>
          <w:b/>
          <w:bCs/>
        </w:rPr>
        <w:t>Stress Testing</w:t>
      </w:r>
      <w:r>
        <w:t>: Mandated periodic stress tests for banks to assess their ability to withstand economic downturns.</w:t>
      </w:r>
    </w:p>
    <w:p w14:paraId="41B435E3" w14:textId="0025DAE2" w:rsidR="00353287" w:rsidRPr="0080255A" w:rsidRDefault="00353287">
      <w:pPr>
        <w:rPr>
          <w:b/>
          <w:bCs/>
        </w:rPr>
      </w:pPr>
      <w:r w:rsidRPr="0080255A">
        <w:rPr>
          <w:b/>
          <w:bCs/>
        </w:rPr>
        <w:t>Transparency and Accountability</w:t>
      </w:r>
    </w:p>
    <w:p w14:paraId="1BD976C3" w14:textId="5FA193C4" w:rsidR="00353287" w:rsidRDefault="00353287">
      <w:r>
        <w:t>The Act aimed to increase transparency and accountability in financial markets:</w:t>
      </w:r>
    </w:p>
    <w:p w14:paraId="26E3CF57" w14:textId="75F9D106" w:rsidR="00353287" w:rsidRDefault="00353287">
      <w:r w:rsidRPr="0080255A">
        <w:rPr>
          <w:b/>
          <w:bCs/>
        </w:rPr>
        <w:t>Derivatives Market Regulation</w:t>
      </w:r>
      <w:r>
        <w:t>: Introduced reforms to bring greater transparency and oversight to the derivatives market, including mandatory clearing and reporting of derivatives trades.</w:t>
      </w:r>
    </w:p>
    <w:p w14:paraId="0C9604EA" w14:textId="77777777" w:rsidR="00353287" w:rsidRDefault="00353287">
      <w:r w:rsidRPr="0080255A">
        <w:rPr>
          <w:b/>
          <w:bCs/>
        </w:rPr>
        <w:t>Credit Rating Agencies</w:t>
      </w:r>
      <w:r>
        <w:t>: Enhanced oversight of credit rating agencies to improve the accuracy and reliability of credit ratings provided to investors.</w:t>
      </w:r>
    </w:p>
    <w:tbl>
      <w:tblPr>
        <w:tblStyle w:val="TableGrid"/>
        <w:tblW w:w="0" w:type="auto"/>
        <w:tblLook w:val="04A0" w:firstRow="1" w:lastRow="0" w:firstColumn="1" w:lastColumn="0" w:noHBand="0" w:noVBand="1"/>
      </w:tblPr>
      <w:tblGrid>
        <w:gridCol w:w="1348"/>
        <w:gridCol w:w="1811"/>
        <w:gridCol w:w="1910"/>
        <w:gridCol w:w="1666"/>
        <w:gridCol w:w="1613"/>
      </w:tblGrid>
      <w:tr w:rsidR="00772979" w14:paraId="426DEF8A" w14:textId="34A3CB02" w:rsidTr="0004185D">
        <w:tc>
          <w:tcPr>
            <w:tcW w:w="1348" w:type="dxa"/>
          </w:tcPr>
          <w:p w14:paraId="7F628E76" w14:textId="5AA1EFAE" w:rsidR="00772979" w:rsidRDefault="00772979">
            <w:r>
              <w:t xml:space="preserve">Year </w:t>
            </w:r>
          </w:p>
        </w:tc>
        <w:tc>
          <w:tcPr>
            <w:tcW w:w="1811" w:type="dxa"/>
          </w:tcPr>
          <w:p w14:paraId="0300496B" w14:textId="727965A0" w:rsidR="00772979" w:rsidRDefault="00772979">
            <w:r>
              <w:t>Legislative Changes</w:t>
            </w:r>
          </w:p>
        </w:tc>
        <w:tc>
          <w:tcPr>
            <w:tcW w:w="1910" w:type="dxa"/>
          </w:tcPr>
          <w:p w14:paraId="3D0D4DC9" w14:textId="22CD035A" w:rsidR="00772979" w:rsidRDefault="00772979">
            <w:r>
              <w:t>New Regulations Issued</w:t>
            </w:r>
          </w:p>
        </w:tc>
        <w:tc>
          <w:tcPr>
            <w:tcW w:w="1666" w:type="dxa"/>
          </w:tcPr>
          <w:p w14:paraId="7C38BE6B" w14:textId="2F831D52" w:rsidR="00772979" w:rsidRDefault="00772979">
            <w:r>
              <w:t>Enforcement Actions</w:t>
            </w:r>
          </w:p>
        </w:tc>
        <w:tc>
          <w:tcPr>
            <w:tcW w:w="1142" w:type="dxa"/>
          </w:tcPr>
          <w:p w14:paraId="0AAFE6D8" w14:textId="608CC524" w:rsidR="00772979" w:rsidRDefault="003B10FD">
            <w:r>
              <w:t>Economic Impact</w:t>
            </w:r>
          </w:p>
        </w:tc>
      </w:tr>
      <w:tr w:rsidR="00772979" w14:paraId="08F0611F" w14:textId="6FFB4F4F" w:rsidTr="0004185D">
        <w:tc>
          <w:tcPr>
            <w:tcW w:w="1348" w:type="dxa"/>
          </w:tcPr>
          <w:p w14:paraId="0E8B519C" w14:textId="22C3692A" w:rsidR="00772979" w:rsidRDefault="00E87555">
            <w:r>
              <w:t>2019</w:t>
            </w:r>
          </w:p>
        </w:tc>
        <w:tc>
          <w:tcPr>
            <w:tcW w:w="1811" w:type="dxa"/>
          </w:tcPr>
          <w:p w14:paraId="11C6844C" w14:textId="2DE0F18C" w:rsidR="00772979" w:rsidRDefault="00920BED">
            <w:r>
              <w:t>Dodd-Frank amendments introduced in Congress</w:t>
            </w:r>
          </w:p>
        </w:tc>
        <w:tc>
          <w:tcPr>
            <w:tcW w:w="1910" w:type="dxa"/>
          </w:tcPr>
          <w:p w14:paraId="07CE1B0C" w14:textId="6248C3A3" w:rsidR="00772979" w:rsidRDefault="00920BED">
            <w:r>
              <w:t>20</w:t>
            </w:r>
          </w:p>
        </w:tc>
        <w:tc>
          <w:tcPr>
            <w:tcW w:w="1666" w:type="dxa"/>
          </w:tcPr>
          <w:p w14:paraId="2505356F" w14:textId="63AE490E" w:rsidR="00772979" w:rsidRDefault="00920BED">
            <w:r>
              <w:t>15</w:t>
            </w:r>
          </w:p>
        </w:tc>
        <w:tc>
          <w:tcPr>
            <w:tcW w:w="1142" w:type="dxa"/>
          </w:tcPr>
          <w:p w14:paraId="171E8C9A" w14:textId="15F9D2AF" w:rsidR="00772979" w:rsidRDefault="009B555D">
            <w:r>
              <w:t>Banking sector stability maintained</w:t>
            </w:r>
          </w:p>
        </w:tc>
      </w:tr>
      <w:tr w:rsidR="00772979" w14:paraId="434A0B72" w14:textId="07E9164E" w:rsidTr="0004185D">
        <w:tc>
          <w:tcPr>
            <w:tcW w:w="1348" w:type="dxa"/>
          </w:tcPr>
          <w:p w14:paraId="08CA99DD" w14:textId="16220AB5" w:rsidR="00772979" w:rsidRDefault="00E87555">
            <w:r>
              <w:t>2020</w:t>
            </w:r>
          </w:p>
        </w:tc>
        <w:tc>
          <w:tcPr>
            <w:tcW w:w="1811" w:type="dxa"/>
          </w:tcPr>
          <w:p w14:paraId="5F7D5E38" w14:textId="3CBB5CE0" w:rsidR="00772979" w:rsidRDefault="00CA08AE">
            <w:r>
              <w:t>Consumer protection rules strengthened</w:t>
            </w:r>
          </w:p>
        </w:tc>
        <w:tc>
          <w:tcPr>
            <w:tcW w:w="1910" w:type="dxa"/>
          </w:tcPr>
          <w:p w14:paraId="67946741" w14:textId="01C1CE5A" w:rsidR="00772979" w:rsidRDefault="00CA08AE">
            <w:r>
              <w:t>25</w:t>
            </w:r>
          </w:p>
        </w:tc>
        <w:tc>
          <w:tcPr>
            <w:tcW w:w="1666" w:type="dxa"/>
          </w:tcPr>
          <w:p w14:paraId="547EE85A" w14:textId="7CE0EFB6" w:rsidR="00772979" w:rsidRDefault="00CA08AE">
            <w:r>
              <w:t>12</w:t>
            </w:r>
          </w:p>
        </w:tc>
        <w:tc>
          <w:tcPr>
            <w:tcW w:w="1142" w:type="dxa"/>
          </w:tcPr>
          <w:p w14:paraId="14096EDA" w14:textId="099CFBAE" w:rsidR="00772979" w:rsidRDefault="001361BE">
            <w:r>
              <w:t>Increased consumer confidence in financial sector</w:t>
            </w:r>
          </w:p>
        </w:tc>
      </w:tr>
      <w:tr w:rsidR="001361BE" w14:paraId="45C30857" w14:textId="77777777" w:rsidTr="0004185D">
        <w:tc>
          <w:tcPr>
            <w:tcW w:w="1348" w:type="dxa"/>
          </w:tcPr>
          <w:p w14:paraId="28EF1E76" w14:textId="34BB15F7" w:rsidR="001361BE" w:rsidRDefault="00E87555">
            <w:r>
              <w:t>2021</w:t>
            </w:r>
          </w:p>
        </w:tc>
        <w:tc>
          <w:tcPr>
            <w:tcW w:w="1811" w:type="dxa"/>
          </w:tcPr>
          <w:p w14:paraId="78705753" w14:textId="47125113" w:rsidR="001361BE" w:rsidRDefault="003C252F">
            <w:r>
              <w:t>Dodd-Frank Act amendments signed into law</w:t>
            </w:r>
          </w:p>
        </w:tc>
        <w:tc>
          <w:tcPr>
            <w:tcW w:w="1910" w:type="dxa"/>
          </w:tcPr>
          <w:p w14:paraId="08D30FC7" w14:textId="2A598395" w:rsidR="001361BE" w:rsidRDefault="003C252F">
            <w:r>
              <w:t>30</w:t>
            </w:r>
          </w:p>
        </w:tc>
        <w:tc>
          <w:tcPr>
            <w:tcW w:w="1666" w:type="dxa"/>
          </w:tcPr>
          <w:p w14:paraId="24110C1A" w14:textId="4CCE888E" w:rsidR="001361BE" w:rsidRDefault="003C252F">
            <w:r>
              <w:t>20</w:t>
            </w:r>
          </w:p>
        </w:tc>
        <w:tc>
          <w:tcPr>
            <w:tcW w:w="1142" w:type="dxa"/>
          </w:tcPr>
          <w:p w14:paraId="3D0A0DDF" w14:textId="3AB30E47" w:rsidR="001361BE" w:rsidRDefault="00EB532D">
            <w:r>
              <w:t>Enhanced financial transparency</w:t>
            </w:r>
          </w:p>
        </w:tc>
      </w:tr>
      <w:tr w:rsidR="001361BE" w14:paraId="04628A5B" w14:textId="77777777" w:rsidTr="0004185D">
        <w:tc>
          <w:tcPr>
            <w:tcW w:w="1348" w:type="dxa"/>
          </w:tcPr>
          <w:p w14:paraId="53BA0828" w14:textId="4691F6C2" w:rsidR="001361BE" w:rsidRDefault="00E87555">
            <w:r>
              <w:t>2022</w:t>
            </w:r>
          </w:p>
        </w:tc>
        <w:tc>
          <w:tcPr>
            <w:tcW w:w="1811" w:type="dxa"/>
          </w:tcPr>
          <w:p w14:paraId="22D7D786" w14:textId="52167E43" w:rsidR="001361BE" w:rsidRDefault="0004185D">
            <w:r>
              <w:t>Amendments for market stability introduced</w:t>
            </w:r>
          </w:p>
        </w:tc>
        <w:tc>
          <w:tcPr>
            <w:tcW w:w="1910" w:type="dxa"/>
          </w:tcPr>
          <w:p w14:paraId="4D740639" w14:textId="680AD286" w:rsidR="001361BE" w:rsidRDefault="00123394">
            <w:r>
              <w:t>22</w:t>
            </w:r>
          </w:p>
        </w:tc>
        <w:tc>
          <w:tcPr>
            <w:tcW w:w="1666" w:type="dxa"/>
          </w:tcPr>
          <w:p w14:paraId="771F8AAD" w14:textId="3578520A" w:rsidR="001361BE" w:rsidRDefault="00123394">
            <w:r>
              <w:t>18</w:t>
            </w:r>
          </w:p>
        </w:tc>
        <w:tc>
          <w:tcPr>
            <w:tcW w:w="1142" w:type="dxa"/>
          </w:tcPr>
          <w:p w14:paraId="1018041D" w14:textId="074552C6" w:rsidR="001361BE" w:rsidRDefault="00B6159E">
            <w:r>
              <w:t>Improved investor trust in financial markets</w:t>
            </w:r>
          </w:p>
        </w:tc>
      </w:tr>
      <w:tr w:rsidR="001361BE" w14:paraId="26A021FD" w14:textId="77777777" w:rsidTr="0004185D">
        <w:tc>
          <w:tcPr>
            <w:tcW w:w="1348" w:type="dxa"/>
          </w:tcPr>
          <w:p w14:paraId="63A50626" w14:textId="0B403756" w:rsidR="001361BE" w:rsidRDefault="00E87555">
            <w:r>
              <w:t>2023</w:t>
            </w:r>
          </w:p>
        </w:tc>
        <w:tc>
          <w:tcPr>
            <w:tcW w:w="1811" w:type="dxa"/>
          </w:tcPr>
          <w:p w14:paraId="4CE9CE79" w14:textId="66E2054B" w:rsidR="001361BE" w:rsidRDefault="00123394">
            <w:r>
              <w:t>Regulatory compliance updates under Dodd-Frank</w:t>
            </w:r>
          </w:p>
        </w:tc>
        <w:tc>
          <w:tcPr>
            <w:tcW w:w="1910" w:type="dxa"/>
          </w:tcPr>
          <w:p w14:paraId="40A2DCA9" w14:textId="0ED2BE88" w:rsidR="001361BE" w:rsidRDefault="00123394">
            <w:r>
              <w:t>28</w:t>
            </w:r>
          </w:p>
        </w:tc>
        <w:tc>
          <w:tcPr>
            <w:tcW w:w="1666" w:type="dxa"/>
          </w:tcPr>
          <w:p w14:paraId="42F81E07" w14:textId="5BE7F643" w:rsidR="001361BE" w:rsidRDefault="00123394">
            <w:r>
              <w:t>25</w:t>
            </w:r>
          </w:p>
        </w:tc>
        <w:tc>
          <w:tcPr>
            <w:tcW w:w="1142" w:type="dxa"/>
          </w:tcPr>
          <w:p w14:paraId="43A4DC31" w14:textId="64A7146C" w:rsidR="001361BE" w:rsidRDefault="0074651A">
            <w:r>
              <w:t>Strengthened oversight on financial institutions</w:t>
            </w:r>
          </w:p>
        </w:tc>
      </w:tr>
      <w:tr w:rsidR="001361BE" w14:paraId="2ABF95C7" w14:textId="77777777" w:rsidTr="0004185D">
        <w:tc>
          <w:tcPr>
            <w:tcW w:w="1348" w:type="dxa"/>
          </w:tcPr>
          <w:p w14:paraId="0272B639" w14:textId="1E40BA95" w:rsidR="001361BE" w:rsidRDefault="00E87555">
            <w:r>
              <w:t>2024</w:t>
            </w:r>
          </w:p>
        </w:tc>
        <w:tc>
          <w:tcPr>
            <w:tcW w:w="1811" w:type="dxa"/>
          </w:tcPr>
          <w:p w14:paraId="05C56567" w14:textId="0BF68FF5" w:rsidR="001361BE" w:rsidRDefault="00E87555">
            <w:r>
              <w:t>Consumer protection measures revised</w:t>
            </w:r>
          </w:p>
        </w:tc>
        <w:tc>
          <w:tcPr>
            <w:tcW w:w="1910" w:type="dxa"/>
          </w:tcPr>
          <w:p w14:paraId="00CFD8D8" w14:textId="66CC3AF6" w:rsidR="001361BE" w:rsidRDefault="00E87555">
            <w:r>
              <w:t>26</w:t>
            </w:r>
          </w:p>
        </w:tc>
        <w:tc>
          <w:tcPr>
            <w:tcW w:w="1666" w:type="dxa"/>
          </w:tcPr>
          <w:p w14:paraId="40BE9854" w14:textId="24D7F59F" w:rsidR="001361BE" w:rsidRDefault="00E87555">
            <w:r>
              <w:t>23</w:t>
            </w:r>
          </w:p>
        </w:tc>
        <w:tc>
          <w:tcPr>
            <w:tcW w:w="1142" w:type="dxa"/>
          </w:tcPr>
          <w:p w14:paraId="6AE693C3" w14:textId="58FAF438" w:rsidR="001361BE" w:rsidRDefault="00BD788D">
            <w:r>
              <w:t>Enhanced consumer rights and protections</w:t>
            </w:r>
          </w:p>
        </w:tc>
      </w:tr>
    </w:tbl>
    <w:p w14:paraId="48ADC9E4" w14:textId="1840B63B" w:rsidR="006F0D1C" w:rsidRDefault="006F0D1C"/>
    <w:p w14:paraId="67A24777" w14:textId="680DA71E" w:rsidR="00D265AA" w:rsidRDefault="00D265AA">
      <w:pPr>
        <w:rPr>
          <w:b/>
          <w:bCs/>
          <w:sz w:val="32"/>
          <w:szCs w:val="32"/>
        </w:rPr>
      </w:pPr>
      <w:r w:rsidRPr="00D265AA">
        <w:rPr>
          <w:b/>
          <w:bCs/>
          <w:sz w:val="32"/>
          <w:szCs w:val="32"/>
        </w:rPr>
        <w:t xml:space="preserve">The Sarbanes-Oxley Act (SOX) </w:t>
      </w:r>
    </w:p>
    <w:p w14:paraId="0C5DA4FC" w14:textId="4A17F847" w:rsidR="009634DE" w:rsidRPr="009634DE" w:rsidRDefault="009634DE">
      <w:r w:rsidRPr="009634DE">
        <w:t>SOX of 2002 is a landmark piece of legislation passed by the United States Congress in response to corporate accounting scandals, particularly those involving Enron and WorldCom. Here are the key points and objectives of the Sarbanes-Oxley Act:</w:t>
      </w:r>
    </w:p>
    <w:p w14:paraId="53B608B7" w14:textId="2CB68653" w:rsidR="009634DE" w:rsidRPr="009634DE" w:rsidRDefault="009634DE" w:rsidP="009634DE">
      <w:pPr>
        <w:pStyle w:val="ListParagraph"/>
        <w:numPr>
          <w:ilvl w:val="0"/>
          <w:numId w:val="4"/>
        </w:numPr>
      </w:pPr>
      <w:r w:rsidRPr="009634DE">
        <w:t>Corporate Governance: SOX aims to improve corporate governance and accountability by requiring greater transparency in financial reporting and strengthening internal controls</w:t>
      </w:r>
      <w:r>
        <w:t>.</w:t>
      </w:r>
    </w:p>
    <w:tbl>
      <w:tblPr>
        <w:tblStyle w:val="TableGrid"/>
        <w:tblW w:w="0" w:type="auto"/>
        <w:tblLook w:val="04A0" w:firstRow="1" w:lastRow="0" w:firstColumn="1" w:lastColumn="0" w:noHBand="0" w:noVBand="1"/>
      </w:tblPr>
      <w:tblGrid>
        <w:gridCol w:w="2624"/>
        <w:gridCol w:w="2753"/>
      </w:tblGrid>
      <w:tr w:rsidR="00465342" w14:paraId="6ED26361" w14:textId="77777777" w:rsidTr="00465342">
        <w:tc>
          <w:tcPr>
            <w:tcW w:w="2624" w:type="dxa"/>
          </w:tcPr>
          <w:p w14:paraId="349FFF5F" w14:textId="77777777" w:rsidR="00F57F9A" w:rsidRDefault="00F57F9A"/>
          <w:p w14:paraId="2AE3E371" w14:textId="7914B5D3" w:rsidR="00465342" w:rsidRDefault="00465342">
            <w:r>
              <w:t>Year</w:t>
            </w:r>
          </w:p>
        </w:tc>
        <w:tc>
          <w:tcPr>
            <w:tcW w:w="2753" w:type="dxa"/>
          </w:tcPr>
          <w:p w14:paraId="03992F1C" w14:textId="5403BF7B" w:rsidR="00465342" w:rsidRDefault="00465342">
            <w:proofErr w:type="spellStart"/>
            <w:r>
              <w:t>Tranpirancy</w:t>
            </w:r>
            <w:proofErr w:type="spellEnd"/>
            <w:r>
              <w:t xml:space="preserve"> percentage </w:t>
            </w:r>
          </w:p>
        </w:tc>
      </w:tr>
      <w:tr w:rsidR="00465342" w14:paraId="38FF62EA" w14:textId="77777777" w:rsidTr="00465342">
        <w:tc>
          <w:tcPr>
            <w:tcW w:w="2624" w:type="dxa"/>
          </w:tcPr>
          <w:p w14:paraId="183B6DA3" w14:textId="4F466CFE" w:rsidR="00465342" w:rsidRDefault="00465342">
            <w:r>
              <w:t>2019-2020</w:t>
            </w:r>
          </w:p>
        </w:tc>
        <w:tc>
          <w:tcPr>
            <w:tcW w:w="2753" w:type="dxa"/>
          </w:tcPr>
          <w:p w14:paraId="3AE9C12F" w14:textId="438A4404" w:rsidR="00465342" w:rsidRDefault="00465342">
            <w:r>
              <w:t>3</w:t>
            </w:r>
          </w:p>
        </w:tc>
      </w:tr>
      <w:tr w:rsidR="00465342" w14:paraId="6C9609FA" w14:textId="77777777" w:rsidTr="00465342">
        <w:tc>
          <w:tcPr>
            <w:tcW w:w="2624" w:type="dxa"/>
          </w:tcPr>
          <w:p w14:paraId="38827856" w14:textId="2E432FCE" w:rsidR="00465342" w:rsidRDefault="00465342">
            <w:r>
              <w:t>2020-2021</w:t>
            </w:r>
          </w:p>
        </w:tc>
        <w:tc>
          <w:tcPr>
            <w:tcW w:w="2753" w:type="dxa"/>
          </w:tcPr>
          <w:p w14:paraId="004F401B" w14:textId="59A9C59D" w:rsidR="00465342" w:rsidRDefault="00465342">
            <w:r>
              <w:t>6</w:t>
            </w:r>
          </w:p>
        </w:tc>
      </w:tr>
      <w:tr w:rsidR="00465342" w14:paraId="33409A50" w14:textId="77777777" w:rsidTr="00465342">
        <w:tc>
          <w:tcPr>
            <w:tcW w:w="2624" w:type="dxa"/>
          </w:tcPr>
          <w:p w14:paraId="10160FA8" w14:textId="75AEBE8A" w:rsidR="00465342" w:rsidRDefault="00465342">
            <w:r>
              <w:t>2021-2022</w:t>
            </w:r>
          </w:p>
        </w:tc>
        <w:tc>
          <w:tcPr>
            <w:tcW w:w="2753" w:type="dxa"/>
          </w:tcPr>
          <w:p w14:paraId="396346EB" w14:textId="7B3DDE7A" w:rsidR="00465342" w:rsidRDefault="00465342">
            <w:r>
              <w:t>10</w:t>
            </w:r>
          </w:p>
        </w:tc>
      </w:tr>
      <w:tr w:rsidR="00465342" w14:paraId="4F0B1B48" w14:textId="77777777" w:rsidTr="00465342">
        <w:tc>
          <w:tcPr>
            <w:tcW w:w="2624" w:type="dxa"/>
          </w:tcPr>
          <w:p w14:paraId="2F4BB5FE" w14:textId="2F2BF002" w:rsidR="00465342" w:rsidRDefault="00465342">
            <w:r>
              <w:t>2022-2023</w:t>
            </w:r>
          </w:p>
        </w:tc>
        <w:tc>
          <w:tcPr>
            <w:tcW w:w="2753" w:type="dxa"/>
          </w:tcPr>
          <w:p w14:paraId="0691A9FE" w14:textId="5F47864F" w:rsidR="00465342" w:rsidRDefault="00465342">
            <w:r>
              <w:t>15</w:t>
            </w:r>
          </w:p>
        </w:tc>
      </w:tr>
      <w:tr w:rsidR="00465342" w14:paraId="6BF8FE93" w14:textId="77777777" w:rsidTr="00465342">
        <w:tc>
          <w:tcPr>
            <w:tcW w:w="2624" w:type="dxa"/>
          </w:tcPr>
          <w:p w14:paraId="76EE0BC2" w14:textId="7B677E33" w:rsidR="00465342" w:rsidRDefault="00465342">
            <w:r>
              <w:t>2023-2024</w:t>
            </w:r>
          </w:p>
        </w:tc>
        <w:tc>
          <w:tcPr>
            <w:tcW w:w="2753" w:type="dxa"/>
          </w:tcPr>
          <w:p w14:paraId="254607F1" w14:textId="38E1912B" w:rsidR="00465342" w:rsidRDefault="00465342">
            <w:r>
              <w:t>20</w:t>
            </w:r>
          </w:p>
        </w:tc>
      </w:tr>
    </w:tbl>
    <w:p w14:paraId="10CE8CA3" w14:textId="77777777" w:rsidR="001A7197" w:rsidRDefault="001A7197"/>
    <w:p w14:paraId="1D0E8DEF" w14:textId="592B71A9" w:rsidR="001A7197" w:rsidRDefault="001A7197" w:rsidP="00DA467A">
      <w:pPr>
        <w:pStyle w:val="ListParagraph"/>
        <w:numPr>
          <w:ilvl w:val="0"/>
          <w:numId w:val="3"/>
        </w:numPr>
      </w:pPr>
      <w:r w:rsidRPr="00DA467A">
        <w:rPr>
          <w:b/>
          <w:bCs/>
        </w:rPr>
        <w:t xml:space="preserve">CEO and CFO </w:t>
      </w:r>
      <w:proofErr w:type="spellStart"/>
      <w:r w:rsidRPr="00DA467A">
        <w:rPr>
          <w:b/>
          <w:bCs/>
        </w:rPr>
        <w:t>Certification</w:t>
      </w:r>
      <w:r w:rsidR="00453AA7">
        <w:t>:</w:t>
      </w:r>
      <w:r>
        <w:t>It</w:t>
      </w:r>
      <w:proofErr w:type="spellEnd"/>
      <w:r>
        <w:t xml:space="preserve"> mandates that CEOs and CFOs of publicly traded companies certify the accuracy of financial statements and assume personal responsibility for their accuracy and completeness.</w:t>
      </w:r>
    </w:p>
    <w:p w14:paraId="6E58BF2D" w14:textId="77777777" w:rsidR="00DA467A" w:rsidRDefault="00DA467A" w:rsidP="00DA467A">
      <w:pPr>
        <w:pStyle w:val="ListParagraph"/>
      </w:pPr>
    </w:p>
    <w:p w14:paraId="2A508706" w14:textId="77777777" w:rsidR="00DA467A" w:rsidRDefault="00DA467A" w:rsidP="00DA467A">
      <w:pPr>
        <w:pStyle w:val="ListParagraph"/>
      </w:pPr>
    </w:p>
    <w:p w14:paraId="72545371" w14:textId="249FB7AB" w:rsidR="001A7197" w:rsidRDefault="001A7197" w:rsidP="00DA467A">
      <w:pPr>
        <w:pStyle w:val="ListParagraph"/>
        <w:numPr>
          <w:ilvl w:val="0"/>
          <w:numId w:val="3"/>
        </w:numPr>
      </w:pPr>
      <w:r w:rsidRPr="00DA467A">
        <w:rPr>
          <w:b/>
          <w:bCs/>
        </w:rPr>
        <w:t>Audit Committee Independence</w:t>
      </w:r>
      <w:r w:rsidR="00453AA7" w:rsidRPr="00DA467A">
        <w:rPr>
          <w:b/>
          <w:bCs/>
        </w:rPr>
        <w:t>:</w:t>
      </w:r>
      <w:r>
        <w:t xml:space="preserve"> SOX requires that audit committees of public companies be composed of independent directors who oversee the company’s financial reporting and auditing processes.</w:t>
      </w:r>
    </w:p>
    <w:p w14:paraId="61E59B93" w14:textId="77777777" w:rsidR="00DA467A" w:rsidRDefault="00DA467A" w:rsidP="00DA467A">
      <w:pPr>
        <w:pStyle w:val="ListParagraph"/>
      </w:pPr>
    </w:p>
    <w:p w14:paraId="28120ACA" w14:textId="14BEB0D1" w:rsidR="001A7197" w:rsidRDefault="001A7197" w:rsidP="001A7197">
      <w:pPr>
        <w:pStyle w:val="ListParagraph"/>
        <w:numPr>
          <w:ilvl w:val="0"/>
          <w:numId w:val="3"/>
        </w:numPr>
      </w:pPr>
      <w:r w:rsidRPr="001433D5">
        <w:rPr>
          <w:b/>
          <w:bCs/>
        </w:rPr>
        <w:t xml:space="preserve">Internal </w:t>
      </w:r>
      <w:proofErr w:type="spellStart"/>
      <w:r w:rsidRPr="001433D5">
        <w:rPr>
          <w:b/>
          <w:bCs/>
        </w:rPr>
        <w:t>Controls</w:t>
      </w:r>
      <w:r w:rsidR="00453AA7">
        <w:t>:</w:t>
      </w:r>
      <w:r>
        <w:t>The</w:t>
      </w:r>
      <w:proofErr w:type="spellEnd"/>
      <w:r>
        <w:t xml:space="preserve"> Act requires companies to establish and maintain adequate internal control structures and procedures for financial reporting to ensure the reliability of financial statements.</w:t>
      </w:r>
    </w:p>
    <w:p w14:paraId="5734C112" w14:textId="77777777" w:rsidR="001A7197" w:rsidRDefault="001A7197"/>
    <w:p w14:paraId="2AE183D9" w14:textId="3D6E3182" w:rsidR="001A7197" w:rsidRDefault="00453AA7" w:rsidP="001B30CF">
      <w:pPr>
        <w:pStyle w:val="ListParagraph"/>
        <w:numPr>
          <w:ilvl w:val="0"/>
          <w:numId w:val="3"/>
        </w:numPr>
      </w:pPr>
      <w:r w:rsidRPr="001433D5">
        <w:rPr>
          <w:b/>
          <w:bCs/>
        </w:rPr>
        <w:t>Whistle blower</w:t>
      </w:r>
      <w:r w:rsidR="001A7197" w:rsidRPr="001433D5">
        <w:rPr>
          <w:b/>
          <w:bCs/>
        </w:rPr>
        <w:t xml:space="preserve"> </w:t>
      </w:r>
      <w:proofErr w:type="spellStart"/>
      <w:r w:rsidR="001A7197" w:rsidRPr="001433D5">
        <w:rPr>
          <w:b/>
          <w:bCs/>
        </w:rPr>
        <w:t>Protection</w:t>
      </w:r>
      <w:r>
        <w:t>:</w:t>
      </w:r>
      <w:r w:rsidR="001A7197">
        <w:t>SOX</w:t>
      </w:r>
      <w:proofErr w:type="spellEnd"/>
      <w:r w:rsidR="001A7197">
        <w:t xml:space="preserve"> includes provisions to protect </w:t>
      </w:r>
      <w:r>
        <w:t>whistle-blowers</w:t>
      </w:r>
      <w:r w:rsidR="001A7197">
        <w:t xml:space="preserve"> who report corporate misconduct related to financial reporting or securities fraud.</w:t>
      </w:r>
    </w:p>
    <w:p w14:paraId="416688FB" w14:textId="77777777" w:rsidR="001B30CF" w:rsidRDefault="001B30CF" w:rsidP="001B30CF">
      <w:pPr>
        <w:pStyle w:val="ListParagraph"/>
      </w:pPr>
    </w:p>
    <w:p w14:paraId="64E1B195" w14:textId="77777777" w:rsidR="001B30CF" w:rsidRDefault="001B30CF" w:rsidP="001B30CF">
      <w:pPr>
        <w:pStyle w:val="ListParagraph"/>
      </w:pPr>
    </w:p>
    <w:p w14:paraId="1A824E7F" w14:textId="64EA9F03" w:rsidR="001A7197" w:rsidRDefault="001A7197" w:rsidP="00FB4A70">
      <w:pPr>
        <w:pStyle w:val="ListParagraph"/>
        <w:numPr>
          <w:ilvl w:val="0"/>
          <w:numId w:val="3"/>
        </w:numPr>
      </w:pPr>
      <w:r w:rsidRPr="001433D5">
        <w:rPr>
          <w:b/>
          <w:bCs/>
        </w:rPr>
        <w:t xml:space="preserve">Penalties and </w:t>
      </w:r>
      <w:proofErr w:type="spellStart"/>
      <w:r w:rsidRPr="001433D5">
        <w:rPr>
          <w:b/>
          <w:bCs/>
        </w:rPr>
        <w:t>Enforcement</w:t>
      </w:r>
      <w:r w:rsidR="00FB4A70">
        <w:t>:</w:t>
      </w:r>
      <w:r>
        <w:t>It</w:t>
      </w:r>
      <w:proofErr w:type="spellEnd"/>
      <w:r>
        <w:t xml:space="preserve"> imposes strict penalties, including fines and imprisonment, for corporate fraud and provides for enhanced enforcement by regulatory agencies like the Securities and Exchange Commission (SEC).</w:t>
      </w:r>
    </w:p>
    <w:p w14:paraId="296A0A74" w14:textId="77777777" w:rsidR="00530F46" w:rsidRDefault="00530F46" w:rsidP="00530F46">
      <w:pPr>
        <w:pStyle w:val="ListParagraph"/>
      </w:pPr>
    </w:p>
    <w:p w14:paraId="3F869760" w14:textId="77777777" w:rsidR="00530F46" w:rsidRDefault="00530F46" w:rsidP="00530F46">
      <w:pPr>
        <w:pStyle w:val="ListParagraph"/>
      </w:pPr>
    </w:p>
    <w:p w14:paraId="656BB680" w14:textId="1D0E02E3" w:rsidR="001A7197" w:rsidRDefault="001A7197" w:rsidP="00FB4A70">
      <w:pPr>
        <w:pStyle w:val="ListParagraph"/>
        <w:numPr>
          <w:ilvl w:val="0"/>
          <w:numId w:val="3"/>
        </w:numPr>
      </w:pPr>
      <w:r w:rsidRPr="001433D5">
        <w:rPr>
          <w:b/>
          <w:bCs/>
        </w:rPr>
        <w:t xml:space="preserve">Auditor </w:t>
      </w:r>
      <w:proofErr w:type="spellStart"/>
      <w:r w:rsidRPr="001433D5">
        <w:rPr>
          <w:b/>
          <w:bCs/>
        </w:rPr>
        <w:t>Independence</w:t>
      </w:r>
      <w:r w:rsidR="00FB4A70">
        <w:t>:</w:t>
      </w:r>
      <w:r>
        <w:t>SOX</w:t>
      </w:r>
      <w:proofErr w:type="spellEnd"/>
      <w:r>
        <w:t xml:space="preserve"> prohibits auditors from providing certain non-audit services to their audit clients to preserve their independence and objectivity.</w:t>
      </w:r>
    </w:p>
    <w:p w14:paraId="21F40DF5" w14:textId="77777777" w:rsidR="001B30CF" w:rsidRDefault="001B30CF" w:rsidP="001B30CF">
      <w:pPr>
        <w:pStyle w:val="ListParagraph"/>
      </w:pPr>
    </w:p>
    <w:p w14:paraId="2C5795AE" w14:textId="42AE5880" w:rsidR="001A7197" w:rsidRDefault="001A7197" w:rsidP="00FB4A70">
      <w:pPr>
        <w:pStyle w:val="ListParagraph"/>
        <w:numPr>
          <w:ilvl w:val="0"/>
          <w:numId w:val="3"/>
        </w:numPr>
      </w:pPr>
      <w:r w:rsidRPr="001433D5">
        <w:rPr>
          <w:b/>
          <w:bCs/>
        </w:rPr>
        <w:t>Disclosure Requirements</w:t>
      </w:r>
      <w:r>
        <w:t>: The Act enhances disclosure requirements for public companies, ensuring that material financial and non-financial information is reported to investors in a timely and accurate manner.</w:t>
      </w:r>
    </w:p>
    <w:p w14:paraId="3715ECA2" w14:textId="77777777" w:rsidR="001A7197" w:rsidRDefault="001A7197">
      <w:r>
        <w:t>SOX is designed to restore investor confidence in the reliability of corporate disclosures and financial statements, aiming to prevent corporate accounting fraud and protect shareholders and the public interest.</w:t>
      </w:r>
    </w:p>
    <w:p w14:paraId="73FD5258" w14:textId="77777777" w:rsidR="00BB15F3" w:rsidRDefault="00BB15F3"/>
    <w:p w14:paraId="1A04144E" w14:textId="77777777" w:rsidR="00BB15F3" w:rsidRDefault="00BB15F3"/>
    <w:p w14:paraId="710761D2" w14:textId="77777777" w:rsidR="00BB15F3" w:rsidRDefault="00BB15F3"/>
    <w:p w14:paraId="24FB0EE3" w14:textId="77777777" w:rsidR="00BB15F3" w:rsidRDefault="00BB15F3"/>
    <w:p w14:paraId="40E6AFC8" w14:textId="77777777" w:rsidR="00BB15F3" w:rsidRDefault="00BB15F3"/>
    <w:p w14:paraId="285DBFA2" w14:textId="77777777" w:rsidR="00BB15F3" w:rsidRDefault="00BB15F3"/>
    <w:p w14:paraId="5EE5DE4E" w14:textId="77777777" w:rsidR="00BB15F3" w:rsidRDefault="00BB15F3"/>
    <w:p w14:paraId="729B6BD8" w14:textId="77777777" w:rsidR="00BB15F3" w:rsidRDefault="00BB15F3"/>
    <w:p w14:paraId="412F3430" w14:textId="77777777" w:rsidR="00BB15F3" w:rsidRDefault="00BB15F3"/>
    <w:p w14:paraId="3B8CC9F6" w14:textId="77777777" w:rsidR="00BB15F3" w:rsidRDefault="00BB15F3"/>
    <w:p w14:paraId="05263B79" w14:textId="77777777" w:rsidR="00BB15F3" w:rsidRDefault="00BB15F3"/>
    <w:p w14:paraId="54DAECF7" w14:textId="77777777" w:rsidR="00BB15F3" w:rsidRDefault="00BB15F3"/>
    <w:p w14:paraId="3A43C426" w14:textId="77777777" w:rsidR="00BB15F3" w:rsidRDefault="00BB15F3"/>
    <w:p w14:paraId="31425316" w14:textId="77777777" w:rsidR="00BB15F3" w:rsidRDefault="00BB15F3"/>
    <w:p w14:paraId="62C088A4" w14:textId="77777777" w:rsidR="00BB15F3" w:rsidRDefault="00BB15F3"/>
    <w:p w14:paraId="2E72D925" w14:textId="77777777" w:rsidR="00BB15F3" w:rsidRDefault="00BB15F3"/>
    <w:p w14:paraId="51C754A0" w14:textId="77777777" w:rsidR="00BB15F3" w:rsidRDefault="00BB15F3"/>
    <w:sectPr w:rsidR="00BB1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1C2"/>
    <w:multiLevelType w:val="hybridMultilevel"/>
    <w:tmpl w:val="62F023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54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049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03C9B"/>
    <w:multiLevelType w:val="hybridMultilevel"/>
    <w:tmpl w:val="5674FC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911349">
    <w:abstractNumId w:val="1"/>
  </w:num>
  <w:num w:numId="2" w16cid:durableId="2034651278">
    <w:abstractNumId w:val="2"/>
  </w:num>
  <w:num w:numId="3" w16cid:durableId="994534477">
    <w:abstractNumId w:val="3"/>
  </w:num>
  <w:num w:numId="4" w16cid:durableId="90191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F6"/>
    <w:rsid w:val="000223A3"/>
    <w:rsid w:val="0004185D"/>
    <w:rsid w:val="00055531"/>
    <w:rsid w:val="00064F59"/>
    <w:rsid w:val="00066396"/>
    <w:rsid w:val="00084FB9"/>
    <w:rsid w:val="000B0E13"/>
    <w:rsid w:val="000E252E"/>
    <w:rsid w:val="00123394"/>
    <w:rsid w:val="001361BE"/>
    <w:rsid w:val="001433D5"/>
    <w:rsid w:val="0016225A"/>
    <w:rsid w:val="00184D62"/>
    <w:rsid w:val="00186CF9"/>
    <w:rsid w:val="0019278E"/>
    <w:rsid w:val="001A7197"/>
    <w:rsid w:val="001B30CF"/>
    <w:rsid w:val="001B650E"/>
    <w:rsid w:val="001E3171"/>
    <w:rsid w:val="002331F5"/>
    <w:rsid w:val="002549CF"/>
    <w:rsid w:val="00275DAA"/>
    <w:rsid w:val="00277E67"/>
    <w:rsid w:val="002A3233"/>
    <w:rsid w:val="002C6564"/>
    <w:rsid w:val="002C68B7"/>
    <w:rsid w:val="002D3976"/>
    <w:rsid w:val="002D7711"/>
    <w:rsid w:val="002F3B63"/>
    <w:rsid w:val="002F737F"/>
    <w:rsid w:val="00306517"/>
    <w:rsid w:val="00311753"/>
    <w:rsid w:val="00353287"/>
    <w:rsid w:val="00397FE8"/>
    <w:rsid w:val="003B10FD"/>
    <w:rsid w:val="003C252F"/>
    <w:rsid w:val="003F7A80"/>
    <w:rsid w:val="00411E03"/>
    <w:rsid w:val="00432249"/>
    <w:rsid w:val="00435107"/>
    <w:rsid w:val="00453AA7"/>
    <w:rsid w:val="00465342"/>
    <w:rsid w:val="0046712E"/>
    <w:rsid w:val="00474A20"/>
    <w:rsid w:val="004C3DD1"/>
    <w:rsid w:val="004D04AD"/>
    <w:rsid w:val="004D1EC6"/>
    <w:rsid w:val="004D7A62"/>
    <w:rsid w:val="004F17F0"/>
    <w:rsid w:val="004F4567"/>
    <w:rsid w:val="00530F46"/>
    <w:rsid w:val="0053744F"/>
    <w:rsid w:val="005528F7"/>
    <w:rsid w:val="00560449"/>
    <w:rsid w:val="00561521"/>
    <w:rsid w:val="00563F26"/>
    <w:rsid w:val="005945CD"/>
    <w:rsid w:val="005C3521"/>
    <w:rsid w:val="005F276E"/>
    <w:rsid w:val="005F2B84"/>
    <w:rsid w:val="005F754E"/>
    <w:rsid w:val="00655AAA"/>
    <w:rsid w:val="006C3596"/>
    <w:rsid w:val="006E4865"/>
    <w:rsid w:val="006F0D1C"/>
    <w:rsid w:val="006F1CAD"/>
    <w:rsid w:val="006F7DE5"/>
    <w:rsid w:val="0074651A"/>
    <w:rsid w:val="00751F88"/>
    <w:rsid w:val="00772979"/>
    <w:rsid w:val="007B18A9"/>
    <w:rsid w:val="007E4E0C"/>
    <w:rsid w:val="008010AB"/>
    <w:rsid w:val="0080255A"/>
    <w:rsid w:val="008255AF"/>
    <w:rsid w:val="008469A7"/>
    <w:rsid w:val="00887A4D"/>
    <w:rsid w:val="008C5ECD"/>
    <w:rsid w:val="008D79E1"/>
    <w:rsid w:val="009021E5"/>
    <w:rsid w:val="0090681C"/>
    <w:rsid w:val="00914879"/>
    <w:rsid w:val="00917EBA"/>
    <w:rsid w:val="00920BED"/>
    <w:rsid w:val="009256D6"/>
    <w:rsid w:val="00951BC2"/>
    <w:rsid w:val="00961EA0"/>
    <w:rsid w:val="009634DE"/>
    <w:rsid w:val="009A3B4F"/>
    <w:rsid w:val="009A62CA"/>
    <w:rsid w:val="009B555D"/>
    <w:rsid w:val="00A01C5D"/>
    <w:rsid w:val="00A16A7F"/>
    <w:rsid w:val="00A430F8"/>
    <w:rsid w:val="00A459C8"/>
    <w:rsid w:val="00A633F6"/>
    <w:rsid w:val="00AB417E"/>
    <w:rsid w:val="00AF209C"/>
    <w:rsid w:val="00AF5A9D"/>
    <w:rsid w:val="00AF5C6A"/>
    <w:rsid w:val="00B55347"/>
    <w:rsid w:val="00B578D3"/>
    <w:rsid w:val="00B6159E"/>
    <w:rsid w:val="00B65A73"/>
    <w:rsid w:val="00B8189D"/>
    <w:rsid w:val="00BA42C6"/>
    <w:rsid w:val="00BA5CC9"/>
    <w:rsid w:val="00BB15F3"/>
    <w:rsid w:val="00BD788D"/>
    <w:rsid w:val="00C209D5"/>
    <w:rsid w:val="00C469F9"/>
    <w:rsid w:val="00C50DB8"/>
    <w:rsid w:val="00C51ABC"/>
    <w:rsid w:val="00C648DC"/>
    <w:rsid w:val="00C92E95"/>
    <w:rsid w:val="00CA08AE"/>
    <w:rsid w:val="00CB1214"/>
    <w:rsid w:val="00CE1EBF"/>
    <w:rsid w:val="00CE67BB"/>
    <w:rsid w:val="00CF1FF1"/>
    <w:rsid w:val="00D265AA"/>
    <w:rsid w:val="00D80C2C"/>
    <w:rsid w:val="00D912CC"/>
    <w:rsid w:val="00DA467A"/>
    <w:rsid w:val="00DD6E1D"/>
    <w:rsid w:val="00DE20CA"/>
    <w:rsid w:val="00E529BD"/>
    <w:rsid w:val="00E87555"/>
    <w:rsid w:val="00EB532D"/>
    <w:rsid w:val="00EC6764"/>
    <w:rsid w:val="00EE3794"/>
    <w:rsid w:val="00EE5D2D"/>
    <w:rsid w:val="00EF66B3"/>
    <w:rsid w:val="00F125D8"/>
    <w:rsid w:val="00F27E22"/>
    <w:rsid w:val="00F30B44"/>
    <w:rsid w:val="00F57F9A"/>
    <w:rsid w:val="00F61951"/>
    <w:rsid w:val="00F62B31"/>
    <w:rsid w:val="00FB4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22D73A"/>
  <w15:chartTrackingRefBased/>
  <w15:docId w15:val="{57E8918D-5B53-D34A-8266-F7CFBA60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3F6"/>
    <w:rPr>
      <w:rFonts w:eastAsiaTheme="majorEastAsia" w:cstheme="majorBidi"/>
      <w:color w:val="272727" w:themeColor="text1" w:themeTint="D8"/>
    </w:rPr>
  </w:style>
  <w:style w:type="paragraph" w:styleId="Title">
    <w:name w:val="Title"/>
    <w:basedOn w:val="Normal"/>
    <w:next w:val="Normal"/>
    <w:link w:val="TitleChar"/>
    <w:uiPriority w:val="10"/>
    <w:qFormat/>
    <w:rsid w:val="00A6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3F6"/>
    <w:pPr>
      <w:spacing w:before="160"/>
      <w:jc w:val="center"/>
    </w:pPr>
    <w:rPr>
      <w:i/>
      <w:iCs/>
      <w:color w:val="404040" w:themeColor="text1" w:themeTint="BF"/>
    </w:rPr>
  </w:style>
  <w:style w:type="character" w:customStyle="1" w:styleId="QuoteChar">
    <w:name w:val="Quote Char"/>
    <w:basedOn w:val="DefaultParagraphFont"/>
    <w:link w:val="Quote"/>
    <w:uiPriority w:val="29"/>
    <w:rsid w:val="00A633F6"/>
    <w:rPr>
      <w:i/>
      <w:iCs/>
      <w:color w:val="404040" w:themeColor="text1" w:themeTint="BF"/>
    </w:rPr>
  </w:style>
  <w:style w:type="paragraph" w:styleId="ListParagraph">
    <w:name w:val="List Paragraph"/>
    <w:basedOn w:val="Normal"/>
    <w:uiPriority w:val="34"/>
    <w:qFormat/>
    <w:rsid w:val="00A633F6"/>
    <w:pPr>
      <w:ind w:left="720"/>
      <w:contextualSpacing/>
    </w:pPr>
  </w:style>
  <w:style w:type="character" w:styleId="IntenseEmphasis">
    <w:name w:val="Intense Emphasis"/>
    <w:basedOn w:val="DefaultParagraphFont"/>
    <w:uiPriority w:val="21"/>
    <w:qFormat/>
    <w:rsid w:val="00A633F6"/>
    <w:rPr>
      <w:i/>
      <w:iCs/>
      <w:color w:val="0F4761" w:themeColor="accent1" w:themeShade="BF"/>
    </w:rPr>
  </w:style>
  <w:style w:type="paragraph" w:styleId="IntenseQuote">
    <w:name w:val="Intense Quote"/>
    <w:basedOn w:val="Normal"/>
    <w:next w:val="Normal"/>
    <w:link w:val="IntenseQuoteChar"/>
    <w:uiPriority w:val="30"/>
    <w:qFormat/>
    <w:rsid w:val="00A63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3F6"/>
    <w:rPr>
      <w:i/>
      <w:iCs/>
      <w:color w:val="0F4761" w:themeColor="accent1" w:themeShade="BF"/>
    </w:rPr>
  </w:style>
  <w:style w:type="character" w:styleId="IntenseReference">
    <w:name w:val="Intense Reference"/>
    <w:basedOn w:val="DefaultParagraphFont"/>
    <w:uiPriority w:val="32"/>
    <w:qFormat/>
    <w:rsid w:val="00A633F6"/>
    <w:rPr>
      <w:b/>
      <w:bCs/>
      <w:smallCaps/>
      <w:color w:val="0F4761" w:themeColor="accent1" w:themeShade="BF"/>
      <w:spacing w:val="5"/>
    </w:rPr>
  </w:style>
  <w:style w:type="paragraph" w:styleId="NormalWeb">
    <w:name w:val="Normal (Web)"/>
    <w:basedOn w:val="Normal"/>
    <w:uiPriority w:val="99"/>
    <w:unhideWhenUsed/>
    <w:rsid w:val="00A633F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633F6"/>
    <w:rPr>
      <w:b/>
      <w:bCs/>
    </w:rPr>
  </w:style>
  <w:style w:type="character" w:customStyle="1" w:styleId="line-clamp-1">
    <w:name w:val="line-clamp-1"/>
    <w:basedOn w:val="DefaultParagraphFont"/>
    <w:rsid w:val="00A633F6"/>
  </w:style>
  <w:style w:type="paragraph" w:styleId="z-TopofForm">
    <w:name w:val="HTML Top of Form"/>
    <w:basedOn w:val="Normal"/>
    <w:next w:val="Normal"/>
    <w:link w:val="z-TopofFormChar"/>
    <w:hidden/>
    <w:uiPriority w:val="99"/>
    <w:semiHidden/>
    <w:unhideWhenUsed/>
    <w:rsid w:val="00A633F6"/>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3F6"/>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3F6"/>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3F6"/>
    <w:rPr>
      <w:rFonts w:ascii="Arial" w:hAnsi="Arial" w:cs="Arial"/>
      <w:vanish/>
      <w:kern w:val="0"/>
      <w:sz w:val="16"/>
      <w:szCs w:val="16"/>
      <w14:ligatures w14:val="none"/>
    </w:rPr>
  </w:style>
  <w:style w:type="table" w:styleId="TableGrid">
    <w:name w:val="Table Grid"/>
    <w:basedOn w:val="TableNormal"/>
    <w:uiPriority w:val="39"/>
    <w:rsid w:val="00B5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85352">
      <w:marLeft w:val="0"/>
      <w:marRight w:val="0"/>
      <w:marTop w:val="0"/>
      <w:marBottom w:val="0"/>
      <w:divBdr>
        <w:top w:val="none" w:sz="0" w:space="0" w:color="auto"/>
        <w:left w:val="none" w:sz="0" w:space="0" w:color="auto"/>
        <w:bottom w:val="none" w:sz="0" w:space="0" w:color="auto"/>
        <w:right w:val="none" w:sz="0" w:space="0" w:color="auto"/>
      </w:divBdr>
      <w:divsChild>
        <w:div w:id="1314333626">
          <w:marLeft w:val="0"/>
          <w:marRight w:val="0"/>
          <w:marTop w:val="0"/>
          <w:marBottom w:val="0"/>
          <w:divBdr>
            <w:top w:val="none" w:sz="0" w:space="0" w:color="auto"/>
            <w:left w:val="none" w:sz="0" w:space="0" w:color="auto"/>
            <w:bottom w:val="none" w:sz="0" w:space="0" w:color="auto"/>
            <w:right w:val="none" w:sz="0" w:space="0" w:color="auto"/>
          </w:divBdr>
          <w:divsChild>
            <w:div w:id="2084526148">
              <w:marLeft w:val="0"/>
              <w:marRight w:val="0"/>
              <w:marTop w:val="0"/>
              <w:marBottom w:val="0"/>
              <w:divBdr>
                <w:top w:val="none" w:sz="0" w:space="0" w:color="auto"/>
                <w:left w:val="none" w:sz="0" w:space="0" w:color="auto"/>
                <w:bottom w:val="none" w:sz="0" w:space="0" w:color="auto"/>
                <w:right w:val="none" w:sz="0" w:space="0" w:color="auto"/>
              </w:divBdr>
              <w:divsChild>
                <w:div w:id="736174215">
                  <w:marLeft w:val="0"/>
                  <w:marRight w:val="0"/>
                  <w:marTop w:val="0"/>
                  <w:marBottom w:val="0"/>
                  <w:divBdr>
                    <w:top w:val="none" w:sz="0" w:space="0" w:color="auto"/>
                    <w:left w:val="none" w:sz="0" w:space="0" w:color="auto"/>
                    <w:bottom w:val="none" w:sz="0" w:space="0" w:color="auto"/>
                    <w:right w:val="none" w:sz="0" w:space="0" w:color="auto"/>
                  </w:divBdr>
                  <w:divsChild>
                    <w:div w:id="869801287">
                      <w:marLeft w:val="0"/>
                      <w:marRight w:val="0"/>
                      <w:marTop w:val="0"/>
                      <w:marBottom w:val="0"/>
                      <w:divBdr>
                        <w:top w:val="none" w:sz="0" w:space="0" w:color="auto"/>
                        <w:left w:val="none" w:sz="0" w:space="0" w:color="auto"/>
                        <w:bottom w:val="none" w:sz="0" w:space="0" w:color="auto"/>
                        <w:right w:val="none" w:sz="0" w:space="0" w:color="auto"/>
                      </w:divBdr>
                      <w:divsChild>
                        <w:div w:id="1408916518">
                          <w:marLeft w:val="0"/>
                          <w:marRight w:val="0"/>
                          <w:marTop w:val="0"/>
                          <w:marBottom w:val="0"/>
                          <w:divBdr>
                            <w:top w:val="none" w:sz="0" w:space="0" w:color="auto"/>
                            <w:left w:val="none" w:sz="0" w:space="0" w:color="auto"/>
                            <w:bottom w:val="none" w:sz="0" w:space="0" w:color="auto"/>
                            <w:right w:val="none" w:sz="0" w:space="0" w:color="auto"/>
                          </w:divBdr>
                          <w:divsChild>
                            <w:div w:id="1613901619">
                              <w:marLeft w:val="0"/>
                              <w:marRight w:val="0"/>
                              <w:marTop w:val="0"/>
                              <w:marBottom w:val="0"/>
                              <w:divBdr>
                                <w:top w:val="none" w:sz="0" w:space="0" w:color="auto"/>
                                <w:left w:val="none" w:sz="0" w:space="0" w:color="auto"/>
                                <w:bottom w:val="none" w:sz="0" w:space="0" w:color="auto"/>
                                <w:right w:val="none" w:sz="0" w:space="0" w:color="auto"/>
                              </w:divBdr>
                              <w:divsChild>
                                <w:div w:id="1432429983">
                                  <w:marLeft w:val="0"/>
                                  <w:marRight w:val="0"/>
                                  <w:marTop w:val="0"/>
                                  <w:marBottom w:val="0"/>
                                  <w:divBdr>
                                    <w:top w:val="none" w:sz="0" w:space="0" w:color="auto"/>
                                    <w:left w:val="none" w:sz="0" w:space="0" w:color="auto"/>
                                    <w:bottom w:val="none" w:sz="0" w:space="0" w:color="auto"/>
                                    <w:right w:val="none" w:sz="0" w:space="0" w:color="auto"/>
                                  </w:divBdr>
                                  <w:divsChild>
                                    <w:div w:id="1952473247">
                                      <w:marLeft w:val="0"/>
                                      <w:marRight w:val="0"/>
                                      <w:marTop w:val="0"/>
                                      <w:marBottom w:val="0"/>
                                      <w:divBdr>
                                        <w:top w:val="none" w:sz="0" w:space="0" w:color="auto"/>
                                        <w:left w:val="none" w:sz="0" w:space="0" w:color="auto"/>
                                        <w:bottom w:val="none" w:sz="0" w:space="0" w:color="auto"/>
                                        <w:right w:val="none" w:sz="0" w:space="0" w:color="auto"/>
                                      </w:divBdr>
                                      <w:divsChild>
                                        <w:div w:id="1849130310">
                                          <w:marLeft w:val="0"/>
                                          <w:marRight w:val="0"/>
                                          <w:marTop w:val="0"/>
                                          <w:marBottom w:val="0"/>
                                          <w:divBdr>
                                            <w:top w:val="none" w:sz="0" w:space="0" w:color="auto"/>
                                            <w:left w:val="none" w:sz="0" w:space="0" w:color="auto"/>
                                            <w:bottom w:val="none" w:sz="0" w:space="0" w:color="auto"/>
                                            <w:right w:val="none" w:sz="0" w:space="0" w:color="auto"/>
                                          </w:divBdr>
                                          <w:divsChild>
                                            <w:div w:id="1288195467">
                                              <w:marLeft w:val="0"/>
                                              <w:marRight w:val="0"/>
                                              <w:marTop w:val="0"/>
                                              <w:marBottom w:val="0"/>
                                              <w:divBdr>
                                                <w:top w:val="none" w:sz="0" w:space="0" w:color="auto"/>
                                                <w:left w:val="none" w:sz="0" w:space="0" w:color="auto"/>
                                                <w:bottom w:val="none" w:sz="0" w:space="0" w:color="auto"/>
                                                <w:right w:val="none" w:sz="0" w:space="0" w:color="auto"/>
                                              </w:divBdr>
                                              <w:divsChild>
                                                <w:div w:id="1993635723">
                                                  <w:marLeft w:val="0"/>
                                                  <w:marRight w:val="0"/>
                                                  <w:marTop w:val="0"/>
                                                  <w:marBottom w:val="0"/>
                                                  <w:divBdr>
                                                    <w:top w:val="none" w:sz="0" w:space="0" w:color="auto"/>
                                                    <w:left w:val="none" w:sz="0" w:space="0" w:color="auto"/>
                                                    <w:bottom w:val="none" w:sz="0" w:space="0" w:color="auto"/>
                                                    <w:right w:val="none" w:sz="0" w:space="0" w:color="auto"/>
                                                  </w:divBdr>
                                                  <w:divsChild>
                                                    <w:div w:id="599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091">
                                          <w:marLeft w:val="0"/>
                                          <w:marRight w:val="0"/>
                                          <w:marTop w:val="0"/>
                                          <w:marBottom w:val="0"/>
                                          <w:divBdr>
                                            <w:top w:val="none" w:sz="0" w:space="0" w:color="auto"/>
                                            <w:left w:val="none" w:sz="0" w:space="0" w:color="auto"/>
                                            <w:bottom w:val="none" w:sz="0" w:space="0" w:color="auto"/>
                                            <w:right w:val="none" w:sz="0" w:space="0" w:color="auto"/>
                                          </w:divBdr>
                                          <w:divsChild>
                                            <w:div w:id="1685668380">
                                              <w:marLeft w:val="0"/>
                                              <w:marRight w:val="0"/>
                                              <w:marTop w:val="0"/>
                                              <w:marBottom w:val="0"/>
                                              <w:divBdr>
                                                <w:top w:val="none" w:sz="0" w:space="0" w:color="auto"/>
                                                <w:left w:val="none" w:sz="0" w:space="0" w:color="auto"/>
                                                <w:bottom w:val="none" w:sz="0" w:space="0" w:color="auto"/>
                                                <w:right w:val="none" w:sz="0" w:space="0" w:color="auto"/>
                                              </w:divBdr>
                                              <w:divsChild>
                                                <w:div w:id="1250433559">
                                                  <w:marLeft w:val="0"/>
                                                  <w:marRight w:val="0"/>
                                                  <w:marTop w:val="0"/>
                                                  <w:marBottom w:val="0"/>
                                                  <w:divBdr>
                                                    <w:top w:val="none" w:sz="0" w:space="0" w:color="auto"/>
                                                    <w:left w:val="none" w:sz="0" w:space="0" w:color="auto"/>
                                                    <w:bottom w:val="none" w:sz="0" w:space="0" w:color="auto"/>
                                                    <w:right w:val="none" w:sz="0" w:space="0" w:color="auto"/>
                                                  </w:divBdr>
                                                  <w:divsChild>
                                                    <w:div w:id="4998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208431">
      <w:marLeft w:val="0"/>
      <w:marRight w:val="0"/>
      <w:marTop w:val="0"/>
      <w:marBottom w:val="0"/>
      <w:divBdr>
        <w:top w:val="none" w:sz="0" w:space="0" w:color="auto"/>
        <w:left w:val="none" w:sz="0" w:space="0" w:color="auto"/>
        <w:bottom w:val="none" w:sz="0" w:space="0" w:color="auto"/>
        <w:right w:val="none" w:sz="0" w:space="0" w:color="auto"/>
      </w:divBdr>
      <w:divsChild>
        <w:div w:id="2101023565">
          <w:marLeft w:val="0"/>
          <w:marRight w:val="0"/>
          <w:marTop w:val="0"/>
          <w:marBottom w:val="0"/>
          <w:divBdr>
            <w:top w:val="none" w:sz="0" w:space="0" w:color="auto"/>
            <w:left w:val="none" w:sz="0" w:space="0" w:color="auto"/>
            <w:bottom w:val="none" w:sz="0" w:space="0" w:color="auto"/>
            <w:right w:val="none" w:sz="0" w:space="0" w:color="auto"/>
          </w:divBdr>
          <w:divsChild>
            <w:div w:id="189072074">
              <w:marLeft w:val="0"/>
              <w:marRight w:val="0"/>
              <w:marTop w:val="0"/>
              <w:marBottom w:val="0"/>
              <w:divBdr>
                <w:top w:val="none" w:sz="0" w:space="0" w:color="auto"/>
                <w:left w:val="none" w:sz="0" w:space="0" w:color="auto"/>
                <w:bottom w:val="none" w:sz="0" w:space="0" w:color="auto"/>
                <w:right w:val="none" w:sz="0" w:space="0" w:color="auto"/>
              </w:divBdr>
            </w:div>
          </w:divsChild>
        </w:div>
        <w:div w:id="188791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2</cp:revision>
  <dcterms:created xsi:type="dcterms:W3CDTF">2024-06-13T13:39:00Z</dcterms:created>
  <dcterms:modified xsi:type="dcterms:W3CDTF">2024-06-13T13:39:00Z</dcterms:modified>
</cp:coreProperties>
</file>