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D01" w:rsidRPr="009D3206" w:rsidRDefault="009D3206" w:rsidP="009D3206">
      <w:pPr>
        <w:pStyle w:val="Heading1"/>
        <w:jc w:val="center"/>
        <w:rPr>
          <w:sz w:val="34"/>
          <w:szCs w:val="34"/>
        </w:rPr>
      </w:pPr>
      <w:r w:rsidRPr="009D3206">
        <w:rPr>
          <w:sz w:val="34"/>
          <w:szCs w:val="34"/>
        </w:rPr>
        <w:t>Finance and Group Reports Update and Plan</w:t>
      </w:r>
    </w:p>
    <w:p w:rsidR="009E6165" w:rsidRPr="00AE5139" w:rsidRDefault="009E6165" w:rsidP="009E6165">
      <w:pPr>
        <w:pStyle w:val="Heading2"/>
      </w:pPr>
      <w:r w:rsidRPr="00AE5139">
        <w:t>Version 0.1</w:t>
      </w:r>
    </w:p>
    <w:tbl>
      <w:tblPr>
        <w:tblStyle w:val="TableGrid"/>
        <w:tblW w:w="0" w:type="auto"/>
        <w:tblLook w:val="04A0" w:firstRow="1" w:lastRow="0" w:firstColumn="1" w:lastColumn="0" w:noHBand="0" w:noVBand="1"/>
      </w:tblPr>
      <w:tblGrid>
        <w:gridCol w:w="2547"/>
        <w:gridCol w:w="4252"/>
        <w:gridCol w:w="2217"/>
      </w:tblGrid>
      <w:tr w:rsidR="009E6165" w:rsidTr="002806A5">
        <w:tc>
          <w:tcPr>
            <w:tcW w:w="2547" w:type="dxa"/>
          </w:tcPr>
          <w:p w:rsidR="009E6165" w:rsidRPr="008803BF" w:rsidRDefault="009E6165" w:rsidP="002806A5">
            <w:pPr>
              <w:rPr>
                <w:rFonts w:ascii="Verdana" w:hAnsi="Verdana"/>
                <w:sz w:val="18"/>
              </w:rPr>
            </w:pPr>
            <w:r w:rsidRPr="008803BF">
              <w:rPr>
                <w:rFonts w:ascii="Verdana" w:hAnsi="Verdana"/>
                <w:sz w:val="18"/>
              </w:rPr>
              <w:t>Version number</w:t>
            </w:r>
          </w:p>
        </w:tc>
        <w:tc>
          <w:tcPr>
            <w:tcW w:w="4252" w:type="dxa"/>
          </w:tcPr>
          <w:p w:rsidR="009E6165" w:rsidRPr="008803BF" w:rsidRDefault="009E6165" w:rsidP="002806A5">
            <w:pPr>
              <w:rPr>
                <w:rFonts w:ascii="Verdana" w:hAnsi="Verdana"/>
                <w:sz w:val="18"/>
              </w:rPr>
            </w:pPr>
            <w:r w:rsidRPr="008803BF">
              <w:rPr>
                <w:rFonts w:ascii="Verdana" w:hAnsi="Verdana"/>
                <w:sz w:val="18"/>
              </w:rPr>
              <w:t>Description</w:t>
            </w:r>
          </w:p>
        </w:tc>
        <w:tc>
          <w:tcPr>
            <w:tcW w:w="2217" w:type="dxa"/>
          </w:tcPr>
          <w:p w:rsidR="009E6165" w:rsidRPr="008803BF" w:rsidRDefault="009E6165" w:rsidP="002806A5">
            <w:pPr>
              <w:rPr>
                <w:rFonts w:ascii="Verdana" w:hAnsi="Verdana"/>
                <w:sz w:val="18"/>
              </w:rPr>
            </w:pPr>
            <w:r w:rsidRPr="008803BF">
              <w:rPr>
                <w:rFonts w:ascii="Verdana" w:hAnsi="Verdana"/>
                <w:sz w:val="18"/>
              </w:rPr>
              <w:t xml:space="preserve">Date </w:t>
            </w:r>
            <w:r>
              <w:rPr>
                <w:rFonts w:ascii="Verdana" w:hAnsi="Verdana"/>
                <w:sz w:val="18"/>
              </w:rPr>
              <w:t>of version</w:t>
            </w:r>
          </w:p>
        </w:tc>
      </w:tr>
      <w:tr w:rsidR="009E6165" w:rsidTr="002806A5">
        <w:tc>
          <w:tcPr>
            <w:tcW w:w="2547" w:type="dxa"/>
          </w:tcPr>
          <w:p w:rsidR="009E6165" w:rsidRPr="008803BF" w:rsidRDefault="009E6165" w:rsidP="002806A5">
            <w:pPr>
              <w:rPr>
                <w:rFonts w:ascii="Verdana" w:hAnsi="Verdana"/>
                <w:sz w:val="18"/>
              </w:rPr>
            </w:pPr>
            <w:r w:rsidRPr="008803BF">
              <w:rPr>
                <w:rFonts w:ascii="Verdana" w:hAnsi="Verdana"/>
                <w:sz w:val="18"/>
              </w:rPr>
              <w:t>0.1</w:t>
            </w:r>
          </w:p>
        </w:tc>
        <w:tc>
          <w:tcPr>
            <w:tcW w:w="4252" w:type="dxa"/>
          </w:tcPr>
          <w:p w:rsidR="009E6165" w:rsidRPr="008803BF" w:rsidRDefault="009E6165" w:rsidP="002806A5">
            <w:pPr>
              <w:rPr>
                <w:rFonts w:ascii="Verdana" w:hAnsi="Verdana"/>
                <w:sz w:val="18"/>
              </w:rPr>
            </w:pPr>
            <w:r>
              <w:rPr>
                <w:rFonts w:ascii="Verdana" w:hAnsi="Verdana"/>
                <w:sz w:val="18"/>
              </w:rPr>
              <w:t>First draft</w:t>
            </w:r>
          </w:p>
        </w:tc>
        <w:tc>
          <w:tcPr>
            <w:tcW w:w="2217" w:type="dxa"/>
          </w:tcPr>
          <w:p w:rsidR="009E6165" w:rsidRPr="008803BF" w:rsidRDefault="009E6165" w:rsidP="002806A5">
            <w:pPr>
              <w:rPr>
                <w:rFonts w:ascii="Verdana" w:hAnsi="Verdana"/>
                <w:sz w:val="18"/>
              </w:rPr>
            </w:pPr>
            <w:r>
              <w:rPr>
                <w:rFonts w:ascii="Verdana" w:hAnsi="Verdana"/>
                <w:sz w:val="18"/>
              </w:rPr>
              <w:t>10</w:t>
            </w:r>
            <w:r w:rsidRPr="00510808">
              <w:rPr>
                <w:rFonts w:ascii="Verdana" w:hAnsi="Verdana"/>
                <w:sz w:val="18"/>
                <w:vertAlign w:val="superscript"/>
              </w:rPr>
              <w:t>th</w:t>
            </w:r>
            <w:r>
              <w:rPr>
                <w:rFonts w:ascii="Verdana" w:hAnsi="Verdana"/>
                <w:sz w:val="18"/>
              </w:rPr>
              <w:t xml:space="preserve"> March 2016</w:t>
            </w:r>
          </w:p>
        </w:tc>
      </w:tr>
    </w:tbl>
    <w:p w:rsidR="009E6165" w:rsidRPr="00AE5139" w:rsidRDefault="009E6165" w:rsidP="009E6165">
      <w:pPr>
        <w:spacing w:before="480"/>
        <w:rPr>
          <w:rFonts w:ascii="Verdana" w:hAnsi="Verdana"/>
          <w:b/>
          <w:sz w:val="18"/>
          <w:szCs w:val="18"/>
        </w:rPr>
      </w:pPr>
      <w:r w:rsidRPr="00AE5139">
        <w:rPr>
          <w:rFonts w:ascii="Verdana" w:hAnsi="Verdana"/>
          <w:b/>
          <w:sz w:val="18"/>
          <w:szCs w:val="18"/>
        </w:rPr>
        <w:t>Distribution List</w:t>
      </w:r>
    </w:p>
    <w:tbl>
      <w:tblPr>
        <w:tblStyle w:val="TableGrid"/>
        <w:tblW w:w="0" w:type="auto"/>
        <w:tblLook w:val="04A0" w:firstRow="1" w:lastRow="0" w:firstColumn="1" w:lastColumn="0" w:noHBand="0" w:noVBand="1"/>
      </w:tblPr>
      <w:tblGrid>
        <w:gridCol w:w="2547"/>
        <w:gridCol w:w="4252"/>
        <w:gridCol w:w="2217"/>
      </w:tblGrid>
      <w:tr w:rsidR="009E6165" w:rsidTr="002806A5">
        <w:tc>
          <w:tcPr>
            <w:tcW w:w="2547" w:type="dxa"/>
          </w:tcPr>
          <w:p w:rsidR="009E6165" w:rsidRDefault="009E6165" w:rsidP="002806A5">
            <w:r>
              <w:t>Name</w:t>
            </w:r>
          </w:p>
        </w:tc>
        <w:tc>
          <w:tcPr>
            <w:tcW w:w="4252" w:type="dxa"/>
          </w:tcPr>
          <w:p w:rsidR="009E6165" w:rsidRDefault="009E6165" w:rsidP="002806A5">
            <w:r>
              <w:t>Position</w:t>
            </w:r>
          </w:p>
        </w:tc>
        <w:tc>
          <w:tcPr>
            <w:tcW w:w="2217" w:type="dxa"/>
          </w:tcPr>
          <w:p w:rsidR="009E6165" w:rsidRDefault="009E6165" w:rsidP="002806A5">
            <w:r>
              <w:t>Date sent</w:t>
            </w:r>
          </w:p>
        </w:tc>
      </w:tr>
      <w:tr w:rsidR="009E6165" w:rsidTr="002806A5">
        <w:tc>
          <w:tcPr>
            <w:tcW w:w="2547" w:type="dxa"/>
          </w:tcPr>
          <w:p w:rsidR="009E6165" w:rsidRDefault="009E6165" w:rsidP="002806A5">
            <w:r>
              <w:t>Greg Weaver</w:t>
            </w:r>
          </w:p>
        </w:tc>
        <w:tc>
          <w:tcPr>
            <w:tcW w:w="4252" w:type="dxa"/>
          </w:tcPr>
          <w:p w:rsidR="009E6165" w:rsidRDefault="009E6165" w:rsidP="002806A5">
            <w:r>
              <w:t>CFO</w:t>
            </w:r>
          </w:p>
        </w:tc>
        <w:tc>
          <w:tcPr>
            <w:tcW w:w="2217" w:type="dxa"/>
          </w:tcPr>
          <w:p w:rsidR="009E6165" w:rsidRDefault="009E6165" w:rsidP="002806A5">
            <w:r>
              <w:t>15</w:t>
            </w:r>
            <w:r w:rsidRPr="009E6165">
              <w:rPr>
                <w:vertAlign w:val="superscript"/>
              </w:rPr>
              <w:t>th</w:t>
            </w:r>
            <w:r>
              <w:t xml:space="preserve"> April 2016</w:t>
            </w:r>
          </w:p>
        </w:tc>
      </w:tr>
      <w:tr w:rsidR="009E6165" w:rsidTr="002806A5">
        <w:tc>
          <w:tcPr>
            <w:tcW w:w="2547" w:type="dxa"/>
          </w:tcPr>
          <w:p w:rsidR="009E6165" w:rsidRDefault="009E6165" w:rsidP="002806A5">
            <w:r>
              <w:t>David Franklin</w:t>
            </w:r>
          </w:p>
        </w:tc>
        <w:tc>
          <w:tcPr>
            <w:tcW w:w="4252" w:type="dxa"/>
          </w:tcPr>
          <w:p w:rsidR="009E6165" w:rsidRDefault="009E6165" w:rsidP="002806A5">
            <w:r>
              <w:t>Director Financial Planning and Analysis</w:t>
            </w:r>
          </w:p>
        </w:tc>
        <w:tc>
          <w:tcPr>
            <w:tcW w:w="2217" w:type="dxa"/>
          </w:tcPr>
          <w:p w:rsidR="009E6165" w:rsidRDefault="009E6165" w:rsidP="002806A5">
            <w:r>
              <w:t>15</w:t>
            </w:r>
            <w:r w:rsidRPr="009E6165">
              <w:rPr>
                <w:vertAlign w:val="superscript"/>
              </w:rPr>
              <w:t>th</w:t>
            </w:r>
            <w:r>
              <w:t xml:space="preserve"> April 2016</w:t>
            </w:r>
          </w:p>
        </w:tc>
      </w:tr>
      <w:tr w:rsidR="009E6165" w:rsidTr="002806A5">
        <w:tc>
          <w:tcPr>
            <w:tcW w:w="2547" w:type="dxa"/>
          </w:tcPr>
          <w:p w:rsidR="009E6165" w:rsidRDefault="009E6165" w:rsidP="009E6165">
            <w:r>
              <w:t>Hassan Mamdani</w:t>
            </w:r>
          </w:p>
        </w:tc>
        <w:tc>
          <w:tcPr>
            <w:tcW w:w="4252" w:type="dxa"/>
          </w:tcPr>
          <w:p w:rsidR="009E6165" w:rsidRDefault="009E6165" w:rsidP="009E6165">
            <w:pPr>
              <w:autoSpaceDE w:val="0"/>
              <w:autoSpaceDN w:val="0"/>
            </w:pPr>
            <w:r>
              <w:rPr>
                <w:rFonts w:ascii="Segoe UI" w:hAnsi="Segoe UI" w:cs="Segoe UI"/>
                <w:color w:val="000000"/>
                <w:sz w:val="20"/>
                <w:szCs w:val="20"/>
              </w:rPr>
              <w:t>Research Scientist Computational Chemist</w:t>
            </w:r>
          </w:p>
        </w:tc>
        <w:tc>
          <w:tcPr>
            <w:tcW w:w="2217" w:type="dxa"/>
          </w:tcPr>
          <w:p w:rsidR="009E6165" w:rsidRDefault="009E6165" w:rsidP="009E6165">
            <w:r>
              <w:t>15</w:t>
            </w:r>
            <w:r w:rsidRPr="009E6165">
              <w:rPr>
                <w:vertAlign w:val="superscript"/>
              </w:rPr>
              <w:t>th</w:t>
            </w:r>
            <w:r>
              <w:t xml:space="preserve"> April 2016</w:t>
            </w:r>
          </w:p>
        </w:tc>
      </w:tr>
    </w:tbl>
    <w:p w:rsidR="009E6165" w:rsidRDefault="009E6165" w:rsidP="009E6165"/>
    <w:p w:rsidR="009D3206" w:rsidRDefault="009D3206" w:rsidP="009D3206">
      <w:pPr>
        <w:pStyle w:val="Heading2"/>
      </w:pPr>
      <w:r>
        <w:t>Overview</w:t>
      </w:r>
    </w:p>
    <w:p w:rsidR="009D3206" w:rsidRDefault="009E6165">
      <w:r>
        <w:t>The c</w:t>
      </w:r>
      <w:r w:rsidR="009D3206">
        <w:t>urrent visibility of data within Syspro is labour intensive to extract and management are reliant upon team members being able to create datasets alongside their day to day responsibilities.</w:t>
      </w:r>
      <w:r>
        <w:t xml:space="preserve"> To address this, there was a meeting on the 6</w:t>
      </w:r>
      <w:r w:rsidRPr="009E6165">
        <w:rPr>
          <w:vertAlign w:val="superscript"/>
        </w:rPr>
        <w:t>th</w:t>
      </w:r>
      <w:r>
        <w:t xml:space="preserve"> April with Greg Weaver and David Franklin to discuss what the priority was for creating solutions to address this.</w:t>
      </w:r>
    </w:p>
    <w:p w:rsidR="009E6165" w:rsidRDefault="009E6165"/>
    <w:p w:rsidR="009D3206" w:rsidRDefault="009D3206" w:rsidP="009D3206">
      <w:pPr>
        <w:pStyle w:val="Heading2"/>
      </w:pPr>
      <w:r>
        <w:t>First Priorities</w:t>
      </w:r>
    </w:p>
    <w:p w:rsidR="000D2D70" w:rsidRDefault="000D2D70" w:rsidP="000D2D70">
      <w:r>
        <w:t xml:space="preserve">The decision was made to not focus on a full front end dashboard tool as this was seen as not being needed at this time until </w:t>
      </w:r>
      <w:r w:rsidR="004A30AF">
        <w:t xml:space="preserve">the initial requirements are set out and </w:t>
      </w:r>
      <w:r w:rsidR="009E6165">
        <w:t>addressed. Instead we will use the existing infrastructure of Syspro and crystal reports to deliver static reports with the knowledge that these will need to be recreated in future solutions as required.</w:t>
      </w:r>
    </w:p>
    <w:p w:rsidR="009E6165" w:rsidRDefault="009E6165" w:rsidP="000D2D70"/>
    <w:p w:rsidR="009E6165" w:rsidRDefault="009E6165" w:rsidP="009E6165">
      <w:pPr>
        <w:pStyle w:val="Heading2"/>
      </w:pPr>
      <w:r>
        <w:t>Resources Required</w:t>
      </w:r>
    </w:p>
    <w:p w:rsidR="009E6165" w:rsidRDefault="009E6165" w:rsidP="009E6165">
      <w:r>
        <w:t>The most important resources required is time from the financial teams, they are needed to first to define the reports (what fields to be seen, what selections need to be made) and secondly to run validation on the data, checking that the results match with the existing process.</w:t>
      </w:r>
    </w:p>
    <w:p w:rsidR="00AA20FC" w:rsidRDefault="00AA20FC" w:rsidP="009E6165"/>
    <w:p w:rsidR="009E6165" w:rsidRDefault="009E6165" w:rsidP="009E6165">
      <w:pPr>
        <w:pStyle w:val="Heading2"/>
      </w:pPr>
      <w:r>
        <w:t>Current Status</w:t>
      </w:r>
    </w:p>
    <w:p w:rsidR="009E6165" w:rsidRDefault="009E6165" w:rsidP="009E6165">
      <w:r>
        <w:t>Draft reports are currently being developed with the assistance of the Laval team, with Current Assets &amp; Liabilities in final testing by both finance teams.</w:t>
      </w:r>
    </w:p>
    <w:p w:rsidR="009E6165" w:rsidRDefault="009E6165" w:rsidP="000D2D70"/>
    <w:p w:rsidR="009D3206" w:rsidRDefault="009D3206" w:rsidP="009D3206">
      <w:pPr>
        <w:pStyle w:val="Heading2"/>
      </w:pPr>
      <w:r>
        <w:lastRenderedPageBreak/>
        <w:t>Plan</w:t>
      </w:r>
    </w:p>
    <w:bookmarkStart w:id="0" w:name="_GoBack"/>
    <w:p w:rsidR="009D3206" w:rsidRDefault="00796E80">
      <w:r>
        <w:object w:dxaOrig="9571" w:dyaOrig="9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433.5pt" o:ole="">
            <v:imagedata r:id="rId5" o:title=""/>
          </v:shape>
          <o:OLEObject Type="Embed" ProgID="Visio.Drawing.15" ShapeID="_x0000_i1025" DrawAspect="Content" ObjectID="_1522231681" r:id="rId6"/>
        </w:object>
      </w:r>
      <w:bookmarkEnd w:id="0"/>
    </w:p>
    <w:p w:rsidR="000D2D70" w:rsidRDefault="000D2D70" w:rsidP="000D2D70">
      <w:pPr>
        <w:pStyle w:val="Heading2"/>
      </w:pPr>
      <w:r>
        <w:t>List of First Reports</w:t>
      </w:r>
    </w:p>
    <w:p w:rsidR="000D2D70" w:rsidRDefault="000D2D70" w:rsidP="000D2D70">
      <w:pPr>
        <w:pStyle w:val="ListParagraph"/>
        <w:numPr>
          <w:ilvl w:val="0"/>
          <w:numId w:val="2"/>
        </w:numPr>
      </w:pPr>
      <w:r>
        <w:t>Details of Revenue</w:t>
      </w:r>
      <w:r w:rsidR="0092242C">
        <w:t xml:space="preserve"> </w:t>
      </w:r>
      <w:r w:rsidR="0092242C" w:rsidRPr="0092242C">
        <w:rPr>
          <w:b/>
          <w:color w:val="C00000"/>
        </w:rPr>
        <w:t>awaiting spec</w:t>
      </w:r>
    </w:p>
    <w:p w:rsidR="000D2D70" w:rsidRDefault="000D2D70" w:rsidP="000D2D70">
      <w:pPr>
        <w:pStyle w:val="ListParagraph"/>
        <w:numPr>
          <w:ilvl w:val="0"/>
          <w:numId w:val="2"/>
        </w:numPr>
      </w:pPr>
      <w:r>
        <w:t xml:space="preserve">Profit &amp; Loss </w:t>
      </w:r>
      <w:r w:rsidR="0092242C" w:rsidRPr="0092242C">
        <w:rPr>
          <w:b/>
          <w:color w:val="C00000"/>
        </w:rPr>
        <w:t>awaiting spec</w:t>
      </w:r>
    </w:p>
    <w:p w:rsidR="000D2D70" w:rsidRDefault="000D2D70" w:rsidP="000D2D70">
      <w:pPr>
        <w:pStyle w:val="ListParagraph"/>
        <w:numPr>
          <w:ilvl w:val="1"/>
          <w:numId w:val="2"/>
        </w:numPr>
      </w:pPr>
      <w:r>
        <w:t>By company</w:t>
      </w:r>
      <w:r w:rsidR="0092242C">
        <w:t xml:space="preserve"> </w:t>
      </w:r>
      <w:r w:rsidR="0092242C" w:rsidRPr="0092242C">
        <w:rPr>
          <w:b/>
          <w:color w:val="C00000"/>
        </w:rPr>
        <w:t>awaiting spec</w:t>
      </w:r>
    </w:p>
    <w:p w:rsidR="000D2D70" w:rsidRDefault="000D2D70" w:rsidP="000D2D70">
      <w:pPr>
        <w:pStyle w:val="ListParagraph"/>
        <w:numPr>
          <w:ilvl w:val="1"/>
          <w:numId w:val="2"/>
        </w:numPr>
      </w:pPr>
      <w:r>
        <w:t>Vs budget</w:t>
      </w:r>
      <w:r w:rsidR="0092242C">
        <w:t xml:space="preserve"> </w:t>
      </w:r>
      <w:r w:rsidR="0092242C" w:rsidRPr="0092242C">
        <w:rPr>
          <w:b/>
          <w:color w:val="C00000"/>
        </w:rPr>
        <w:t>awaiting spec</w:t>
      </w:r>
    </w:p>
    <w:p w:rsidR="000D2D70" w:rsidRDefault="000D2D70" w:rsidP="000D2D70">
      <w:pPr>
        <w:pStyle w:val="ListParagraph"/>
        <w:numPr>
          <w:ilvl w:val="1"/>
          <w:numId w:val="2"/>
        </w:numPr>
      </w:pPr>
      <w:r>
        <w:t>Vs year on Year</w:t>
      </w:r>
      <w:r w:rsidR="0092242C">
        <w:t xml:space="preserve"> </w:t>
      </w:r>
      <w:r w:rsidR="0092242C" w:rsidRPr="0092242C">
        <w:rPr>
          <w:b/>
          <w:color w:val="C00000"/>
        </w:rPr>
        <w:t>awaiting spec</w:t>
      </w:r>
    </w:p>
    <w:p w:rsidR="00796E80" w:rsidRDefault="0092242C" w:rsidP="0091074F">
      <w:pPr>
        <w:pStyle w:val="ListParagraph"/>
        <w:numPr>
          <w:ilvl w:val="0"/>
          <w:numId w:val="2"/>
        </w:numPr>
      </w:pPr>
      <w:r>
        <w:t xml:space="preserve">Details of Cash </w:t>
      </w:r>
      <w:r w:rsidR="00796E80" w:rsidRPr="0092242C">
        <w:rPr>
          <w:b/>
          <w:color w:val="70AD47" w:themeColor="accent6"/>
        </w:rPr>
        <w:t>in test</w:t>
      </w:r>
      <w:r w:rsidR="00796E80">
        <w:t xml:space="preserve"> </w:t>
      </w:r>
    </w:p>
    <w:p w:rsidR="00796E80" w:rsidRDefault="00796E80" w:rsidP="00796E80">
      <w:pPr>
        <w:pStyle w:val="ListParagraph"/>
        <w:numPr>
          <w:ilvl w:val="1"/>
          <w:numId w:val="2"/>
        </w:numPr>
      </w:pPr>
      <w:r>
        <w:t xml:space="preserve">Company Summary </w:t>
      </w:r>
      <w:r w:rsidRPr="0092242C">
        <w:rPr>
          <w:b/>
          <w:color w:val="70AD47" w:themeColor="accent6"/>
        </w:rPr>
        <w:t>in test</w:t>
      </w:r>
    </w:p>
    <w:p w:rsidR="00796E80" w:rsidRDefault="00796E80" w:rsidP="00796E80">
      <w:pPr>
        <w:pStyle w:val="ListParagraph"/>
        <w:numPr>
          <w:ilvl w:val="1"/>
          <w:numId w:val="2"/>
        </w:numPr>
      </w:pPr>
      <w:r>
        <w:t xml:space="preserve">Tracking </w:t>
      </w:r>
      <w:r w:rsidRPr="0092242C">
        <w:rPr>
          <w:b/>
          <w:color w:val="70AD47" w:themeColor="accent6"/>
        </w:rPr>
        <w:t>in test</w:t>
      </w:r>
      <w:r>
        <w:t xml:space="preserve"> </w:t>
      </w:r>
    </w:p>
    <w:p w:rsidR="000D2D70" w:rsidRDefault="000D2D70" w:rsidP="0091074F">
      <w:pPr>
        <w:pStyle w:val="ListParagraph"/>
        <w:numPr>
          <w:ilvl w:val="0"/>
          <w:numId w:val="2"/>
        </w:numPr>
      </w:pPr>
      <w:r>
        <w:t>Current Assets</w:t>
      </w:r>
      <w:r w:rsidR="0092242C">
        <w:t xml:space="preserve"> </w:t>
      </w:r>
      <w:r w:rsidR="0092242C" w:rsidRPr="00796E80">
        <w:rPr>
          <w:b/>
          <w:color w:val="70AD47" w:themeColor="accent6"/>
        </w:rPr>
        <w:t xml:space="preserve">in </w:t>
      </w:r>
      <w:r w:rsidR="0092242C" w:rsidRPr="00796E80">
        <w:rPr>
          <w:b/>
          <w:color w:val="70AD47" w:themeColor="accent6"/>
        </w:rPr>
        <w:t>test</w:t>
      </w:r>
    </w:p>
    <w:p w:rsidR="000D2D70" w:rsidRDefault="000D2D70" w:rsidP="000D2D70">
      <w:pPr>
        <w:pStyle w:val="ListParagraph"/>
        <w:numPr>
          <w:ilvl w:val="1"/>
          <w:numId w:val="2"/>
        </w:numPr>
      </w:pPr>
      <w:r>
        <w:t>Company Summary</w:t>
      </w:r>
      <w:r w:rsidR="0092242C">
        <w:t xml:space="preserve"> </w:t>
      </w:r>
      <w:r w:rsidR="0092242C" w:rsidRPr="0092242C">
        <w:rPr>
          <w:b/>
          <w:color w:val="70AD47" w:themeColor="accent6"/>
        </w:rPr>
        <w:t>in test</w:t>
      </w:r>
    </w:p>
    <w:p w:rsidR="0092242C" w:rsidRDefault="000D2D70" w:rsidP="00796E80">
      <w:pPr>
        <w:pStyle w:val="ListParagraph"/>
        <w:numPr>
          <w:ilvl w:val="1"/>
          <w:numId w:val="2"/>
        </w:numPr>
      </w:pPr>
      <w:r>
        <w:t>Tracking</w:t>
      </w:r>
      <w:r w:rsidR="0092242C">
        <w:t xml:space="preserve"> </w:t>
      </w:r>
      <w:r w:rsidR="0092242C" w:rsidRPr="0092242C">
        <w:rPr>
          <w:b/>
          <w:color w:val="70AD47" w:themeColor="accent6"/>
        </w:rPr>
        <w:t>in test</w:t>
      </w:r>
      <w:r w:rsidR="0092242C">
        <w:t xml:space="preserve"> </w:t>
      </w:r>
    </w:p>
    <w:p w:rsidR="000D2D70" w:rsidRDefault="000D2D70" w:rsidP="00796E80">
      <w:pPr>
        <w:pStyle w:val="ListParagraph"/>
        <w:numPr>
          <w:ilvl w:val="0"/>
          <w:numId w:val="2"/>
        </w:numPr>
      </w:pPr>
      <w:r>
        <w:t>Current Liability</w:t>
      </w:r>
      <w:r w:rsidR="0092242C">
        <w:t xml:space="preserve"> </w:t>
      </w:r>
      <w:r w:rsidR="0092242C" w:rsidRPr="0092242C">
        <w:rPr>
          <w:b/>
          <w:color w:val="70AD47" w:themeColor="accent6"/>
        </w:rPr>
        <w:t>in test</w:t>
      </w:r>
    </w:p>
    <w:p w:rsidR="0092242C" w:rsidRDefault="000D2D70" w:rsidP="006B5BDC">
      <w:pPr>
        <w:pStyle w:val="ListParagraph"/>
        <w:numPr>
          <w:ilvl w:val="1"/>
          <w:numId w:val="2"/>
        </w:numPr>
      </w:pPr>
      <w:r>
        <w:t>Company Summary</w:t>
      </w:r>
      <w:r w:rsidR="0092242C">
        <w:t xml:space="preserve"> </w:t>
      </w:r>
      <w:r w:rsidR="0092242C" w:rsidRPr="0092242C">
        <w:rPr>
          <w:b/>
          <w:color w:val="70AD47" w:themeColor="accent6"/>
        </w:rPr>
        <w:t>in test</w:t>
      </w:r>
      <w:r w:rsidR="0092242C">
        <w:t xml:space="preserve"> </w:t>
      </w:r>
    </w:p>
    <w:p w:rsidR="000D2D70" w:rsidRDefault="000D2D70" w:rsidP="006B5BDC">
      <w:pPr>
        <w:pStyle w:val="ListParagraph"/>
        <w:numPr>
          <w:ilvl w:val="1"/>
          <w:numId w:val="2"/>
        </w:numPr>
      </w:pPr>
      <w:r>
        <w:t>Tracking</w:t>
      </w:r>
      <w:r w:rsidR="0092242C">
        <w:t xml:space="preserve"> </w:t>
      </w:r>
      <w:r w:rsidR="0092242C" w:rsidRPr="0092242C">
        <w:rPr>
          <w:b/>
          <w:color w:val="70AD47" w:themeColor="accent6"/>
        </w:rPr>
        <w:t>in test</w:t>
      </w:r>
    </w:p>
    <w:sectPr w:rsidR="000D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3CD"/>
    <w:multiLevelType w:val="hybridMultilevel"/>
    <w:tmpl w:val="EC44A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70D02"/>
    <w:multiLevelType w:val="hybridMultilevel"/>
    <w:tmpl w:val="F2600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DD19D0"/>
    <w:multiLevelType w:val="hybridMultilevel"/>
    <w:tmpl w:val="DB38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C21C9E"/>
    <w:multiLevelType w:val="hybridMultilevel"/>
    <w:tmpl w:val="4F4C8742"/>
    <w:lvl w:ilvl="0" w:tplc="1738FE0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761BD"/>
    <w:multiLevelType w:val="hybridMultilevel"/>
    <w:tmpl w:val="AEAA5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06"/>
    <w:rsid w:val="000D2D70"/>
    <w:rsid w:val="002532F4"/>
    <w:rsid w:val="004A30AF"/>
    <w:rsid w:val="00796E80"/>
    <w:rsid w:val="0092242C"/>
    <w:rsid w:val="009D3206"/>
    <w:rsid w:val="009E6165"/>
    <w:rsid w:val="00AA20FC"/>
    <w:rsid w:val="00EA3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5E2B"/>
  <w15:chartTrackingRefBased/>
  <w15:docId w15:val="{187B66D4-C8D8-4746-AC72-04BDE283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2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2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32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2D70"/>
    <w:pPr>
      <w:ind w:left="720"/>
      <w:contextualSpacing/>
    </w:pPr>
  </w:style>
  <w:style w:type="table" w:styleId="TableGrid">
    <w:name w:val="Table Grid"/>
    <w:basedOn w:val="TableNormal"/>
    <w:uiPriority w:val="39"/>
    <w:rsid w:val="009E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Johnson</dc:creator>
  <cp:keywords/>
  <dc:description/>
  <cp:lastModifiedBy>Chris Johnson</cp:lastModifiedBy>
  <cp:revision>5</cp:revision>
  <dcterms:created xsi:type="dcterms:W3CDTF">2016-04-15T09:57:00Z</dcterms:created>
  <dcterms:modified xsi:type="dcterms:W3CDTF">2016-04-15T12:22:00Z</dcterms:modified>
</cp:coreProperties>
</file>